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sectPr>
          <w:pgSz w:w="16838" w:h="11906" w:orient="landscape"/>
        </w:sectPr>
      </w:pPr>
    </w:p>
    <w:p>
      <w:r>
        <w:fldChar w:fldCharType="begin"/>
      </w:r>
      <w:r>
        <w:instrText xml:space="preserve"> TOC \o "1-3" </w:instrText>
      </w:r>
      <w:r>
        <w:fldChar w:fldCharType="end"/>
      </w:r>
    </w:p>
    <w:p>
      <w:r>
        <w:t>带脚注的段落</w:t>
      </w:r>
      <w:r>
        <w:footnoteReference w:id="2"/>
      </w:r>
    </w:p>
    <w:p>
      <w:commentRangeStart w:id="0"/>
      <w:r>
        <w:t>有批注</w:t>
      </w:r>
      <w:commentRangeEnd w:id="0"/>
    </w:p>
    <w:p>
      <w:r>
        <w:t>普通可编辑段落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