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纵向一</w:t>
      </w:r>
    </w:p>
    <w:p>
      <w:pPr>
        <w:sectPr>
          <w:pgSz w:w="11906" w:h="16838"/>
          <w:pgMar w:top="720" w:right="720" w:bottom="720" w:left="720" w:header="708" w:footer="708" w:gutter="0"/>
        </w:sectPr>
      </w:pPr>
    </w:p>
    <w:p>
      <w:r>
        <w:t>横向二</w:t>
      </w:r>
    </w:p>
    <w:p>
      <w:pPr>
        <w:sectPr>
          <w:pgSz w:w="16838" w:h="11906" w:orient="landscape"/>
          <w:pgMar w:top="720" w:right="720" w:bottom="720" w:left="720" w:header="708" w:footer="708" w:gutter="0"/>
        </w:sectPr>
      </w:pPr>
    </w:p>
    <w:p>
      <w:r>
        <w:t>纵向三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