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正文</w:t>
      </w:r>
      <w:r>
        <w:rPr>
          <w:vertAlign w:val="superscript"/>
        </w:rPr>
        <w:footnoteReference w:id="2"/>
      </w:r>
    </w:p>
    <w:sectPr>
      <w:pgSz w:w="11906" w:h="16838"/>
      <w:pgMar w:top="1440" w:right="1440" w:bottom="1440" w:left="1440" w:header="708" w:footer="708" w:gutter="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2">
    <w:p>
      <w:r>
        <w:rPr>
          <w:vertAlign w:val="superscript"/>
        </w:rPr>
        <w:footnoteRef/>
      </w:r>
      <w:r>
        <w:t xml:space="preserve"> </w:t>
      </w:r>
      <w:r>
        <w:rPr>
          <w:i/>
        </w:rPr>
        <w:t>斜体脚注</w:t>
      </w:r>
    </w:p>
  </w:footnote>
</w:footnotes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32" Type="http://schemas.openxmlformats.org/officeDocument/2006/relationships/footnotes" Target="footnotes.xml"/></Relationships>
</file>