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xbx1.xml" ContentType="application/vnd.openxmlformats-officedocument.wordprocessingml.txb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584200</wp:posOffset>
            </wp:positionH>
            <wp:positionV relativeFrom="paragraph">
              <wp:posOffset>127000</wp:posOffset>
            </wp:positionV>
            <wp:extent cx="584200" cy="374650"/>
            <wp:wrapNone/>
            <wp:docPr id="1" name="Shape 1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366645" cy="1404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 r:txbx="rId20" txbxSeq="0"/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txbx1.xml><?xml version="1.0" encoding="utf-8"?>
<w14:txbx xmlns:w14="http://schemas.microsoft.com/office/word/2010/wordml" xmlns:w="http://schemas.openxmlformats.org/wordprocessingml/2006/main">
  <w:p>
    <w:r>
      <w:t>hello</w:t>
    </w:r>
  </w:p>
</w14:txbx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0" Type="http://schemas.microsoft.com/office/2006/relationships/txbx" Target="txbx1.xml"/></Relationships>
</file>