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2"/>
        <w:tabs>
          <w:tab w:val="right" w:pos="8786"/>
        </w:tabs>
        <w:rPr>
          <w:sz w:val="24"/>
        </w:rPr>
      </w:pPr>
      <w:hyperlink w:anchor="_Toc1">
        <w:r>
          <w:rPr>
            <w:rFonts w:ascii="Times New Roman" w:eastAsia="MS Gothic" w:hAnsi="Times New Roman"/>
            <w:b/>
          </w:rPr>
          <w:t>Annexe 1-1 : Classification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pos="8786"/>
        </w:tabs>
        <w:rPr>
          <w:sz w:val="24"/>
        </w:rPr>
      </w:pPr>
      <w:hyperlink w:anchor="_Toc1">
        <w:r>
          <w:t>Annexe 1-1 : Classification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6</w:t>
        </w:r>
        <w:r>
          <w:fldChar w:fldCharType="end"/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