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pPr>
        <w:spacing w:after="0" w:line="20" w:lineRule="exact"/>
      </w:pPr>
      <w:r>
        <mc:AlternateContent xmlns:mc="http://schemas.openxmlformats.org/markup-compatibility/2006" xmlns:wps="http://schemas.microsoft.com/office/word/2010/wordprocessingShape">
          <mc:Choice Requires="wps">
            <w:drawing>
              <wp:anchor xmlns:wp="http://schemas.openxmlformats.org/drawingml/2006/wordprocessingDrawing" distT="0" distB="0" distL="0" distR="0" simplePos="0" relativeHeight="251658241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3000000" cy="1000000"/>
                <wp:effectExtent l="0" t="0" r="0" b="0"/>
                <wp:wrapTopAndBottom/>
                <wp:docPr id="7" name="Region 7"/>
                <a:graphic xmlns:a="http://schemas.openxmlformats.org/drawingml/2006/main">
                  <a:graphicData xmlns:a="http://schemas.openxmlformats.org/drawingml/2006/main"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3000000" cy="100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2"/>
                              </w:numPr>
                            </w:pPr>
                            <w:r>
                              <w:t xml:space="preserve">item 1</w:t>
                            </w:r>
                          </w:p>
                          <w:sdt>
                            <w:sdtContent>
                              <w:p>
                                <w:pPr>
                                  <w:numPr>
                                    <w:ilvl w:val="0"/>
                                    <w:numId w:val="2"/>
                                  </w:numPr>
                                </w:pPr>
                                <w:r>
                                  <w:t xml:space="preserve">item 2</w:t>
                                </w:r>
                              </w:p>
                            </w:sdtContent>
                          </w:sdt>
                          <w:p>
                            <w:pPr>
                              <w:numPr>
                                <w:ilvl w:val="0"/>
                                <w:numId w:val="2"/>
                              </w:numPr>
                            </w:pPr>
                            <w:r>
                              <w:t xml:space="preserve">item 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xmlns:v="urn:schemas-microsoft-com:vml" style="position:absolute;margin-left:0pt;margin-top:0pt;width:236.2204724409449pt;height:78.74015748031496pt" filled="f" stroked="f">
                <v:textbox>
                  <w:txbxContent>
                    <w:p>
                      <w:r>
                        <w:t xml:space="preserve">item 1</w:t>
                      </w:r>
                    </w:p>
                    <w:p>
                      <w:r>
                        <w:t xml:space="preserve">item 2</w:t>
                      </w:r>
                    </w:p>
                    <w:p>
                      <w:r>
                        <w:t xml:space="preserve">item 3</w:t>
                      </w:r>
                    </w:p>
                  </w:txbxContent>
                </v:textbox>
              </v:rect>
            </w:pict>
          </mc:Fallback>
        </mc:AlternateContent>
      </w:r>
    </w:p>
    <w:sectPr>
      <w:pgSz w:w="11906" w:h="16838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v="urn:schemas-microsoft-com:vml">
  <w:numPicBullet w:numPicBulletId="0">
    <w:pict>
      <v:shape>
        <v:imagedata r:id="rId1"/>
      </v:shape>
    </w:pict>
  </w:numPicBullet>
  <w:abstractNum w:abstractNumId="0">
    <w:lvl w:ilvl="0">
      <w:start w:val="1"/>
      <w:numFmt w:val="bullet"/>
      <w:lvlText w:val=""/>
      <w:pPr>
        <w:ind w:left="440" w:hanging="440"/>
      </w:pPr>
      <w:rPr>
        <w:rFonts w:ascii="Wingdings" w:hAnsi="Wingdings"/>
        <w:sz w:val="16"/>
      </w:rPr>
    </w:lvl>
  </w:abstractNum>
  <w:abstractNum w:abstractNumId="1">
    <w:lvl w:ilvl="0">
      <w:start w:val="1"/>
      <w:numFmt w:val="decimal"/>
      <w:lvlText w:val="%1."/>
    </w:lvl>
  </w:abstractNum>
  <w:abstractNum w:abstractNumId="2">
    <w:lvl w:ilvl="0">
      <w:start w:val="1"/>
      <w:numFmt w:val="bullet"/>
      <w:lvlText w:val="-"/>
      <w:pPr>
        <w:ind w:left="0" w:firstLine="420"/>
      </w:pPr>
    </w:lvl>
  </w:abstractNum>
  <w:abstractNum w:abstractNumId="3">
    <w:lvl w:ilvl="0">
      <w:start w:val="1"/>
      <w:numFmt w:val="bullet"/>
      <w:lvlText w:val=""/>
      <w:lvlPicBulletId w:val="0"/>
      <w:pPr>
        <w:ind w:left="360" w:hanging="360"/>
      </w:pPr>
      <w:rPr>
        <w:rFonts w:ascii="Symbol" w:hAnsi="Symbol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