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Tài liệu</w:t>
      </w:r>
    </w:p>
    <w:p>
      <w:pPr>
        <w:spacing w:after="120"/>
      </w:pPr>
      <w:r>
        <w:t xml:space="preserve">Đặt ở đây các tài liệu đi kèm đồ án: sơ đồ use case, ERD, sơ đồ tuần tự, báo cáo.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0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3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5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8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0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240"/>
    </w:pPr>
    <w:rPr>
      <w:rFonts w:ascii="Times New Roman" w:cs="Times New Roman" w:eastAsia="Times New Roman" w:hAnsi="Times New Roman"/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Times New Roman" w:cs="Times New Roman" w:eastAsia="Times New Roman" w:hAnsi="Times New Roman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Times New Roman" w:cs="Times New Roman" w:eastAsia="Times New Roman" w:hAnsi="Times New Roman"/>
      <w:b/>
      <w:bCs/>
      <w:color w:val="2F549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Times New Roman" w:cs="Times New Roman" w:eastAsia="Times New Roman" w:hAnsi="Times New Roman"/>
      <w:b/>
      <w:bCs/>
      <w:i/>
      <w:i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2026-10-26T02:21:43.428Z</dcterms:created>
  <dcterms:modified xsi:type="dcterms:W3CDTF">2026-10-26T02:21:43.429Z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