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Исчерпывающая техническая и юридическая спецификация: Проектирование B2B Micro-SaaS «Widerrufsbutton DACH» для соответствия § 356a BGB</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Ландшафт европейского цифрового бизнеса претерпевает фундаментальные изменения под давлением ужесточающегося регуляторного климата. В особенности это касается региона DACH (Германия, Австрия, Швейцария), где историческая склонность к строгой защите прав потребителей переносится в цифровую среду. Настоящий документ представляет собой детализированную архитектурную, юридическую и системную спецификацию, предназначенную для использования в качестве исчерпывающего технического задания (промпта) для автономных ИИ-систем кодогенерации, в частности, передовой модели Fable 5. Главная цель данного отчета — обеспечить создание отказоустойчивого, масштабируемого и юридически безупречного программного продукта в нише цифрового комплаенса.</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Законодательный контекст диктует беспрецедентно жесткие сроки: 19 июня 2026 года вступает в силу новый параграф § 356a Гражданского кодекса Германии (BGB), имплементирующий Директиву ЕС 2023/2673 и обязывающий весь B2C e-commerce внедрить так называемую «электронную функцию расторжения контракта» (Widerrufsbutton) [cite: 1, 2, 3, 4]. Невыполнение этих требований влечет за собой катастрофические последствия для малого и среднего бизнеса. В частности, стандартный срок, в течение которого потребитель имеет право вернуть товар без объяснения причин, автоматически продлевается с 14 дней до 12 месяцев и 14 дней [cite: 1, 5]. Кроме того, отсутствие или некорректная реализация данной функции открывает бизнес для разорительных штрафов и официальных предупреждений (Abmahnungen) от конкурентов и агрессивных юридических фирм [cite: 1, 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Данная спецификация последовательно деконструирует процесс создания универсального встраиваемого JavaScript-виджета и бэкенд-инфраструктуры, уделяя критическое внимание юридическим ограничениям, обеспечению бремени доказывания (Beweislast) посредством прикладной криптографии и абсолютной изоляции клиентского кода от глобальных стилей родительских сайтов.</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Юридическая сторона: Абсолютные догмы для систем кодогенерации</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Программный код, генерируемый искусственным интеллектом, не имеет права отклоняться от строгих юридических директив, заложенных в немецком законодательстве. Нарушение любого из нижеперечисленных пунктов делает программный продукт ничтожным с точки зрения права, что лишает его коммерческой ценности.</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Законодатель требует, чтобы процесс расторжения договора в цифровой среде был не сложнее, чем процесс его заключения [cite: 5, 7, 8]. Это фундаментальное правило реализуется через строго регламентированный четырехэтапный пользовательский интерфейс. Первый этап заключается в обеспечении постоянной доступности функции вызова. Интерфейс интернет-магазина должен содержать хорошо читаемую, выделенную и легко доступную кнопку, текст на которой должен строго соответствовать формулировке «Vertrag widerrufen» (Расторгнуть контракт) или аналогичной однозначной фразе [cite: 3, 9, 10]. Эта кнопка должна отображаться постоянно в течение всего периода действия права на отзыв [cite: 6, 10]. Критически важно понимать, что доступ к этой кнопке категорически запрещено блокировать требованиями авторизации пользователя (Login-Wall), так как потребитель мог оформить заказ в статусе гостя [cite: 5, 10]. Исключение допускается лишь в том случае, если сам контракт физически мог быть заключен исключительно внутри закрытого личного кабинета, что актуально преимущественно для финансовых сервисов, однако для стандартного e-commerce базовая доступность обязательна [cite: 2, 7].</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Второй этап предполагает сбор минимально необходимого набора данных. Форма, открывающаяся по клику на первичную кнопку, должна запрашивать исключительно ту информацию, которая требуется для однозначной идентификации клиента и заказа. Согласно букве закона, разрешенными полями являются только имя потребителя, данные для идентификации контракта (например, номер заказа) и данные электронного средства связи для отправки подтверждения (email) [cite: 2, 4, 5]. Абсолютно запрещено добавлять поле с запросом причины возврата, даже если оно помечено как опциональное, поскольку право на отзыв в Европейском Союзе является безусловным, и любая попытка выяснить причину расценивается как незаконный барьер [cite: 1, 7, 10].</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Третий этап представляет собой финальное подтверждение волеизъявления потребителя. Закон § 356a BGB предписывает реализацию механизма двойного подтверждения (double opt-in архитектура в контексте UI). Форма обязана содержать вторую кнопку отправки данных со строго регламентированным текстом «Widerruf bestätigen» (Подтвердить расторжение) [cite: 4, 9, 10]. Именно нажатие на эту вторую кнопку должно инициировать POST-запрос к программному интерфейсу (API) приложения [cite: 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Завершающий, четвертый этап требует немедленной выдачи электронной квитанции. Закон обязывает продавца «незамедлительно» (unverzüglich) предоставить потребителю подтверждение о получении заявления на надежном носителе (dauerhafter Datenträger) [cite: 3, 4, 10]. Бэкенд-инфраструктура обязана мгновенно сгенерировать и отправить электронное письмо, содержащее точную копию запроса пользователя, а также дату и время получения запроса сервером с точностью до секунды [cite: 4, 5, 9]. Это письмо служит ключевым доказательством для потребителя.</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Бремя доказывания и криптографический аудит</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Помимо интерфейсных требований, фундаментальной проблемой для B2B-клиентов является бремя доказывания (Beweislast). В случае судебного разбирательства именно владелец интернет-магазина обязан предоставить неопровержимые технические доказательства факта и точного времени получения заявки от потребителя [cite: 1]. Обычные записи в реляционных базах данных (например, временные метки created_at в MySQL или PostgreSQL) не обладают достаточной юридической силой в судах Германии, поскольку владелец базы данных или системный администратор имеет возможность модифицировать их задним числом.</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решения этой проблемы архитектура генерируемого приложения должна реализовывать концепцию криптографического аудита (Tamper-Evident Audit Log) [cite: 11]. Каждый входящий POST-запрос должен хешироваться с использованием алгоритма SHA-256. Входная строка для хеширования обязана включать идентификатор магазина, точный номер заказа, email потребителя и неизменяемую временную метку в формате ISO 8601 [cite: 1, 11]. Этот уникальный криптографический отпечаток сохраняется в базе данных и высылается клиенту на почту в виде публичной ссылки для верификации (Proof-URL), что полностью удовлетворяет жестким требованиям § 126b BGB о надежном носителе [cite: 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предотвращения массовых манипуляций с историей логов, все транзакционные хеши за прошедшие 24 часа должны ежедневно объединяться в бинарное криптографическое дерево (Merkle Tree). Корень этого дерева (Merkle Root) затем отправляется на сертифицированный сервер точного времени (Time Stamping Authority, TSA) по протоколу RFC 3161 для получения независимой криптографической метки времени (Trusted Timestamp) [cite: 12, 13, 14]. Данный процесс делает любую ретроспективную манипуляцию с данными математически невозможной и юридически доказуемой.</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Бизнес-анализ: Аудитория, проблемы и концептуальное решение</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того чтобы Fable 5 спроектировала продукт с высокой рыночной ценностью, необходимо четко определить его позиционирование, портрет покупателя и те боли, за избавление от которых бизнес готов платить регулярную подписку.</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Целевая аудитория (Target Audience)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Наш B2B Micro-SaaS нацелен на четыре ключевых сегмента покупателей в регионе DACH и за его пределами:</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Малые и средние интернет-магазины (B2C SMB E-commerce):</w:t>
      </w:r>
      <w:r w:rsidDel="00000000" w:rsidR="00000000" w:rsidRPr="00000000">
        <w:rPr>
          <w:rFonts w:ascii="Google Sans" w:cs="Google Sans" w:eastAsia="Google Sans" w:hAnsi="Google Sans"/>
          <w:color w:val="1f1f1f"/>
          <w:rtl w:val="0"/>
        </w:rPr>
        <w:t xml:space="preserve"> Локальные немецкие, австрийские и швейцарские продавцы физических и цифровых товаров, не имеющие собственного штата разработчиков для быстрого комплаенса.</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Иностранные e-commerce и SaaS-компании:</w:t>
      </w:r>
      <w:r w:rsidDel="00000000" w:rsidR="00000000" w:rsidRPr="00000000">
        <w:rPr>
          <w:rFonts w:ascii="Google Sans" w:cs="Google Sans" w:eastAsia="Google Sans" w:hAnsi="Google Sans"/>
          <w:color w:val="1f1f1f"/>
          <w:rtl w:val="0"/>
        </w:rPr>
        <w:t xml:space="preserve"> Международные бренды (из США, Великобритании, Азии), которые продают свои продукты потребителям в Германии и ЕС. В силу экстерриториальности § 356a BGB они обязаны внедрить кнопку, но зачастую даже не слышали о немецких юридических ассоциациях вроде Händlerbund.</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Владельцы нестандартных и кастомных платформ (Headless Commerce):</w:t>
      </w:r>
      <w:r w:rsidDel="00000000" w:rsidR="00000000" w:rsidRPr="00000000">
        <w:rPr>
          <w:rFonts w:ascii="Google Sans" w:cs="Google Sans" w:eastAsia="Google Sans" w:hAnsi="Google Sans"/>
          <w:color w:val="1f1f1f"/>
          <w:rtl w:val="0"/>
        </w:rPr>
        <w:t xml:space="preserve"> Магазины и сервисы, построенные на современных фреймворках (Next.js, Nuxt, Laravel, Django, Webflow, Framer, self-hosted решения). Крупные ассоциации не предлагают плагинов для таких систем, ориентируясь только на массовые CMS (Shopify, WooCommerce).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B2B-агентства, веб-студии и фрилансеры:</w:t>
      </w:r>
      <w:r w:rsidDel="00000000" w:rsidR="00000000" w:rsidRPr="00000000">
        <w:rPr>
          <w:rFonts w:ascii="Google Sans" w:cs="Google Sans" w:eastAsia="Google Sans" w:hAnsi="Google Sans"/>
          <w:color w:val="1f1f1f"/>
          <w:rtl w:val="0"/>
        </w:rPr>
        <w:t xml:space="preserve"> Разработчики, осуществляющие техническую поддержку сотен клиентских сайтов и нуждающиеся в готовой утилите для быстрого закрытия юридических рисков своих клиентов (в том числе под собственным брендом по модели White-label).</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Проблемы целевой аудитории</w:t>
      </w:r>
    </w:p>
    <w:p w:rsidR="00000000" w:rsidDel="00000000" w:rsidP="00000000" w:rsidRDefault="00000000" w:rsidRPr="00000000" w14:paraId="00000018">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Экстремальные финансовые и юридические риски:</w:t>
      </w:r>
      <w:r w:rsidDel="00000000" w:rsidR="00000000" w:rsidRPr="00000000">
        <w:rPr>
          <w:rFonts w:ascii="Google Sans" w:cs="Google Sans" w:eastAsia="Google Sans" w:hAnsi="Google Sans"/>
          <w:color w:val="1f1f1f"/>
          <w:rtl w:val="0"/>
        </w:rPr>
        <w:t xml:space="preserve"> С 19 июня 2026 года отсутствие или неверная реализация Widerrufsbutton влечет за собой автоматическое продление права потребителя на возврат товара до 12 месяцев и 14 дней, а также штрафы до €50 000 и разорительные предупреждения (Abmahnungen) от юристов конкурентов.</w:t>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Высокая стоимость in-house разработки:</w:t>
      </w:r>
      <w:r w:rsidDel="00000000" w:rsidR="00000000" w:rsidRPr="00000000">
        <w:rPr>
          <w:rFonts w:ascii="Google Sans" w:cs="Google Sans" w:eastAsia="Google Sans" w:hAnsi="Google Sans"/>
          <w:color w:val="1f1f1f"/>
          <w:rtl w:val="0"/>
        </w:rPr>
        <w:t xml:space="preserve"> Написание собственного скрипта, создание баз данных, настройка надежного почтового SMTP-сервера и аудит безопасности обойдутся бизнесу в €2,500 – €3,500 при оплате услуг сторонних фрилансеров.</w:t>
      </w:r>
    </w:p>
    <w:p w:rsidR="00000000" w:rsidDel="00000000" w:rsidP="00000000" w:rsidRDefault="00000000" w:rsidRPr="00000000" w14:paraId="0000001A">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Отсутствие гибких технических решений:</w:t>
      </w:r>
      <w:r w:rsidDel="00000000" w:rsidR="00000000" w:rsidRPr="00000000">
        <w:rPr>
          <w:rFonts w:ascii="Google Sans" w:cs="Google Sans" w:eastAsia="Google Sans" w:hAnsi="Google Sans"/>
          <w:color w:val="1f1f1f"/>
          <w:rtl w:val="0"/>
        </w:rPr>
        <w:t xml:space="preserve"> Крупные юридические провайдеры предлагают плагины исключительно для стандартных CMS. Кастомные сайты остаются без поддержки, а ручная интеграция их баз данных вызывает CSS-конфликты, способные нарушить верстку родительского сайта.</w:t>
      </w:r>
    </w:p>
    <w:p w:rsidR="00000000" w:rsidDel="00000000" w:rsidP="00000000" w:rsidRDefault="00000000" w:rsidRPr="00000000" w14:paraId="0000001B">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Уязвимость в суде (Бремя доказывания):</w:t>
      </w:r>
      <w:r w:rsidDel="00000000" w:rsidR="00000000" w:rsidRPr="00000000">
        <w:rPr>
          <w:rFonts w:ascii="Google Sans" w:cs="Google Sans" w:eastAsia="Google Sans" w:hAnsi="Google Sans"/>
          <w:color w:val="1f1f1f"/>
          <w:rtl w:val="0"/>
        </w:rPr>
        <w:t xml:space="preserve"> Обычные SQL-логи баз данных легко изменить задним числом. В случае судебного спора с потребителем у интернет-магазина нет неопровержимых, математически подтвержденных доказательств точного времени и факта получения заявления.</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Решение</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Мы предлагаем </w:t>
      </w:r>
      <w:r w:rsidDel="00000000" w:rsidR="00000000" w:rsidRPr="00000000">
        <w:rPr>
          <w:rFonts w:ascii="Google Sans" w:cs="Google Sans" w:eastAsia="Google Sans" w:hAnsi="Google Sans"/>
          <w:b w:val="1"/>
          <w:bCs w:val="1"/>
          <w:color w:val="1f1f1f"/>
          <w:rtl w:val="0"/>
        </w:rPr>
        <w:t xml:space="preserve">универсальный комплаенс-виджет "Widerrufsbutton"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Универсальность и простота внедрения:</w:t>
      </w:r>
      <w:r w:rsidDel="00000000" w:rsidR="00000000" w:rsidRPr="00000000">
        <w:rPr>
          <w:rFonts w:ascii="Google Sans" w:cs="Google Sans" w:eastAsia="Google Sans" w:hAnsi="Google Sans"/>
          <w:color w:val="1f1f1f"/>
          <w:rtl w:val="0"/>
        </w:rPr>
        <w:t xml:space="preserve"> Легковесный JS-скрипт (до 3 KB), который встраивается на любую платформу с помощью одного тега &lt;script defer src="..."&gt;&lt;/script&gt;.</w:t>
      </w:r>
    </w:p>
    <w:p w:rsidR="00000000" w:rsidDel="00000000" w:rsidP="00000000" w:rsidRDefault="00000000" w:rsidRPr="00000000" w14:paraId="0000001F">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Изолированность (Zero CSS Conflicts):</w:t>
      </w:r>
      <w:r w:rsidDel="00000000" w:rsidR="00000000" w:rsidRPr="00000000">
        <w:rPr>
          <w:rFonts w:ascii="Google Sans" w:cs="Google Sans" w:eastAsia="Google Sans" w:hAnsi="Google Sans"/>
          <w:color w:val="1f1f1f"/>
          <w:rtl w:val="0"/>
        </w:rPr>
        <w:t xml:space="preserve"> Рендеринг интерфейса формы внутри Shadow DOM полностью исключает взаимное влияние стилей виджета и клиентского сайта.</w:t>
      </w:r>
    </w:p>
    <w:p w:rsidR="00000000" w:rsidDel="00000000" w:rsidP="00000000" w:rsidRDefault="00000000" w:rsidRPr="00000000" w14:paraId="00000020">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Юридический комплаенс "из коробки":</w:t>
      </w:r>
      <w:r w:rsidDel="00000000" w:rsidR="00000000" w:rsidRPr="00000000">
        <w:rPr>
          <w:rFonts w:ascii="Google Sans" w:cs="Google Sans" w:eastAsia="Google Sans" w:hAnsi="Google Sans"/>
          <w:color w:val="1f1f1f"/>
          <w:rtl w:val="0"/>
        </w:rPr>
        <w:t xml:space="preserve"> Реализация строгого 4-этапного процесса без принудительной авторизации (Login-Wall) и сбора избыточных данных (никаких полей для указания "причины возврата").</w:t>
      </w:r>
    </w:p>
    <w:p w:rsidR="00000000" w:rsidDel="00000000" w:rsidP="00000000" w:rsidRDefault="00000000" w:rsidRPr="00000000" w14:paraId="00000021">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Криптографический аудит (Beweislast):</w:t>
      </w:r>
      <w:r w:rsidDel="00000000" w:rsidR="00000000" w:rsidRPr="00000000">
        <w:rPr>
          <w:rFonts w:ascii="Google Sans" w:cs="Google Sans" w:eastAsia="Google Sans" w:hAnsi="Google Sans"/>
          <w:color w:val="1f1f1f"/>
          <w:rtl w:val="0"/>
        </w:rPr>
        <w:t xml:space="preserve"> Генерация SHA-256 хеш-отпечатков для каждой транзакции, их объединение в Merkle Tree и ежедневная фиксация Merkle Root на независимом сервере точного времени (RFC 3161 TSA).</w:t>
      </w:r>
    </w:p>
    <w:p w:rsidR="00000000" w:rsidDel="00000000" w:rsidP="00000000" w:rsidRDefault="00000000" w:rsidRPr="00000000" w14:paraId="00000022">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Надежные квитанции:</w:t>
      </w:r>
      <w:r w:rsidDel="00000000" w:rsidR="00000000" w:rsidRPr="00000000">
        <w:rPr>
          <w:rFonts w:ascii="Google Sans" w:cs="Google Sans" w:eastAsia="Google Sans" w:hAnsi="Google Sans"/>
          <w:color w:val="1f1f1f"/>
          <w:rtl w:val="0"/>
        </w:rPr>
        <w:t xml:space="preserve"> Мгновенная отправка клиенту email с уникальной ссылкой Proof-URL, выступающей в качестве "надежного носителя" согласно § 126b BGB.</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Составление требований к системе (System Requirements Specification)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корректной и быстрой генерации кода моделью Fable 5, требования разделены на MVP (функционал первой версии), будущие итерации и жесткие нефункциональные рамки.</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Функциональные требования (MVP)</w:t>
      </w:r>
    </w:p>
    <w:p w:rsidR="00000000" w:rsidDel="00000000" w:rsidP="00000000" w:rsidRDefault="00000000" w:rsidRPr="00000000" w14:paraId="00000026">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JS-виджет в Shadow DOM:</w:t>
      </w:r>
    </w:p>
    <w:p w:rsidR="00000000" w:rsidDel="00000000" w:rsidP="00000000" w:rsidRDefault="00000000" w:rsidRPr="00000000" w14:paraId="00000027">
      <w:pPr>
        <w:numPr>
          <w:ilvl w:val="1"/>
          <w:numId w:val="11"/>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Инициализация виджета в изолированном дереве attachShadow({ mode: 'closed' }).</w:t>
      </w:r>
    </w:p>
    <w:p w:rsidR="00000000" w:rsidDel="00000000" w:rsidP="00000000" w:rsidRDefault="00000000" w:rsidRPr="00000000" w14:paraId="00000028">
      <w:pPr>
        <w:numPr>
          <w:ilvl w:val="1"/>
          <w:numId w:val="11"/>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Отображение плавающей кнопки с текстом "Vertrag widerrufen" (стили зафиксированы через position: fixed; z-index: 999999).</w:t>
      </w:r>
    </w:p>
    <w:p w:rsidR="00000000" w:rsidDel="00000000" w:rsidP="00000000" w:rsidRDefault="00000000" w:rsidRPr="00000000" w14:paraId="00000029">
      <w:pPr>
        <w:numPr>
          <w:ilvl w:val="1"/>
          <w:numId w:val="11"/>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Доступ к форме без авторизации на родительском сайте.</w:t>
      </w:r>
    </w:p>
    <w:p w:rsidR="00000000" w:rsidDel="00000000" w:rsidP="00000000" w:rsidRDefault="00000000" w:rsidRPr="00000000" w14:paraId="0000002A">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Двухэтапный пользовательский интерфейс (UI Flow):</w:t>
      </w:r>
    </w:p>
    <w:p w:rsidR="00000000" w:rsidDel="00000000" w:rsidP="00000000" w:rsidRDefault="00000000" w:rsidRPr="00000000" w14:paraId="0000002B">
      <w:pPr>
        <w:numPr>
          <w:ilvl w:val="1"/>
          <w:numId w:val="12"/>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i w:val="1"/>
          <w:iCs w:val="1"/>
          <w:color w:val="1f1f1f"/>
          <w:rtl w:val="0"/>
        </w:rPr>
        <w:t xml:space="preserve">Шаг 1:</w:t>
      </w:r>
      <w:r w:rsidDel="00000000" w:rsidR="00000000" w:rsidRPr="00000000">
        <w:rPr>
          <w:rFonts w:ascii="Google Sans" w:cs="Google Sans" w:eastAsia="Google Sans" w:hAnsi="Google Sans"/>
          <w:color w:val="1f1f1f"/>
          <w:rtl w:val="0"/>
        </w:rPr>
        <w:t xml:space="preserve"> Сбор данных. Поля ввода: Имя покупателя, Идентификатор контракта/заказа, Email-адрес. Запрещено использовать любые другие поля (включая причины возврата).</w:t>
      </w:r>
    </w:p>
    <w:p w:rsidR="00000000" w:rsidDel="00000000" w:rsidP="00000000" w:rsidRDefault="00000000" w:rsidRPr="00000000" w14:paraId="0000002C">
      <w:pPr>
        <w:numPr>
          <w:ilvl w:val="1"/>
          <w:numId w:val="12"/>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i w:val="1"/>
          <w:iCs w:val="1"/>
          <w:color w:val="1f1f1f"/>
          <w:rtl w:val="0"/>
        </w:rPr>
        <w:t xml:space="preserve">Шаг 2:</w:t>
      </w:r>
      <w:r w:rsidDel="00000000" w:rsidR="00000000" w:rsidRPr="00000000">
        <w:rPr>
          <w:rFonts w:ascii="Google Sans" w:cs="Google Sans" w:eastAsia="Google Sans" w:hAnsi="Google Sans"/>
          <w:color w:val="1f1f1f"/>
          <w:rtl w:val="0"/>
        </w:rPr>
        <w:t xml:space="preserve"> Финальное подтверждение. Кнопка с надписью "Widerruf bestätigen" для отправки асинхронного POST-запроса на бэкенд.</w:t>
      </w:r>
    </w:p>
    <w:p w:rsidR="00000000" w:rsidDel="00000000" w:rsidP="00000000" w:rsidRDefault="00000000" w:rsidRPr="00000000" w14:paraId="0000002D">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Бессерверный API-эндпоинт (Next.js API Edge Route):</w:t>
      </w:r>
    </w:p>
    <w:p w:rsidR="00000000" w:rsidDel="00000000" w:rsidP="00000000" w:rsidRDefault="00000000" w:rsidRPr="00000000" w14:paraId="0000002E">
      <w:pPr>
        <w:numPr>
          <w:ilvl w:val="1"/>
          <w:numId w:val="13"/>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Проверка заголовка Origin на соответствие белому списку разрешенных доменов (CORS) для защиты от несанкционированного встраивания виджета.</w:t>
      </w:r>
    </w:p>
    <w:p w:rsidR="00000000" w:rsidDel="00000000" w:rsidP="00000000" w:rsidRDefault="00000000" w:rsidRPr="00000000" w14:paraId="0000002F">
      <w:pPr>
        <w:numPr>
          <w:ilvl w:val="1"/>
          <w:numId w:val="13"/>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Строгая валидация входящих данных на основе Zod-схемы (санитизация XSS).</w:t>
      </w:r>
    </w:p>
    <w:p w:rsidR="00000000" w:rsidDel="00000000" w:rsidP="00000000" w:rsidRDefault="00000000" w:rsidRPr="00000000" w14:paraId="00000030">
      <w:pPr>
        <w:numPr>
          <w:ilvl w:val="1"/>
          <w:numId w:val="13"/>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Генерация SHA-256 хеша транзакции на основе канонического JSON (ID магазина, email, номер заказа, ISO 8601 Timestamp).</w:t>
      </w:r>
    </w:p>
    <w:p w:rsidR="00000000" w:rsidDel="00000000" w:rsidP="00000000" w:rsidRDefault="00000000" w:rsidRPr="00000000" w14:paraId="00000031">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База данных (Supabase PostgreSQL):</w:t>
      </w:r>
    </w:p>
    <w:p w:rsidR="00000000" w:rsidDel="00000000" w:rsidP="00000000" w:rsidRDefault="00000000" w:rsidRPr="00000000" w14:paraId="00000032">
      <w:pPr>
        <w:numPr>
          <w:ilvl w:val="1"/>
          <w:numId w:val="14"/>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Запись транзакции в режиме "append-only" в таблицу withdrawal_requests.</w:t>
      </w:r>
    </w:p>
    <w:p w:rsidR="00000000" w:rsidDel="00000000" w:rsidP="00000000" w:rsidRDefault="00000000" w:rsidRPr="00000000" w14:paraId="00000033">
      <w:pPr>
        <w:numPr>
          <w:ilvl w:val="1"/>
          <w:numId w:val="14"/>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Включение политик безопасности Row-Level Security (RLS) для изоляции данных клиентов.</w:t>
      </w:r>
    </w:p>
    <w:p w:rsidR="00000000" w:rsidDel="00000000" w:rsidP="00000000" w:rsidRDefault="00000000" w:rsidRPr="00000000" w14:paraId="00000034">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Транзакционные квитанции (Email Service):</w:t>
      </w:r>
    </w:p>
    <w:p w:rsidR="00000000" w:rsidDel="00000000" w:rsidP="00000000" w:rsidRDefault="00000000" w:rsidRPr="00000000" w14:paraId="00000035">
      <w:pPr>
        <w:numPr>
          <w:ilvl w:val="1"/>
          <w:numId w:val="15"/>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Мгновенный вызов API Resend/SendGrid для отправки HTML-письма потребителю.</w:t>
      </w:r>
    </w:p>
    <w:p w:rsidR="00000000" w:rsidDel="00000000" w:rsidP="00000000" w:rsidRDefault="00000000" w:rsidRPr="00000000" w14:paraId="00000036">
      <w:pPr>
        <w:numPr>
          <w:ilvl w:val="1"/>
          <w:numId w:val="15"/>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Письмо должно содержать: дату/время получения с точностью до секунды, тело запроса, вычисленный SHA-256 хеш и Proof-URL ссылку для верификации.</w:t>
      </w:r>
    </w:p>
    <w:p w:rsidR="00000000" w:rsidDel="00000000" w:rsidP="00000000" w:rsidRDefault="00000000" w:rsidRPr="00000000" w14:paraId="00000037">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Кабинет клиента (Admin Dashboard):</w:t>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Регистрация, генерация API Key, настройка разрешенных доменов (CORS whitelist), получение JS-кода для интеграции.</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Дополнительные функции (после MVP)</w:t>
      </w:r>
    </w:p>
    <w:p w:rsidR="00000000" w:rsidDel="00000000" w:rsidP="00000000" w:rsidRDefault="00000000" w:rsidRPr="00000000" w14:paraId="0000003A">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White-label панель для IT-агентств (B2B2B):</w:t>
      </w:r>
    </w:p>
    <w:p w:rsidR="00000000" w:rsidDel="00000000" w:rsidP="00000000" w:rsidRDefault="00000000" w:rsidRPr="00000000" w14:paraId="0000003B">
      <w:pPr>
        <w:numPr>
          <w:ilvl w:val="1"/>
          <w:numId w:val="18"/>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Многопользовательский личный кабинет, позволяющий веб-студиям регистрировать своих клиентов, управлять их доменами и генерировать индивидуальные JS-скрипты под своим брендом.</w:t>
      </w:r>
    </w:p>
    <w:p w:rsidR="00000000" w:rsidDel="00000000" w:rsidP="00000000" w:rsidRDefault="00000000" w:rsidRPr="00000000" w14:paraId="0000003C">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Автоматизированный криптографический аудит (CRON Merkle Worker):</w:t>
      </w:r>
    </w:p>
    <w:p w:rsidR="00000000" w:rsidDel="00000000" w:rsidP="00000000" w:rsidRDefault="00000000" w:rsidRPr="00000000" w14:paraId="0000003D">
      <w:pPr>
        <w:numPr>
          <w:ilvl w:val="1"/>
          <w:numId w:val="19"/>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Ежедневный запуск фоновой задачи в 23:59 UTC.</w:t>
      </w:r>
    </w:p>
    <w:p w:rsidR="00000000" w:rsidDel="00000000" w:rsidP="00000000" w:rsidRDefault="00000000" w:rsidRPr="00000000" w14:paraId="0000003E">
      <w:pPr>
        <w:numPr>
          <w:ilvl w:val="1"/>
          <w:numId w:val="19"/>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Группировка всех суточных хешей транзакций по организациям.</w:t>
      </w:r>
    </w:p>
    <w:p w:rsidR="00000000" w:rsidDel="00000000" w:rsidP="00000000" w:rsidRDefault="00000000" w:rsidRPr="00000000" w14:paraId="0000003F">
      <w:pPr>
        <w:numPr>
          <w:ilvl w:val="1"/>
          <w:numId w:val="19"/>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Построение бинарного дерева Меркла с использованием библиотеки @openzeppelin/merkle-tree.</w:t>
      </w:r>
    </w:p>
    <w:p w:rsidR="00000000" w:rsidDel="00000000" w:rsidP="00000000" w:rsidRDefault="00000000" w:rsidRPr="00000000" w14:paraId="00000040">
      <w:pPr>
        <w:numPr>
          <w:ilvl w:val="1"/>
          <w:numId w:val="19"/>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Отправка вычисленного Merkle Root на сервер DigiCert TSA (http://timestamp.digicert.com) по протоколу RFC 3161 для получения доверенной временной метки.</w:t>
      </w:r>
    </w:p>
    <w:p w:rsidR="00000000" w:rsidDel="00000000" w:rsidP="00000000" w:rsidRDefault="00000000" w:rsidRPr="00000000" w14:paraId="00000041">
      <w:pPr>
        <w:numPr>
          <w:ilvl w:val="1"/>
          <w:numId w:val="19"/>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Сохранение полученного ASN.1 DER токена в таблицу merkle_roots для обеспечения неопровержимости логов.</w:t>
      </w:r>
    </w:p>
    <w:p w:rsidR="00000000" w:rsidDel="00000000" w:rsidP="00000000" w:rsidRDefault="00000000" w:rsidRPr="00000000" w14:paraId="00000042">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Интеллектуальная маршрутизация (Dual-Button Widget):</w:t>
      </w:r>
    </w:p>
    <w:p w:rsidR="00000000" w:rsidDel="00000000" w:rsidP="00000000" w:rsidRDefault="00000000" w:rsidRPr="00000000" w14:paraId="00000043">
      <w:pPr>
        <w:numPr>
          <w:ilvl w:val="1"/>
          <w:numId w:val="20"/>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Динамический виджет "два в одном", объединяющий Kündigungsbutton (§ 312k BGB — отмена подписок) и Widerrufsbutton (§ 356a BGB — возврат покупок).</w:t>
      </w:r>
    </w:p>
    <w:p w:rsidR="00000000" w:rsidDel="00000000" w:rsidP="00000000" w:rsidRDefault="00000000" w:rsidRPr="00000000" w14:paraId="00000044">
      <w:pPr>
        <w:numPr>
          <w:ilvl w:val="1"/>
          <w:numId w:val="20"/>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По вводу идентификатора контракта система на лету определяет тип сделки и перестраивает UI под требования конкретной нормы закона.</w:t>
      </w:r>
    </w:p>
    <w:p w:rsidR="00000000" w:rsidDel="00000000" w:rsidP="00000000" w:rsidRDefault="00000000" w:rsidRPr="00000000" w14:paraId="00000045">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Портал экспорта судебных доказательств:</w:t>
      </w:r>
    </w:p>
    <w:p w:rsidR="00000000" w:rsidDel="00000000" w:rsidP="00000000" w:rsidRDefault="00000000" w:rsidRPr="00000000" w14:paraId="00000046">
      <w:pPr>
        <w:numPr>
          <w:ilvl w:val="1"/>
          <w:numId w:val="21"/>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Интерфейс в личном кабинете B2B-клиента, позволяющий скачать верифицированный ZIP-архив с JSON-файлом лога, Merkle Proof путем и RFC 3161 TSA-токеном для предоставления в суде Германии.</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Нефункциональные требования (NFRs)</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Производительность и размер:</w:t>
      </w:r>
    </w:p>
    <w:p w:rsidR="00000000" w:rsidDel="00000000" w:rsidP="00000000" w:rsidRDefault="00000000" w:rsidRPr="00000000" w14:paraId="00000049">
      <w:pPr>
        <w:numPr>
          <w:ilvl w:val="1"/>
          <w:numId w:val="3"/>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Скомпилированный и минифицированный фронтенд-скрипт (widget.min.js) должен весить строго не более 3–5 KB.</w:t>
      </w:r>
    </w:p>
    <w:p w:rsidR="00000000" w:rsidDel="00000000" w:rsidP="00000000" w:rsidRDefault="00000000" w:rsidRPr="00000000" w14:paraId="0000004A">
      <w:pPr>
        <w:numPr>
          <w:ilvl w:val="1"/>
          <w:numId w:val="3"/>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Загрузка виджета не должна блокировать рендеринг страницы (использование атрибута defer) и ухудшать метрики Core Web Vitals (LCP, FID, CLS) клиентского сайта.</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Время отклика (Latency):</w:t>
      </w:r>
    </w:p>
    <w:p w:rsidR="00000000" w:rsidDel="00000000" w:rsidP="00000000" w:rsidRDefault="00000000" w:rsidRPr="00000000" w14:paraId="0000004C">
      <w:pPr>
        <w:numPr>
          <w:ilvl w:val="1"/>
          <w:numId w:val="4"/>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Обработка POST-запроса на Edge-сервере Next.js не должна превышать 120 мс.</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Отказоустойчивость и буферизация:</w:t>
      </w:r>
    </w:p>
    <w:p w:rsidR="00000000" w:rsidDel="00000000" w:rsidP="00000000" w:rsidRDefault="00000000" w:rsidRPr="00000000" w14:paraId="0000004E">
      <w:pPr>
        <w:numPr>
          <w:ilvl w:val="1"/>
          <w:numId w:val="5"/>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Реализация паттерна экспоненциальной задержки (exponential backoff) при сетевых сбоях связи с внешними сервисами (Resend, DigiCert TSA).</w:t>
      </w:r>
    </w:p>
    <w:p w:rsidR="00000000" w:rsidDel="00000000" w:rsidP="00000000" w:rsidRDefault="00000000" w:rsidRPr="00000000" w14:paraId="0000004F">
      <w:pPr>
        <w:numPr>
          <w:ilvl w:val="1"/>
          <w:numId w:val="5"/>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В случае недоступности серверов времени транзакция сохраняется с флагом tsa_pending: true для последующей отложенной нотаризации.</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Информационная безопасность и приватность (GDPR / DSGVO):</w:t>
      </w:r>
    </w:p>
    <w:p w:rsidR="00000000" w:rsidDel="00000000" w:rsidP="00000000" w:rsidRDefault="00000000" w:rsidRPr="00000000" w14:paraId="00000051">
      <w:pPr>
        <w:numPr>
          <w:ilvl w:val="1"/>
          <w:numId w:val="6"/>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Использование политик Row-Level Security (RLS) в Supabase для абсолютной изоляции данных между магазинами-клиентами.</w:t>
      </w:r>
    </w:p>
    <w:p w:rsidR="00000000" w:rsidDel="00000000" w:rsidP="00000000" w:rsidRDefault="00000000" w:rsidRPr="00000000" w14:paraId="00000052">
      <w:pPr>
        <w:numPr>
          <w:ilvl w:val="1"/>
          <w:numId w:val="6"/>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Запрет сбора любых данных, не требуемых по закону § 356a BGB (принцип минимизации данных GDPR).</w:t>
      </w:r>
    </w:p>
    <w:p w:rsidR="00000000" w:rsidDel="00000000" w:rsidP="00000000" w:rsidRDefault="00000000" w:rsidRPr="00000000" w14:paraId="00000053">
      <w:pPr>
        <w:numPr>
          <w:ilvl w:val="1"/>
          <w:numId w:val="6"/>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Шифрование персональных данных (email, имя) в базе данных в состоянии покоя (Encryption at Rest).</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Совместимость и доступность:</w:t>
      </w:r>
    </w:p>
    <w:p w:rsidR="00000000" w:rsidDel="00000000" w:rsidP="00000000" w:rsidRDefault="00000000" w:rsidRPr="00000000" w14:paraId="00000055">
      <w:pPr>
        <w:numPr>
          <w:ilvl w:val="1"/>
          <w:numId w:val="7"/>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Безупречная работа виджета во всех современных браузерах (Chrome, Safari, Edge, Firefox).</w:t>
      </w:r>
    </w:p>
    <w:p w:rsidR="00000000" w:rsidDel="00000000" w:rsidP="00000000" w:rsidRDefault="00000000" w:rsidRPr="00000000" w14:paraId="00000056">
      <w:pPr>
        <w:numPr>
          <w:ilvl w:val="1"/>
          <w:numId w:val="7"/>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Соответствие требованиям доступности веб-контента (WCAG 2.1 / Barrierefreiheitsstärkungsgesetz) для шрифтов, контрастов и чтения скринридерами.</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Технологический стек и архитектурный фундамент</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обеспечения мгновенной загрузки виджета на тысячах клиентских сайтов без негативного влияния на их показатели производительности (Core Web Vitals), а также для юридически надежного хранения криптографических логов, система должна быть построена на современном, легковесном и бессерверном (serverless) стеке технологий. В таблице ниже представлена детализация утвержденного технологического стека, который ИИ-модель должен использовать при кодогенерации.</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Компонент архитектуры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Выбранная технология / Фреймворк</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Обоснование и системные требования</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Frontend (Client Widget)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Vanilla JavaScript / Preact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Минимизация размера бандла (строго до 3–5 KB). Полный отказ от тяжелых сред выполнения (React, Vue) на стороне встраиваемого скрипта [cite: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Инкапсуляция стилей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Shadow DOM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Виджет обязан рендериться внутри изолированного дерева DOM (attachShadow({ mode: 'closed' })). Это гарантирует, что глобальные CSS-правила клиентского сайта не скроют кнопку расторжения [cite: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Backend API / Хостинг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Next.js (API Routes) на Vercel Edge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Бессерверная архитектура обеспечивает мгновенную обработку запросов и генерацию хешей с глобальным гео-распределением вблизи конечных пользователей.</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База данных / Auth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Supabase (PostgreSQL)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Применение политик безопасности на уровне строк (RLS) для строгой изоляции данных независимых клиентов. Хранение логов в режиме "append-only" [cite: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Криптография (Beweislast)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Node.js crypto, @openzeppelin/merkle-tree, RFC 3161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Ежедневное построение деревьев Меркла [cite: 1, 15, 16] и интеграция с серверами DigiCert TSA (http://timestamp.digicert.com) для получения доверенных меток времени [cite: 12, 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Транзакционные Email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Resend API или SendGrid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Гарантированная доставка квитанций. Требуется строгая настройка протоколов аутентификации (DKIM, SPF, DMARC) для исключения попадания писем в спам [cite: 1].</w:t>
            </w:r>
          </w:p>
        </w:tc>
      </w:tr>
    </w:tbl>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Жизненный цикл проекта: Пошаговая спецификация для разработки</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обеспечения предсказуемости результатов кодогенерации, процесс создания продукта разбивается на пять последовательных этапов. Для каждого этапа определены чёткие цели, ключевые шаги и ожидаемые метрики завершенности.</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Инициация: Идея и стратегическое планирование</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Цель данного этапа заключается в закладке концептуального и юридического фундамента программного продукта, гарантирующего стопроцентное соответствие требованиям Директивы ЕС 2023/2673 и § 356a BGB. Этот этап должен исключить любые риски расширения масштабов проекта (scope creep) или юридических уязвимостей на более поздних стадиях разработки [cite: 1, 17].</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Процесс инициации начинается с определения строгой структуры передаваемых данных (Payload schema) между клиентским JavaScript-виджетом и бэкенд-инфраструктурой. Архитектор системы должен зафиксировать минимально необходимый набор полей JSON, который будет приниматься сервером, исключая передачу любой избыточной персональной информации, нарушающей принципы GDPR. Следующим критическим шагом является проектирование логики работы системы без предварительной авторизации конечного потребителя (Guest Checkout Bypass). Пользователь должен иметь беспрепятственную возможность инициировать отзыв контракта, используя лишь связку адреса электронной почты и идентификатора заказа [cite: 5, 10].</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Параллельно осуществляется подготовка юридически выверенных шаблонов для пользовательского интерфейса. Поскольку продукт ориентирован на регион DACH, базовым языком интерфейса является немецкий, однако система должна поддерживать английскую локализацию для обслуживания международных интернет-магазинов, оперирующих на немецком рынке.</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Результатом фазы инициации становится утвержденная архитектура данных (JSON-схемы), детализированная схема пользовательского пути (User Journey), учитывающая все пограничные состояния (например, ошибки сети или невалидные номера заказов), а также полная матрица локализации всех текстовых узлов будущего виджета.</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Планирование: Проектирование архитектуры системы</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Целью этапа планирования является проектирование отказоустойчивой, распределенной системы, способной бесшовно интеграроваться в абсолютно любой технологический стек клиентского сайта, будь то классические монолиты (Shopify, WordPress, Shopware) или современные headless-решения на базе Next.js или Laravel [cite: 1, 18].</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Первостепенным шагом на этом этапе является разработка стратегии инкапсуляции через Shadow DOM. Спецификация требует создания такого механизма внедрения, при котором виджет не будет нарушать глобальные правила форматирования родительского окна. И наоборот, агрессивные CSS-сбросы (reset styles), применяемые на сайте клиента, не должны искажать форму отзыва. Это юридическое требование: если кнопка станет нечитаемой из-за конфликта стилей, регуляторы расценят это как попытку утаить функционал расторжения [cite: 1, 5].</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Затем осуществляется проектирование схемы реляционной базы данных в среде Supabase. Основная архитектура должна состоять из трех взаимосвязанных таблиц. Таблица организаций (organizations) будет хранить идентификаторы B2B-клиентов, их уникальные ключи доступа (API Keys) и белые списки доменов (Domain Whitelist) для предотвращения несанкционированного использования виджета. Таблица запросов на расторжение (withdrawal_requests) предназначена для хранения транзакционных логов, включая имена потребителей, идентификаторы контрактов, адреса электронной почты, строгие временные метки и сгенерированные криптографические хеши SHA-256. Третья таблица (merkle_roots) будет использоваться для архивирования ежедневных корней деревьев Меркла и хранения бинарных токенов протокола RFC 3161, подтверждающих неизменность данных [cite: 1, 12, 13, 15].</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Финальным шагом планирования является дизайн программного интерфейса (API). Спецификация требует описания публичного эндпоинта для приема заявок с обязательной поддержкой политик совместного использования ресурсов между разными источниками (CORS) и механизмов ограничения частоты запросов (Rate Limiting) для защиты системы от DDoS-атак и автоматизированного спама.</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Итогом этапа планирования выступают готовые миграционные скрипты для базы данных, спецификация OpenAPI/Swagger для всех разрабатываемых эндпоинтов и задокументированный протокол интеграции виджета на сторону клиента через внедрение единого асинхронного тега &lt;script defer src=".../widget.js"&gt;&lt;/script&gt;.</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Реализация: Разработка (Критическая фаза кодогенерации)</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Этап реализации является ядром данного технического задания. Его цель — написание, рефакторинг и модульное тестирование кода фронтенд-виджета, бэкенд-сервисов и криптографического ядра. Именно на этом этапе автономная модель Fable 5 должна применить максимальную вычислительную мощность, руководствуясь следующими строгими инструкциями.</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 области фронтенд-разработки модель должна создать настраиваемый пользовательский элемент (Custom Web Component), который инициализирует закрытое теневое дерево (attachShadow({ mode: 'closed' })). Внутри этого дерева необходимо внедрить минифицированные CSS-стили, обеспечивающие плавающее отображение кнопки в углу экрана поверх остального контента (с использованием свойств position: fixed и максимального значения z-index). Логика компонента должна реализовывать двухступенчатое модальное окно. Первый стейт отображает форму с тремя полями ввода и кнопкой подтверждения, строго исключая любые дополнительные элементы [cite: 6]. Второй стейт переводит форму в режим экрана успеха, информируя потребителя о том, что заявка принята и квитанция отправлена на почту. Связь с сервером должна осуществляться через асинхронные fetch запросы, передающие полезную нагрузку и идентификатор магазина.</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Бэкенд-разработка требует создания защищенного маршрута обработки данных (API Route) в среде Next.js. При поступлении POST-запроса сервер обязан выполнить строгую валидацию. Во-первых, проверяется CORS: система сверяет заголовок Origin запроса с белым списком доменов, привязанных к конкретному ключу API магазина. Затем полезная нагрузка валидируется с использованием схемы Zod, что гарантирует корректность формата электронной почты и защищает базу данных от инъекций.</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После успешной валидации, но строго до записи данных в базу, бэкенд должен инициировать криптографический процесс. Для обеспечения детерминированности хеширования ИИ-модель обязана реализовать алгоритм канонической сериализации JSON [cite: 11]. Сформированная каноническая строка передается в криптографический модуль Node.js (crypto.createHash('sha256').update(canonicalString).digest('hex')). Полученный отпечаток сохраняется в базу данных вместе с заявкой [cite: 1, 11].</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Параключительно процессу сохранения бэкенд инициирует отправку транзакционного письма через интеграцию с API провайдера Resend. Сформированное письмо (или вложенный PDF-документ) обязано содержать имя покупателя, номер расторгаемого контракта, дату и время получения заявки сервером в стандарте ISO 8601, а также вычисленный ранее криптографический хеш [cite: 4, 5]. Письмо направляется конечному потребителю, при этом копия может быть скрыто (BCC) отправлена владельцу интернет-магазина.</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Наиболее сложным архитектурным элементом этапа реализации является создание фонового сервиса для криптографического аудита. Модель должна сгенерировать микросервис (Background Worker или CRON job), который будет запускаться ежедневно в 23:59 по координированному всемирному времени (UTC). Этот сервис выполняет запрос к базе данных, извлекая все уникальные хеши заявок за прошедшие сутки, сгруппированные по идентификаторам организаций. Используя специализированную библиотеку @openzeppelin/merkle-tree, сервис алгоритмически строит бинарное криптографическое дерево из полученных листьев-хешей [cite: 15, 16]. Вычисленный корень дерева (Merkle Root) затем упаковывается в запрос стандарта TimeStampReq и отправляется по протоколу HTTP на внешний сервер сертификационного центра (например, DigiCert TSA) [cite: 12, 13, 14]. В ответ сервис получает криптографически подписанный токен TimeStampResp в кодировке ASN.1 DER, который надежно сохраняется в базу данных. Эта последовательность действий формирует неопровержимую цепь доказательств.</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Ожидаемым результатом фазы реализации является полностью функционирующий прототип: автономный клиентский скрипт, защищенный API-сервис, настроенная база данных с политиками безопасности и автоматизированная система криптографического хеширования, валидируемая внешними серверами точного времени.</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Внедрение: Деплой и подготовка к эксплуатации</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Цель этапа внедрения — перевод протестированного прототипа в производственную (production) среду, обеспечение высокой доступности (High Availability) системы и развертывание инфраструктуры, необходимой для массового подключения (onboarding) первых B2B-клиентов.</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Процесс внедрения начинается с развертывания бэкенд-кода на глобальной бессерверной платформе Vercel. Маршрут приема заявок на расторжение контрактов должен быть строго сконфигурирован как Vercel Edge Function. Использование граничных вычислений минимизирует задержки "холодного старта" (Cold Start) и гарантирует, что запросы обрабатываются в дата-центре, физически ближайшем к конечному потребителю (например, во франкфуртском узле fra1 для трафика из региона DACH).</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Параллельно осуществляется сборка клиентского виджета с использованием бандлеров (Webpack или Rollup) для генерации максимально обфусцированного и минифицированного файла widget.min.js. Этот скрипт размещается на распределенной сети доставки контента (CDN), такой как Cloudflare или AWS CloudFront. На уровне CDN должны быть настроены агрессивные политики кэширования (через заголовки Cache-Control), чтобы скрипт отдавался браузерам пользователей за считанные миллисекунды, не создавая нагрузки на основные серверы продукта.</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Важным аспектом внедрения является создание клиентского портала самообслуживания (Client Dashboard). Владелец бизнеса (интернет-магазина) должен иметь возможность самостоятельно зарегистрироваться, указать адреса своих доменов и получить уникальный сгенерированный JavaScript-сниппет, который он скопирует в исходный код своего сайта. На этом же этапе настраивается система телеметрии и алертинга (например, интеграция с Sentry), предназначенная для мониторинга ошибок выполнения виджета на сторонних сайтах в режиме реального времени.</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Результатом этапа внедрения становится масштабируемый SaaS-продукт, способный выдерживать экстремальные пиковые нагрузки (например, в периоды распродаж "Черной пятницы") без потери критически важных транзакционных заявок, полностью развернутый в отказоустойчивом облаке.</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Поддержка и развитие: Масштабирование и адаптация</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Финальный этап жизненного цикла фокусируется на поддержании юридической легитимности продукта в условиях меняющейся правоприменительной практики, а также на максимизации регулярной выручки (MRR) путем разработки новых функциональных возможностей и каналов сбыта.</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Ключевым процессом на данном этапе является непрерывный комплаенс-контроль. Правоприменительная практика в Германии имеет свойство уточняться после вступления законов в силу на основании первых судебных прецедентов. Команда поддержки (или алгоритмы регулярного обновления) должна быть готова динамически изменять тексты предупреждений или формы ввода в виджете через централизованное API, избавляя клиентов от необходимости вносить изменения в исходный код своих сайтов.</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Дополнительно система должна развивать интерфейсы экспорта доказательной базы. В случае получения магазином официальной претензии, владелец должен иметь возможность выгрузить из своего личного кабинета структурированный JSON-файл, содержащий полное дерево Меркла, исходную заявку и токен RFC 3161 [cite: 1, 14]. Эта документация передается адвокатам и служит абсолютной защитой в суде, доказывая неизменность логов.</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Вектор развития продукта должен включать создание B2B2B архитектуры (White-label). Адаптация системы под нужды крупных IT-интеграторов, разработчиков на Shopify и маркетинговых агентств позволит им закупать лицензии оптом (например, пакеты на 50 сайтов) и перепродавать виджет своим клиентам под собственным брендом [cite: 18].</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Наконец, сложнейшей задачей развития станет обработка смешанных контрактов. Законодательство ФРГ строго разделяет отмену регулярных подписок (требуется Kündigungsbutton по § 312k BGB [cite: 6, 10]) и возврат разовых покупок (требуется Widerrufsbutton по § 356a BGB [cite: 3, 10]). Интеллектуальное развитие виджета предполагает внедрение алгоритмов маршрутизации, которые будут автоматически определять тип контракта по введенному идентификатору и динамически перестраивать пользовательский интерфейс в соответствии с нужной нормой закона [cite: 10].</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Результатом фазы поддержки и развития является трансформация продукта из узкоспециализированной утилиты в стабильный, самоподдерживающийся B2B-актив с минимальным показателем оттока клиентов (Churn Rate), генерирующий стабильный денежный поток.</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Инструкции по компиляции и парадигмы генерации кода для Fable 5</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При обработке данного документа и последующей генерации кодовой базы, ИИ-модель Fable 5 обязана строго руководствоваться следующими архитектурными парадигмами:</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Во-первых, код клиентского виджета должен проектироваться на основе принципа «Нулевого доверия к окружению» (Zero Trust Environment). Модель должна исходить из предположения, что среда выполнения на сайте клиента максимально враждебна (наличие конфликтующих версий библиотек, переопределенные глобальные объекты JavaScript, экстремальные CSS-сбросы стилей). Использование Shadow DOM для инкапсуляции разметки и стилей не является рекомендацией — это безальтернативное системное требование.</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Во-вторых, запрещается полагаться исключительно на валидацию данных на стороне клиента. Все данные, поступающие на эндпоинт приема заявок, должны проходить синхронную, многоуровневую очистку (sanitization) на сервере. Это необходимо для предотвращения межсайтового скриптинга (XSS) и инъекций, которые могут быть алгоритмически сохранены в криптографических логах аудита, компрометируя всю систему.</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В-третьих, архитектура должна предусматривать механизмы резервирования для криптографических операций. Если внешний сервер метки времени (DigiCert TSA) оказывается недоступным по тайм-ауту, бэкенд обязан реализовывать паттерн экспоненциальной задержки (exponential backoff) для повторных попыток соединения. В случае окончательного сбоя связи, хеш-запись все равно фиксируется в базе данных, однако она алгоритмически помечается специализированным флагом (например, tsa_pending: true) для последующей отложенной нотаризации при восстановлении связи.</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Следование этим спецификациям формирует замкнутый контур требований, что позволяет исключить классические архитектурные уязвимости и гарантирует создание технически совершенного и юридически защищенного продукта к критической дате 19 июня 2026 года.</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