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ZB202 人数与 CO2 预测控制执行简报</w:t>
      </w:r>
    </w:p>
    <w:p>
      <w:pPr>
        <w:spacing w:after="200"/>
      </w:pPr>
      <w:r>
        <w:rPr>
          <w:rFonts w:ascii="Microsoft YaHei" w:hAnsi="Microsoft YaHei" w:eastAsia="Microsoft YaHei"/>
          <w:color w:val="59697D"/>
          <w:sz w:val="18"/>
        </w:rPr>
        <w:t>阶段  第一阶段仿真原型    日期  2026 年 9 月 29 日    代码  草稿 PR 3</w:t>
      </w:r>
    </w:p>
    <w:p>
      <w:r>
        <w:rPr>
          <w:rFonts w:ascii="Microsoft YaHei" w:hAnsi="Microsoft YaHei" w:eastAsia="Microsoft YaHei"/>
          <w:b/>
          <w:sz w:val="18"/>
        </w:rPr>
        <w:t xml:space="preserve">结论  </w:t>
      </w:r>
      <w:r>
        <w:rPr>
          <w:rFonts w:ascii="Microsoft YaHei" w:hAnsi="Microsoft YaHei" w:eastAsia="Microsoft YaHei"/>
          <w:sz w:val="18"/>
        </w:rPr>
        <w:t>已完成可复现的人数和 CO2 预测控制仿真，尚未连接现场 VAV 控制接口。真实 IoT CO2 数据已验证可读取，但未进入本次 20 日策略比较结果。</w:t>
      </w:r>
    </w:p>
    <w:p>
      <w:pPr>
        <w:pStyle w:val="Heading1"/>
      </w:pPr>
      <w:r>
        <w:t>已完成</w:t>
      </w:r>
    </w:p>
    <w:p>
      <w:r>
        <w:rPr>
          <w:rFonts w:ascii="Microsoft YaHei" w:hAnsi="Microsoft YaHei" w:eastAsia="Microsoft YaHei"/>
          <w:sz w:val="18"/>
        </w:rPr>
        <w:t>建立 0–10 人模拟场景、时变马尔可夫人数预测及单区 CO2 模型。每 5 分钟滚动比较固定通风、当前人数响应和预测控制；页面展示轨迹与指标并导出 CSV。控制动作仅在仿真中执行。</w:t>
      </w:r>
    </w:p>
    <w:p>
      <w:pPr>
        <w:pStyle w:val="Heading1"/>
      </w:pPr>
      <w:r>
        <w:t>真实数据使用情况</w:t>
      </w:r>
    </w:p>
    <w:tbl>
      <w:tblPr>
        <w:tblW w:type="dxa" w:w="1028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32"/>
        <w:gridCol w:w="8050"/>
      </w:tblGrid>
      <w:tr>
        <w:tc>
          <w:tcPr>
            <w:tcW w:type="dxa" w:w="223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2441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真实来源</w:t>
            </w:r>
          </w:p>
        </w:tc>
        <w:tc>
          <w:tcPr>
            <w:tcW w:type="dxa" w:w="8050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2441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已确认内容与本阶段用途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房间尺寸</w:t>
            </w:r>
          </w:p>
        </w:tc>
        <w:tc>
          <w:tcPr>
            <w:tcW w:type="dxa" w:w="8050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5.9 × 7.9 × 6.10 m；模型体积 284.321 m³，已用于 CO2 方程。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IoT CO2 传感器</w:t>
            </w:r>
          </w:p>
        </w:tc>
        <w:tc>
          <w:tcPr>
            <w:tcW w:type="dxa" w:w="8050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InfluxDB zb202_iot 可读 5 路 co2_ppm：AM103 05／06／07／08、AM308 01。最近时间戳为 2026 年 9 月 29 日香港时间 13:03。实验页可手动选取新近读数作初始值；已提交的 20 日结果未使用实测 CO2。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其他 IoT 字段</w:t>
            </w:r>
          </w:p>
        </w:tc>
        <w:tc>
          <w:tcPr>
            <w:tcW w:type="dxa" w:w="8050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现有温湿度及 VS341 有人／无人数据，本阶段未用于训练或评价；VS341 不等于全室人数。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BMS 画面</w:t>
            </w:r>
          </w:p>
        </w:tc>
        <w:tc>
          <w:tcPr>
            <w:tcW w:type="dxa" w:w="8050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已看到 AHU 单次画面值；没有连续 VAV 风量或室外新风数据进入仿真。</w:t>
            </w:r>
          </w:p>
        </w:tc>
      </w:tr>
    </w:tbl>
    <w:p>
      <w:pPr>
        <w:spacing w:after="0"/>
      </w:pPr>
    </w:p>
    <w:p>
      <w:pPr>
        <w:pStyle w:val="Heading1"/>
      </w:pPr>
      <w:r>
        <w:t>仿真输入和结果</w:t>
      </w:r>
    </w:p>
    <w:p>
      <w:r>
        <w:rPr>
          <w:rFonts w:ascii="Microsoft YaHei" w:hAnsi="Microsoft YaHei" w:eastAsia="Microsoft YaHei"/>
          <w:sz w:val="18"/>
        </w:rPr>
        <w:t>20 个评价日的人数均为模拟生成，训练日与评价日分开。默认初始 CO2 为 600 ppm；室外 CO2、800 ppm 目标及 100–600 m³/h 风量均为暂定假设，并非 VAV 实测或批准设定值。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283"/>
        <w:gridCol w:w="3485"/>
      </w:tblGrid>
      <w:tr>
        <w:tc>
          <w:tcPr>
            <w:tcW w:type="dxa" w:w="3331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2441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3331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2441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占用时超 800 ppm</w:t>
            </w:r>
          </w:p>
        </w:tc>
        <w:tc>
          <w:tcPr>
            <w:tcW w:type="dxa" w:w="3331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2441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累计室外空气量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固定通风</w:t>
            </w:r>
          </w:p>
        </w:tc>
        <w:tc>
          <w:tcPr>
            <w:tcW w:type="dxa" w:w="328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22.3 分钟／日</w:t>
            </w:r>
          </w:p>
        </w:tc>
        <w:tc>
          <w:tcPr>
            <w:tcW w:type="dxa" w:w="348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7,200 m³／日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当前人数响应</w:t>
            </w:r>
          </w:p>
        </w:tc>
        <w:tc>
          <w:tcPr>
            <w:tcW w:type="dxa" w:w="328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 分钟／日</w:t>
            </w:r>
          </w:p>
        </w:tc>
        <w:tc>
          <w:tcPr>
            <w:tcW w:type="dxa" w:w="348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3,989 m³／日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预测控制</w:t>
            </w:r>
          </w:p>
        </w:tc>
        <w:tc>
          <w:tcPr>
            <w:tcW w:type="dxa" w:w="328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41.5 分钟／日</w:t>
            </w:r>
          </w:p>
        </w:tc>
        <w:tc>
          <w:tcPr>
            <w:tcW w:type="dxa" w:w="348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2,890.5 m³／日</w:t>
            </w:r>
          </w:p>
        </w:tc>
      </w:tr>
    </w:tbl>
    <w:p>
      <w:pPr>
        <w:spacing w:before="140"/>
      </w:pPr>
      <w:r>
        <w:rPr>
          <w:rFonts w:ascii="Microsoft YaHei" w:hAnsi="Microsoft YaHei" w:eastAsia="Microsoft YaHei"/>
          <w:sz w:val="18"/>
        </w:rPr>
        <w:t>预测控制减少了仿真风量代理值，但占用期间 CO2 表现不如当前人数响应。累计风量不是实测能耗，不能代表 ZB202 现场效果。</w:t>
      </w:r>
    </w:p>
    <w:p>
      <w:pPr>
        <w:pStyle w:val="Heading1"/>
      </w:pPr>
      <w:r>
        <w:t>下一步</w:t>
      </w:r>
    </w:p>
    <w:p>
      <w:r>
        <w:rPr>
          <w:rFonts w:ascii="Microsoft YaHei" w:hAnsi="Microsoft YaHei" w:eastAsia="Microsoft YaHei"/>
          <w:sz w:val="18"/>
        </w:rPr>
        <w:t>取得独立 VAV 风量、AHU 新风比例及运行边界的同期趋势，用真实 IoT CO2 和 BMS 风量校准模型。完成获批的小幅测试、只读建议及回退验证后，再考虑现场自动控制。</w:t>
      </w:r>
    </w:p>
    <w:sectPr w:rsidR="00FC693F" w:rsidRPr="0006063C" w:rsidSect="00034616">
      <w:footerReference w:type="default" r:id="rId9"/>
      <w:pgSz w:w="12240" w:h="15840"/>
      <w:pgMar w:top="792" w:right="979" w:bottom="76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291"/>
        <w:sz w:val="16"/>
      </w:rPr>
      <w:t>ZB202 研究原型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4" w:lineRule="auto"/>
    </w:pPr>
    <w:rPr>
      <w:rFonts w:ascii="Microsoft YaHei" w:hAnsi="Microsoft YaHei" w:eastAsia="Microsoft YaHe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64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