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8D042">
      <w:pPr>
        <w:jc w:val="center"/>
        <w:rPr>
          <w:rFonts w:ascii="SimSun" w:hAnsi="SimSun" w:cs="SimSun"/>
          <w:b/>
          <w:sz w:val="32"/>
        </w:rPr>
      </w:pPr>
      <w:r>
        <w:rPr>
          <w:rFonts w:ascii="SimSun" w:hAnsi="SimSun" w:cs="SimSun"/>
          <w:b/>
          <w:sz w:val="32"/>
        </w:rPr>
        <w:t>《 机器学习 》实验报告</w:t>
      </w:r>
    </w:p>
    <w:p w14:paraId="735D124E">
      <w:pPr>
        <w:jc w:val="right"/>
        <w:rPr>
          <w:rFonts w:ascii="SimSun" w:hAnsi="SimSun" w:cs="SimSun"/>
          <w:b/>
          <w:sz w:val="32"/>
        </w:rPr>
      </w:pPr>
    </w:p>
    <w:tbl>
      <w:tblPr>
        <w:tblStyle w:val="11"/>
        <w:tblW w:w="8590" w:type="dxa"/>
        <w:jc w:val="center"/>
        <w:tblLayout w:type="fixed"/>
        <w:tblCellMar>
          <w:top w:w="0" w:type="dxa"/>
          <w:left w:w="108" w:type="dxa"/>
          <w:bottom w:w="0" w:type="dxa"/>
          <w:right w:w="108" w:type="dxa"/>
        </w:tblCellMar>
      </w:tblPr>
      <w:tblGrid>
        <w:gridCol w:w="1437"/>
        <w:gridCol w:w="543"/>
        <w:gridCol w:w="1239"/>
        <w:gridCol w:w="2283"/>
        <w:gridCol w:w="1245"/>
        <w:gridCol w:w="1843"/>
      </w:tblGrid>
      <w:tr w14:paraId="484290D9">
        <w:tblPrEx>
          <w:tblCellMar>
            <w:top w:w="0" w:type="dxa"/>
            <w:left w:w="108" w:type="dxa"/>
            <w:bottom w:w="0" w:type="dxa"/>
            <w:right w:w="108" w:type="dxa"/>
          </w:tblCellMar>
        </w:tblPrEx>
        <w:trPr>
          <w:cantSplit/>
          <w:trHeight w:val="590" w:hRule="atLeast"/>
          <w:jc w:val="center"/>
        </w:trPr>
        <w:tc>
          <w:tcPr>
            <w:tcW w:w="1980" w:type="dxa"/>
            <w:gridSpan w:val="2"/>
            <w:tcBorders>
              <w:top w:val="single" w:color="000000" w:sz="4" w:space="0"/>
              <w:left w:val="single" w:color="000000" w:sz="4" w:space="0"/>
              <w:bottom w:val="single" w:color="000000" w:sz="4" w:space="0"/>
              <w:right w:val="single" w:color="000000" w:sz="4" w:space="0"/>
            </w:tcBorders>
            <w:vAlign w:val="center"/>
          </w:tcPr>
          <w:p w14:paraId="6A0A6DCA">
            <w:pPr>
              <w:spacing w:line="480" w:lineRule="exact"/>
              <w:ind w:left="-42" w:right="-51" w:firstLine="0"/>
              <w:jc w:val="center"/>
              <w:rPr>
                <w:rFonts w:ascii="SimSun" w:hAnsi="SimSun" w:eastAsia="SimSun" w:cs="SimSun"/>
                <w:b/>
                <w:sz w:val="24"/>
                <w:szCs w:val="24"/>
                <w:lang w:val="en-US" w:eastAsia="zh-CN"/>
              </w:rPr>
            </w:pPr>
            <w:r>
              <w:rPr>
                <w:rFonts w:eastAsia="宋体"/>
                <w:rFonts w:ascii="宋体" w:hAnsi="宋体"/>
                <w:b w:val="0"/>
                <w:sz w:val="24"/>
              </w:rPr>
              <w:t>专业：电子信息工程       学号：2023XXXXXXXXX</w:t>
            </w:r>
          </w:p>
        </w:tc>
        <w:tc>
          <w:tcPr>
            <w:tcW w:w="3522" w:type="dxa"/>
            <w:gridSpan w:val="2"/>
            <w:tcBorders>
              <w:top w:val="single" w:color="000000" w:sz="4" w:space="0"/>
              <w:left w:val="single" w:color="000000" w:sz="4" w:space="0"/>
              <w:bottom w:val="single" w:color="000000" w:sz="4" w:space="0"/>
              <w:right w:val="single" w:color="000000" w:sz="4" w:space="0"/>
            </w:tcBorders>
            <w:vAlign w:val="center"/>
          </w:tcPr>
          <w:p w14:paraId="2267D06D">
            <w:pPr>
              <w:ind w:right="-51" w:firstLine="0"/>
              <w:jc w:val="center"/>
              <w:rPr>
                <w:rFonts w:hint="default" w:ascii="SimSun" w:hAnsi="SimSun" w:cs="SimSun"/>
                <w:bCs/>
                <w:sz w:val="24"/>
                <w:szCs w:val="24"/>
                <w:lang w:val="en-US"/>
              </w:rPr>
            </w:pPr>
            <w:r>
              <w:rPr>
                <w:rFonts w:ascii="SimSun" w:hAnsi="SimSun" w:cs="SimSun"/>
                <w:bCs/>
                <w:sz w:val="24"/>
                <w:szCs w:val="24"/>
              </w:rPr>
              <w:t xml:space="preserve"> </w:t>
            </w:r>
            <w:r>
              <w:rPr>
                <w:rFonts w:hint="eastAsia" w:ascii="SimSun" w:hAnsi="SimSun" w:cs="SimSun"/>
                <w:bCs/>
                <w:sz w:val="24"/>
                <w:szCs w:val="24"/>
                <w:lang w:eastAsia="zh-CN"/>
              </w:rPr>
              <w:t>电子信息</w:t>
            </w:r>
            <w:r>
              <w:rPr>
                <w:rFonts w:hint="eastAsia" w:ascii="SimSun" w:hAnsi="SimSun" w:cs="SimSun"/>
                <w:bCs/>
                <w:sz w:val="24"/>
                <w:szCs w:val="24"/>
                <w:lang w:val="en-US" w:eastAsia="zh-CN"/>
              </w:rPr>
              <w:t xml:space="preserve">   2025301310</w:t>
            </w:r>
            <w:bookmarkStart w:id="0" w:name="_GoBack"/>
            <w:bookmarkEnd w:id="0"/>
            <w:r>
              <w:rPr>
                <w:rFonts w:hint="eastAsia" w:ascii="SimSun" w:hAnsi="SimSun" w:cs="SimSun"/>
                <w:bCs/>
                <w:sz w:val="24"/>
                <w:szCs w:val="24"/>
                <w:lang w:val="en-US" w:eastAsia="zh-CN"/>
              </w:rPr>
              <w:t>59</w:t>
            </w:r>
          </w:p>
        </w:tc>
        <w:tc>
          <w:tcPr>
            <w:tcW w:w="1245" w:type="dxa"/>
            <w:tcBorders>
              <w:top w:val="single" w:color="000000" w:sz="4" w:space="0"/>
              <w:left w:val="single" w:color="000000" w:sz="4" w:space="0"/>
              <w:bottom w:val="single" w:color="000000" w:sz="4" w:space="0"/>
              <w:right w:val="single" w:color="000000" w:sz="4" w:space="0"/>
            </w:tcBorders>
            <w:vAlign w:val="center"/>
          </w:tcPr>
          <w:p w14:paraId="57CC3B60">
            <w:pPr>
              <w:spacing w:line="480" w:lineRule="exact"/>
              <w:ind w:right="-51" w:firstLine="0"/>
              <w:jc w:val="center"/>
              <w:rPr>
                <w:rFonts w:ascii="SimSun" w:hAnsi="SimSun" w:eastAsia="SimSun" w:cs="SimSun"/>
                <w:b/>
                <w:sz w:val="24"/>
                <w:szCs w:val="24"/>
                <w:lang w:eastAsia="zh-CN"/>
              </w:rPr>
            </w:pPr>
            <w:r>
              <w:rPr>
                <w:rFonts w:ascii="SimSun" w:hAnsi="SimSun" w:eastAsia="SimSun"/>
                <w:b w:val="0"/>
                <w:sz w:val="24"/>
              </w:rPr>
              <w:t>姓名：</w:t>
            </w:r>
          </w:p>
        </w:tc>
        <w:tc>
          <w:tcPr>
            <w:tcW w:w="1843" w:type="dxa"/>
            <w:tcBorders>
              <w:top w:val="single" w:color="000000" w:sz="4" w:space="0"/>
              <w:left w:val="single" w:color="000000" w:sz="4" w:space="0"/>
              <w:bottom w:val="single" w:color="000000" w:sz="4" w:space="0"/>
              <w:right w:val="single" w:color="000000" w:sz="4" w:space="0"/>
            </w:tcBorders>
            <w:vAlign w:val="center"/>
          </w:tcPr>
          <w:p w14:paraId="77CA6DB5">
            <w:pPr>
              <w:snapToGrid w:val="0"/>
              <w:ind w:right="-51" w:firstLine="0"/>
              <w:jc w:val="center"/>
              <w:rPr>
                <w:rFonts w:ascii="SimSun" w:hAnsi="SimSun" w:eastAsia="SimSun" w:cs="SimSun"/>
                <w:b/>
                <w:bCs/>
                <w:sz w:val="24"/>
                <w:szCs w:val="24"/>
                <w:lang w:eastAsia="zh-CN"/>
              </w:rPr>
            </w:pPr>
            <w:r>
              <w:rPr>
                <w:rFonts w:hint="eastAsia" w:ascii="SimSun" w:hAnsi="SimSun" w:cs="SimSun"/>
                <w:b/>
                <w:bCs/>
                <w:sz w:val="24"/>
                <w:szCs w:val="24"/>
                <w:lang w:eastAsia="zh-CN"/>
              </w:rPr>
              <w:t>高夕茹</w:t>
            </w:r>
          </w:p>
        </w:tc>
      </w:tr>
      <w:tr w14:paraId="511D66FA">
        <w:tblPrEx>
          <w:tblCellMar>
            <w:top w:w="0" w:type="dxa"/>
            <w:left w:w="108" w:type="dxa"/>
            <w:bottom w:w="0" w:type="dxa"/>
            <w:right w:w="108" w:type="dxa"/>
          </w:tblCellMar>
        </w:tblPrEx>
        <w:trPr>
          <w:cantSplit/>
          <w:trHeight w:val="590" w:hRule="atLeast"/>
          <w:jc w:val="center"/>
        </w:trPr>
        <w:tc>
          <w:tcPr>
            <w:tcW w:w="1437" w:type="dxa"/>
            <w:tcBorders>
              <w:top w:val="single" w:color="000000" w:sz="4" w:space="0"/>
              <w:left w:val="single" w:color="000000" w:sz="4" w:space="0"/>
              <w:bottom w:val="single" w:color="000000" w:sz="4" w:space="0"/>
              <w:right w:val="single" w:color="000000" w:sz="4" w:space="0"/>
            </w:tcBorders>
            <w:vAlign w:val="center"/>
          </w:tcPr>
          <w:p w14:paraId="223163C8">
            <w:pPr>
              <w:spacing w:line="480" w:lineRule="exact"/>
              <w:ind w:left="-42" w:right="-51" w:firstLine="0"/>
              <w:jc w:val="center"/>
              <w:rPr>
                <w:rFonts w:ascii="SimSun" w:hAnsi="SimSun" w:cs="SimSun"/>
                <w:b/>
                <w:sz w:val="24"/>
                <w:szCs w:val="24"/>
              </w:rPr>
            </w:pPr>
            <w:r>
              <w:rPr>
                <w:rFonts w:eastAsia="宋体"/>
                <w:rFonts w:ascii="宋体" w:hAnsi="宋体"/>
                <w:b/>
                <w:sz w:val="24"/>
              </w:rPr>
              <w:t>实验题目：基于逻辑回归的银行营销结果预测</w:t>
            </w:r>
          </w:p>
        </w:tc>
        <w:tc>
          <w:tcPr>
            <w:tcW w:w="7153" w:type="dxa"/>
            <w:gridSpan w:val="5"/>
            <w:tcBorders>
              <w:top w:val="single" w:color="000000" w:sz="4" w:space="0"/>
              <w:left w:val="single" w:color="000000" w:sz="4" w:space="0"/>
              <w:bottom w:val="single" w:color="000000" w:sz="4" w:space="0"/>
              <w:right w:val="single" w:color="000000" w:sz="4" w:space="0"/>
            </w:tcBorders>
            <w:vAlign w:val="center"/>
          </w:tcPr>
          <w:p w14:paraId="1E3FAB74">
            <w:pPr>
              <w:snapToGrid w:val="0"/>
              <w:spacing w:line="480" w:lineRule="exact"/>
              <w:ind w:right="-51" w:firstLine="0"/>
              <w:rPr>
                <w:rFonts w:ascii="SimSun" w:hAnsi="SimSun" w:cs="SimSun"/>
                <w:b/>
                <w:sz w:val="24"/>
                <w:szCs w:val="24"/>
              </w:rPr>
            </w:pPr>
            <w:r>
              <w:rPr>
                <w:rFonts w:ascii="SimSun" w:hAnsi="SimSun" w:eastAsia="SimSun"/>
                <w:b/>
                <w:sz w:val="24"/>
              </w:rPr>
              <w:t>基于逻辑回归的银行营销结果预测</w:t>
            </w:r>
          </w:p>
        </w:tc>
      </w:tr>
      <w:tr w14:paraId="31CEA0AB">
        <w:tblPrEx>
          <w:tblCellMar>
            <w:top w:w="0" w:type="dxa"/>
            <w:left w:w="108" w:type="dxa"/>
            <w:bottom w:w="0" w:type="dxa"/>
            <w:right w:w="108" w:type="dxa"/>
          </w:tblCellMar>
        </w:tblPrEx>
        <w:trPr>
          <w:cantSplit/>
          <w:trHeight w:val="579" w:hRule="atLeast"/>
          <w:jc w:val="center"/>
        </w:trPr>
        <w:tc>
          <w:tcPr>
            <w:tcW w:w="1437" w:type="dxa"/>
            <w:tcBorders>
              <w:top w:val="single" w:color="000000" w:sz="4" w:space="0"/>
              <w:left w:val="single" w:color="000000" w:sz="4" w:space="0"/>
              <w:bottom w:val="single" w:color="000000" w:sz="4" w:space="0"/>
              <w:right w:val="single" w:color="000000" w:sz="4" w:space="0"/>
            </w:tcBorders>
            <w:vAlign w:val="center"/>
          </w:tcPr>
          <w:p w14:paraId="27F03D4D">
            <w:pPr>
              <w:spacing w:line="400" w:lineRule="exact"/>
              <w:ind w:left="-40" w:right="-51" w:firstLine="0"/>
              <w:jc w:val="center"/>
              <w:rPr>
                <w:rFonts w:ascii="SimSun" w:hAnsi="SimSun" w:cs="SimSun"/>
                <w:b/>
                <w:sz w:val="24"/>
                <w:szCs w:val="24"/>
              </w:rPr>
            </w:pPr>
            <w:r>
              <w:rPr>
                <w:rFonts w:eastAsia="宋体"/>
                <w:rFonts w:ascii="宋体" w:hAnsi="宋体"/>
                <w:b w:val="0"/>
                <w:sz w:val="24"/>
              </w:rPr>
              <w:t>实验时间：2026年3月15日</w:t>
            </w:r>
          </w:p>
        </w:tc>
        <w:tc>
          <w:tcPr>
            <w:tcW w:w="1782" w:type="dxa"/>
            <w:gridSpan w:val="2"/>
            <w:tcBorders>
              <w:top w:val="single" w:color="000000" w:sz="4" w:space="0"/>
              <w:left w:val="single" w:color="000000" w:sz="4" w:space="0"/>
              <w:bottom w:val="single" w:color="000000" w:sz="4" w:space="0"/>
              <w:right w:val="single" w:color="000000" w:sz="4" w:space="0"/>
            </w:tcBorders>
            <w:vAlign w:val="center"/>
          </w:tcPr>
          <w:p w14:paraId="1AEF57AE">
            <w:pPr>
              <w:snapToGrid w:val="0"/>
              <w:spacing w:line="400" w:lineRule="exact"/>
              <w:ind w:left="-40" w:right="-51" w:firstLine="0"/>
              <w:jc w:val="center"/>
              <w:rPr>
                <w:rFonts w:ascii="SimSun" w:hAnsi="SimSun" w:cs="SimSun"/>
                <w:b/>
                <w:sz w:val="24"/>
                <w:szCs w:val="24"/>
              </w:rPr>
            </w:pPr>
            <w:r>
              <w:rPr>
                <w:rFonts w:ascii="SimSun" w:hAnsi="SimSun" w:eastAsia="SimSun"/>
                <w:b w:val="0"/>
                <w:sz w:val="24"/>
              </w:rPr>
              <w:t>2026</w:t>
            </w:r>
            <w:r>
              <w:rPr>
                <w:rFonts w:hint="eastAsia" w:ascii="SimSun" w:hAnsi="SimSun" w:eastAsia="SimSun"/>
                <w:b w:val="0"/>
                <w:sz w:val="24"/>
                <w:lang w:val="en-US" w:eastAsia="zh-CN"/>
              </w:rPr>
              <w:t>-</w:t>
            </w:r>
            <w:r>
              <w:rPr>
                <w:rFonts w:ascii="SimSun" w:hAnsi="SimSun" w:eastAsia="SimSun"/>
                <w:b w:val="0"/>
                <w:sz w:val="24"/>
              </w:rPr>
              <w:t>3</w:t>
            </w:r>
            <w:r>
              <w:rPr>
                <w:rFonts w:hint="eastAsia" w:ascii="SimSun" w:hAnsi="SimSun" w:eastAsia="SimSun"/>
                <w:b w:val="0"/>
                <w:sz w:val="24"/>
                <w:lang w:val="en-US" w:eastAsia="zh-CN"/>
              </w:rPr>
              <w:t>-</w:t>
            </w:r>
            <w:r>
              <w:rPr>
                <w:rFonts w:ascii="SimSun" w:hAnsi="SimSun" w:eastAsia="SimSun"/>
                <w:b w:val="0"/>
                <w:sz w:val="24"/>
              </w:rPr>
              <w:t>15</w:t>
            </w:r>
          </w:p>
        </w:tc>
        <w:tc>
          <w:tcPr>
            <w:tcW w:w="2283" w:type="dxa"/>
            <w:tcBorders>
              <w:top w:val="single" w:color="000000" w:sz="4" w:space="0"/>
              <w:left w:val="single" w:color="000000" w:sz="4" w:space="0"/>
              <w:bottom w:val="single" w:color="000000" w:sz="4" w:space="0"/>
              <w:right w:val="single" w:color="000000" w:sz="4" w:space="0"/>
            </w:tcBorders>
            <w:vAlign w:val="center"/>
          </w:tcPr>
          <w:p w14:paraId="734CF30C">
            <w:pPr>
              <w:spacing w:line="400" w:lineRule="exact"/>
              <w:ind w:left="-40" w:right="-51" w:firstLine="0"/>
              <w:jc w:val="center"/>
              <w:rPr>
                <w:rFonts w:ascii="SimSun" w:hAnsi="SimSun" w:cs="SimSun"/>
                <w:b/>
                <w:sz w:val="24"/>
                <w:szCs w:val="24"/>
              </w:rPr>
            </w:pPr>
            <w:r>
              <w:rPr>
                <w:rFonts w:ascii="SimSun" w:hAnsi="SimSun" w:cs="SimSun"/>
                <w:b/>
                <w:sz w:val="24"/>
                <w:szCs w:val="24"/>
              </w:rPr>
              <w:t>实验地点</w:t>
            </w:r>
          </w:p>
        </w:tc>
        <w:tc>
          <w:tcPr>
            <w:tcW w:w="3088" w:type="dxa"/>
            <w:gridSpan w:val="2"/>
            <w:tcBorders>
              <w:top w:val="single" w:color="000000" w:sz="4" w:space="0"/>
              <w:left w:val="single" w:color="000000" w:sz="4" w:space="0"/>
              <w:bottom w:val="single" w:color="000000" w:sz="4" w:space="0"/>
              <w:right w:val="single" w:color="000000" w:sz="4" w:space="0"/>
            </w:tcBorders>
            <w:vAlign w:val="center"/>
          </w:tcPr>
          <w:p w14:paraId="64F456DE">
            <w:pPr>
              <w:spacing w:line="400" w:lineRule="exact"/>
              <w:ind w:left="-40" w:right="-51" w:firstLine="0"/>
              <w:jc w:val="center"/>
              <w:rPr>
                <w:rFonts w:hint="default" w:ascii="SimSun" w:hAnsi="SimSun" w:eastAsia="SimSun" w:cs="SimSun"/>
                <w:b/>
                <w:sz w:val="24"/>
                <w:szCs w:val="24"/>
                <w:lang w:val="en-US" w:eastAsia="zh-CN"/>
              </w:rPr>
            </w:pPr>
            <w:r>
              <w:rPr>
                <w:rFonts w:ascii="SimSun" w:hAnsi="SimSun" w:cs="SimSun"/>
                <w:bCs/>
                <w:sz w:val="24"/>
                <w:szCs w:val="24"/>
              </w:rPr>
              <w:t>卓越工程师学院</w:t>
            </w:r>
            <w:r>
              <w:rPr>
                <w:rFonts w:hint="eastAsia" w:ascii="SimSun" w:hAnsi="SimSun" w:cs="SimSun"/>
                <w:bCs/>
                <w:sz w:val="24"/>
                <w:szCs w:val="24"/>
                <w:lang w:val="en-US" w:eastAsia="zh-CN"/>
              </w:rPr>
              <w:t>C301</w:t>
            </w:r>
          </w:p>
        </w:tc>
      </w:tr>
      <w:tr w14:paraId="7BAC6737">
        <w:tblPrEx>
          <w:tblCellMar>
            <w:top w:w="0" w:type="dxa"/>
            <w:left w:w="108" w:type="dxa"/>
            <w:bottom w:w="0" w:type="dxa"/>
            <w:right w:w="108" w:type="dxa"/>
          </w:tblCellMar>
        </w:tblPrEx>
        <w:trPr>
          <w:cantSplit/>
          <w:trHeight w:val="505" w:hRule="atLeast"/>
          <w:jc w:val="center"/>
        </w:trPr>
        <w:tc>
          <w:tcPr>
            <w:tcW w:w="1437" w:type="dxa"/>
            <w:tcBorders>
              <w:top w:val="single" w:color="000000" w:sz="4" w:space="0"/>
              <w:left w:val="single" w:color="000000" w:sz="4" w:space="0"/>
              <w:bottom w:val="single" w:color="000000" w:sz="4" w:space="0"/>
              <w:right w:val="single" w:color="000000" w:sz="4" w:space="0"/>
            </w:tcBorders>
            <w:vAlign w:val="center"/>
          </w:tcPr>
          <w:p w14:paraId="37408C45">
            <w:pPr>
              <w:spacing w:line="400" w:lineRule="exact"/>
              <w:ind w:left="-40" w:right="-51" w:firstLine="0"/>
              <w:jc w:val="center"/>
              <w:rPr>
                <w:rFonts w:ascii="SimSun" w:hAnsi="SimSun" w:cs="SimSun"/>
                <w:b/>
                <w:sz w:val="24"/>
                <w:szCs w:val="24"/>
              </w:rPr>
            </w:pPr>
            <w:r>
              <w:rPr>
                <w:rFonts w:ascii="SimSun" w:hAnsi="SimSun" w:cs="SimSun"/>
                <w:b/>
                <w:sz w:val="24"/>
                <w:szCs w:val="24"/>
              </w:rPr>
              <w:t>实验成绩</w:t>
            </w:r>
          </w:p>
        </w:tc>
        <w:tc>
          <w:tcPr>
            <w:tcW w:w="1782" w:type="dxa"/>
            <w:gridSpan w:val="2"/>
            <w:tcBorders>
              <w:top w:val="single" w:color="000000" w:sz="4" w:space="0"/>
              <w:left w:val="single" w:color="000000" w:sz="4" w:space="0"/>
              <w:bottom w:val="single" w:color="000000" w:sz="4" w:space="0"/>
              <w:right w:val="single" w:color="000000" w:sz="4" w:space="0"/>
            </w:tcBorders>
            <w:vAlign w:val="center"/>
          </w:tcPr>
          <w:p w14:paraId="59144F3D">
            <w:pPr>
              <w:snapToGrid w:val="0"/>
              <w:spacing w:line="480" w:lineRule="exact"/>
              <w:ind w:left="-42" w:right="171" w:firstLine="240"/>
              <w:rPr>
                <w:rFonts w:ascii="SimSun" w:hAnsi="SimSun" w:cs="SimSun"/>
                <w:b/>
                <w:bCs/>
                <w:sz w:val="24"/>
                <w:szCs w:val="24"/>
              </w:rPr>
            </w:pPr>
          </w:p>
        </w:tc>
        <w:tc>
          <w:tcPr>
            <w:tcW w:w="2283" w:type="dxa"/>
            <w:tcBorders>
              <w:top w:val="single" w:color="000000" w:sz="4" w:space="0"/>
              <w:left w:val="single" w:color="000000" w:sz="4" w:space="0"/>
              <w:bottom w:val="single" w:color="000000" w:sz="4" w:space="0"/>
              <w:right w:val="single" w:color="000000" w:sz="4" w:space="0"/>
            </w:tcBorders>
            <w:vAlign w:val="center"/>
          </w:tcPr>
          <w:p w14:paraId="4D099225">
            <w:pPr>
              <w:spacing w:line="480" w:lineRule="exact"/>
              <w:ind w:left="-42" w:right="171" w:firstLine="0"/>
              <w:jc w:val="center"/>
              <w:rPr>
                <w:rFonts w:ascii="SimSun" w:hAnsi="SimSun" w:cs="SimSun"/>
                <w:b/>
                <w:sz w:val="24"/>
                <w:szCs w:val="24"/>
              </w:rPr>
            </w:pPr>
            <w:r>
              <w:rPr>
                <w:rFonts w:ascii="SimSun" w:hAnsi="SimSun" w:cs="SimSun"/>
                <w:b/>
                <w:sz w:val="24"/>
                <w:szCs w:val="24"/>
              </w:rPr>
              <w:t xml:space="preserve"> 实验性质</w:t>
            </w:r>
          </w:p>
        </w:tc>
        <w:tc>
          <w:tcPr>
            <w:tcW w:w="3088" w:type="dxa"/>
            <w:gridSpan w:val="2"/>
            <w:tcBorders>
              <w:top w:val="single" w:color="000000" w:sz="4" w:space="0"/>
              <w:left w:val="single" w:color="000000" w:sz="4" w:space="0"/>
              <w:bottom w:val="single" w:color="000000" w:sz="4" w:space="0"/>
              <w:right w:val="single" w:color="000000" w:sz="4" w:space="0"/>
            </w:tcBorders>
            <w:vAlign w:val="center"/>
          </w:tcPr>
          <w:p w14:paraId="283A0AAA">
            <w:pPr>
              <w:spacing w:line="480" w:lineRule="exact"/>
              <w:ind w:left="-42" w:right="171" w:firstLine="0"/>
              <w:jc w:val="center"/>
              <w:rPr>
                <w:rFonts w:ascii="SimSun" w:hAnsi="SimSun" w:cs="SimSun"/>
                <w:b/>
                <w:sz w:val="24"/>
                <w:szCs w:val="24"/>
              </w:rPr>
            </w:pPr>
            <w:r>
              <w:rPr>
                <w:rFonts w:ascii="SimSun" w:hAnsi="SimSun" w:cs="SimSun"/>
                <w:b/>
                <w:sz w:val="24"/>
                <w:szCs w:val="24"/>
                <w:lang w:eastAsia="zh-CN"/>
              </w:rPr>
              <w:t>□</w:t>
            </w:r>
            <w:r>
              <w:rPr>
                <w:rFonts w:ascii="SimSun" w:hAnsi="SimSun" w:cs="SimSun"/>
                <w:b/>
                <w:sz w:val="24"/>
                <w:szCs w:val="24"/>
              </w:rPr>
              <w:t xml:space="preserve">验证性  </w:t>
            </w:r>
            <w:r>
              <w:rPr>
                <w:rFonts w:ascii="SimSun" w:hAnsi="SimSun" w:cs="SimSun"/>
                <w:b/>
                <w:sz w:val="24"/>
                <w:szCs w:val="24"/>
                <w:lang w:eastAsia="zh-CN"/>
              </w:rPr>
              <w:t>□</w:t>
            </w:r>
            <w:r>
              <w:rPr>
                <w:rFonts w:ascii="SimSun" w:hAnsi="SimSun" w:cs="SimSun"/>
                <w:b/>
                <w:sz w:val="24"/>
                <w:szCs w:val="24"/>
              </w:rPr>
              <w:t xml:space="preserve">设计性  </w:t>
            </w:r>
            <w:r>
              <w:rPr>
                <w:rFonts w:ascii="SimSun" w:hAnsi="SimSun" w:cs="SimSun"/>
                <w:b/>
                <w:sz w:val="24"/>
                <w:szCs w:val="24"/>
                <w:lang w:eastAsia="zh-CN"/>
              </w:rPr>
              <w:t>☑</w:t>
            </w:r>
            <w:r>
              <w:rPr>
                <w:rFonts w:ascii="SimSun" w:hAnsi="SimSun" w:cs="SimSun"/>
                <w:b/>
                <w:sz w:val="24"/>
                <w:szCs w:val="24"/>
              </w:rPr>
              <w:t>综合性</w:t>
            </w:r>
          </w:p>
        </w:tc>
      </w:tr>
      <w:tr w14:paraId="1098B5F2">
        <w:tblPrEx>
          <w:tblCellMar>
            <w:top w:w="0" w:type="dxa"/>
            <w:left w:w="108" w:type="dxa"/>
            <w:bottom w:w="0" w:type="dxa"/>
            <w:right w:w="108" w:type="dxa"/>
          </w:tblCellMar>
        </w:tblPrEx>
        <w:trPr>
          <w:trHeight w:val="2196" w:hRule="atLeast"/>
          <w:jc w:val="center"/>
        </w:trPr>
        <w:tc>
          <w:tcPr>
            <w:tcW w:w="8590" w:type="dxa"/>
            <w:gridSpan w:val="6"/>
            <w:tcBorders>
              <w:top w:val="single" w:color="000000" w:sz="4" w:space="0"/>
              <w:left w:val="single" w:color="000000" w:sz="4" w:space="0"/>
              <w:bottom w:val="single" w:color="000000" w:sz="4" w:space="0"/>
              <w:right w:val="single" w:color="000000" w:sz="4" w:space="0"/>
            </w:tcBorders>
            <w:tcMar>
              <w:top w:w="57" w:type="dxa"/>
              <w:left w:w="142" w:type="dxa"/>
              <w:bottom w:w="57" w:type="dxa"/>
              <w:right w:w="567" w:type="dxa"/>
            </w:tcMar>
          </w:tcPr>
          <w:p w14:paraId="42FB929E">
            <w:pPr>
              <w:spacing w:line="480" w:lineRule="exact"/>
              <w:ind w:right="-51" w:firstLine="0"/>
              <w:rPr>
                <w:rFonts w:ascii="SimSun" w:hAnsi="SimSun" w:cs="SimSun"/>
                <w:sz w:val="24"/>
                <w:szCs w:val="24"/>
              </w:rPr>
            </w:pPr>
            <w:r>
              <w:rPr>
                <w:rFonts w:ascii="SimSun" w:hAnsi="SimSun" w:cs="SimSun"/>
                <w:sz w:val="24"/>
                <w:szCs w:val="24"/>
              </w:rPr>
              <w:t>教师评价：</w:t>
            </w:r>
          </w:p>
          <w:p w14:paraId="5874E1B4">
            <w:pPr>
              <w:spacing w:line="480" w:lineRule="exact"/>
              <w:ind w:right="-51" w:firstLine="0"/>
              <w:rPr>
                <w:rFonts w:ascii="楷体_GB2312;楷体" w:hAnsi="楷体_GB2312;楷体" w:eastAsia="楷体_GB2312;楷体"/>
              </w:rPr>
            </w:pPr>
            <w:r>
              <w:rPr>
                <w:rFonts w:ascii="楷体_GB2312;楷体" w:hAnsi="楷体_GB2312;楷体" w:eastAsia="楷体_GB2312;楷体" w:cs="楷体_GB2312;楷体"/>
              </w:rPr>
              <w:t>□</w:t>
            </w:r>
            <w:r>
              <w:rPr>
                <w:rFonts w:ascii="楷体_GB2312;楷体" w:hAnsi="楷体_GB2312;楷体" w:eastAsia="楷体_GB2312;楷体"/>
              </w:rPr>
              <w:t xml:space="preserve">算法/实验过程正确；   </w:t>
            </w:r>
            <w:r>
              <w:rPr>
                <w:rFonts w:eastAsia="楷体_GB2312;楷体"/>
              </w:rPr>
              <w:t>□</w:t>
            </w:r>
            <w:r>
              <w:rPr>
                <w:rFonts w:ascii="楷体_GB2312;楷体" w:hAnsi="楷体_GB2312;楷体" w:eastAsia="楷体_GB2312;楷体"/>
              </w:rPr>
              <w:t xml:space="preserve">源程序/实验内容提交     </w:t>
            </w:r>
            <w:r>
              <w:rPr>
                <w:rFonts w:eastAsia="楷体_GB2312;楷体"/>
              </w:rPr>
              <w:t>□</w:t>
            </w:r>
            <w:r>
              <w:rPr>
                <w:rFonts w:ascii="楷体_GB2312;楷体" w:hAnsi="楷体_GB2312;楷体" w:eastAsia="楷体_GB2312;楷体"/>
              </w:rPr>
              <w:t>程序结构/实验步骤合理；</w:t>
            </w:r>
          </w:p>
          <w:p w14:paraId="59DA9771">
            <w:pPr>
              <w:spacing w:line="480" w:lineRule="exact"/>
              <w:ind w:right="-51" w:firstLine="0"/>
              <w:rPr>
                <w:rFonts w:ascii="楷体_GB2312;楷体" w:hAnsi="楷体_GB2312;楷体" w:eastAsia="楷体_GB2312;楷体"/>
              </w:rPr>
            </w:pPr>
            <w:r>
              <w:rPr>
                <w:rFonts w:ascii="楷体_GB2312;楷体" w:hAnsi="楷体_GB2312;楷体" w:eastAsia="楷体_GB2312;楷体" w:cs="楷体_GB2312;楷体"/>
              </w:rPr>
              <w:t>□</w:t>
            </w:r>
            <w:r>
              <w:rPr>
                <w:rFonts w:ascii="楷体_GB2312;楷体" w:hAnsi="楷体_GB2312;楷体" w:eastAsia="楷体_GB2312;楷体"/>
              </w:rPr>
              <w:t xml:space="preserve">实验结果正确；        </w:t>
            </w:r>
            <w:r>
              <w:rPr>
                <w:rFonts w:eastAsia="楷体_GB2312;楷体"/>
              </w:rPr>
              <w:t>□</w:t>
            </w:r>
            <w:r>
              <w:rPr>
                <w:rFonts w:ascii="楷体_GB2312;楷体" w:hAnsi="楷体_GB2312;楷体" w:eastAsia="楷体_GB2312;楷体"/>
              </w:rPr>
              <w:t xml:space="preserve">语法、语义正确；        </w:t>
            </w:r>
            <w:r>
              <w:rPr>
                <w:rFonts w:eastAsia="楷体_GB2312;楷体"/>
              </w:rPr>
              <w:t>□</w:t>
            </w:r>
            <w:r>
              <w:rPr>
                <w:rFonts w:ascii="楷体_GB2312;楷体" w:hAnsi="楷体_GB2312;楷体" w:eastAsia="楷体_GB2312;楷体"/>
              </w:rPr>
              <w:t>报告规范；</w:t>
            </w:r>
            <w:r>
              <w:rPr>
                <w:rFonts w:ascii="楷体_GB2312;楷体" w:hAnsi="楷体_GB2312;楷体" w:eastAsia="楷体_GB2312;楷体"/>
                <w:sz w:val="24"/>
              </w:rPr>
              <w:t xml:space="preserve">         </w:t>
            </w:r>
            <w:r>
              <w:rPr>
                <w:rFonts w:ascii="楷体_GB2312;楷体" w:hAnsi="楷体_GB2312;楷体" w:eastAsia="楷体_GB2312;楷体"/>
              </w:rPr>
              <w:t xml:space="preserve">  </w:t>
            </w:r>
          </w:p>
          <w:p w14:paraId="19E411E8">
            <w:pPr>
              <w:spacing w:line="480" w:lineRule="exact"/>
              <w:ind w:right="-51" w:firstLine="0"/>
              <w:rPr>
                <w:rFonts w:ascii="楷体_GB2312;楷体" w:hAnsi="楷体_GB2312;楷体" w:eastAsia="楷体_GB2312;楷体"/>
              </w:rPr>
            </w:pPr>
            <w:r>
              <w:rPr>
                <w:rFonts w:ascii="楷体_GB2312;楷体" w:hAnsi="楷体_GB2312;楷体" w:eastAsia="楷体_GB2312;楷体"/>
              </w:rPr>
              <w:t>其他：</w:t>
            </w:r>
          </w:p>
          <w:p w14:paraId="06C9C0AE">
            <w:pPr>
              <w:spacing w:line="480" w:lineRule="exact"/>
              <w:ind w:right="-51" w:firstLine="0"/>
              <w:rPr>
                <w:rFonts w:ascii="SimSun" w:hAnsi="SimSun"/>
              </w:rPr>
            </w:pPr>
            <w:r>
              <w:rPr>
                <w:rFonts w:ascii="SimSun" w:hAnsi="SimSun" w:cs="SimSun"/>
              </w:rPr>
              <w:t xml:space="preserve">                                          </w:t>
            </w:r>
            <w:r>
              <w:rPr>
                <w:rFonts w:ascii="SimSun" w:hAnsi="SimSun"/>
              </w:rPr>
              <w:t xml:space="preserve">评价教师签名： </w:t>
            </w:r>
          </w:p>
        </w:tc>
      </w:tr>
      <w:tr w14:paraId="0C0033F2">
        <w:tblPrEx>
          <w:tblCellMar>
            <w:top w:w="0" w:type="dxa"/>
            <w:left w:w="108" w:type="dxa"/>
            <w:bottom w:w="0" w:type="dxa"/>
            <w:right w:w="108" w:type="dxa"/>
          </w:tblCellMar>
        </w:tblPrEx>
        <w:trPr>
          <w:trHeight w:val="1119" w:hRule="atLeast"/>
          <w:jc w:val="center"/>
        </w:trPr>
        <w:tc>
          <w:tcPr>
            <w:tcW w:w="8590" w:type="dxa"/>
            <w:gridSpan w:val="6"/>
            <w:tcBorders>
              <w:top w:val="single" w:color="000000" w:sz="4" w:space="0"/>
              <w:left w:val="single" w:color="000000" w:sz="4" w:space="0"/>
              <w:bottom w:val="single" w:color="000000" w:sz="4" w:space="0"/>
              <w:right w:val="single" w:color="000000" w:sz="4" w:space="0"/>
            </w:tcBorders>
            <w:tcMar>
              <w:top w:w="57" w:type="dxa"/>
              <w:left w:w="142" w:type="dxa"/>
              <w:bottom w:w="57" w:type="dxa"/>
              <w:right w:w="567" w:type="dxa"/>
            </w:tcMar>
          </w:tcPr>
          <w:p w14:paraId="20531833">
            <w:pPr>
              <w:spacing w:before="0" w:after="40" w:line="240" w:lineRule="auto"/>
              <w:jc w:val="left"/>
            </w:pPr>
          </w:p>
          <w:p>
            <w:pPr>
              <w:spacing w:before="0" w:after="40" w:line="240" w:lineRule="auto"/>
              <w:jc w:val="left"/>
            </w:pPr>
            <w:r>
              <w:rPr>
                <w:rFonts w:eastAsia="宋体"/>
                <w:rFonts w:ascii="宋体" w:hAnsi="宋体"/>
                <w:b/>
                <w:sz w:val="24"/>
              </w:rPr>
              <w:t>一、实验目的</w:t>
            </w:r>
          </w:p>
          <w:p>
            <w:pPr>
              <w:spacing w:before="0" w:after="40" w:line="240" w:lineRule="auto"/>
              <w:ind w:firstLine="480"/>
              <w:jc w:val="left"/>
            </w:pPr>
            <w:r>
              <w:rPr>
                <w:rFonts w:eastAsia="宋体"/>
                <w:rFonts w:ascii="宋体" w:hAnsi="宋体"/>
                <w:b w:val="0"/>
                <w:sz w:val="24"/>
              </w:rPr>
              <w:t>1. 深入理解逻辑回归（Logistic Regression）的数学原理：掌握 Sigmoid 激活、对数似然损失函数、正则化项（L1/L2）的作用机制，以及超参数 C、penalty 对模型复杂度与泛化能力的影响；</w:t>
            </w:r>
          </w:p>
          <w:p>
            <w:pPr>
              <w:spacing w:before="0" w:after="40" w:line="240" w:lineRule="auto"/>
              <w:ind w:firstLine="480"/>
              <w:jc w:val="left"/>
            </w:pPr>
            <w:r>
              <w:rPr>
                <w:rFonts w:eastAsia="宋体"/>
                <w:rFonts w:ascii="宋体" w:hAnsi="宋体"/>
                <w:b w:val="0"/>
                <w:sz w:val="24"/>
              </w:rPr>
              <w:t>2. 掌握工程化的端到端机器学习流程：从数据探索、预处理、多轮迭代特征工程，到超参数调优、多维评估，以 6 个解耦模块（config / preprocessing / imbalance / modeling / evaluation / main）构建可维护的项目结构；</w:t>
            </w:r>
          </w:p>
          <w:p>
            <w:pPr>
              <w:spacing w:before="0" w:after="40" w:line="240" w:lineRule="auto"/>
              <w:ind w:firstLine="480"/>
              <w:jc w:val="left"/>
            </w:pPr>
            <w:r>
              <w:rPr>
                <w:rFonts w:eastAsia="宋体"/>
                <w:rFonts w:ascii="宋体" w:hAnsi="宋体"/>
                <w:b w:val="0"/>
                <w:sz w:val="24"/>
              </w:rPr>
              <w:t>3. 深入理解类别不平衡问题的危害与应对策略：对比 SMOTE 过采样、随机欠采样、损失权重调节三种方案，理解其在 Precision-Recall 权衡上的本质差异，能根据业务需求（控误报 vs. 控漏报）进行合理选择；</w:t>
            </w:r>
          </w:p>
          <w:p>
            <w:pPr>
              <w:spacing w:before="0" w:after="40" w:line="240" w:lineRule="auto"/>
              <w:ind w:firstLine="480"/>
              <w:jc w:val="left"/>
            </w:pPr>
            <w:r>
              <w:rPr>
                <w:rFonts w:eastAsia="宋体"/>
                <w:rFonts w:ascii="宋体" w:hAnsi="宋体"/>
                <w:b w:val="0"/>
                <w:sz w:val="24"/>
              </w:rPr>
              <w:t>4. 掌握 GridSearchCV + K 折分层交叉验证的超参数调优方法，理解为何在不平衡数据集上必须以 roc_auc 而非 accuracy 作为评分指标；</w:t>
            </w:r>
          </w:p>
          <w:p>
            <w:pPr>
              <w:spacing w:before="0" w:after="40" w:line="240" w:lineRule="auto"/>
              <w:ind w:firstLine="480"/>
              <w:jc w:val="left"/>
            </w:pPr>
            <w:r>
              <w:rPr>
                <w:rFonts w:eastAsia="宋体"/>
                <w:rFonts w:ascii="宋体" w:hAnsi="宋体"/>
                <w:b w:val="0"/>
                <w:sz w:val="24"/>
              </w:rPr>
              <w:t>5. 理解并会计算类别不平衡场景下的核心评估指标：Precision（准确率）、Recall（召回率）、F1-Score（调和平均）、ROC-AUC（排序能力），并能从混淆矩阵中解读 FP（误报）与 FN（漏报）的业务含义；</w:t>
            </w:r>
          </w:p>
          <w:p>
            <w:pPr>
              <w:spacing w:before="0" w:after="40" w:line="240" w:lineRule="auto"/>
              <w:ind w:firstLine="480"/>
              <w:jc w:val="left"/>
            </w:pPr>
            <w:r>
              <w:rPr>
                <w:rFonts w:eastAsia="宋体"/>
                <w:rFonts w:ascii="宋体" w:hAnsi="宋体"/>
                <w:b w:val="0"/>
                <w:sz w:val="24"/>
              </w:rPr>
              <w:t>6. 通过四轮迭代特征工程（基础 OHE → 衍生特征 → 多项式交互 → QuantileTransformer 归一化），记录 AUC 的完整提升路径，深刻理解"特征质量决定线性模型性能上限"的核心工程原则；</w:t>
            </w:r>
          </w:p>
          <w:p>
            <w:pPr>
              <w:spacing w:before="0" w:after="40" w:line="240" w:lineRule="auto"/>
              <w:ind w:firstLine="480"/>
              <w:jc w:val="left"/>
            </w:pPr>
            <w:r>
              <w:rPr>
                <w:rFonts w:eastAsia="宋体"/>
                <w:rFonts w:ascii="宋体" w:hAnsi="宋体"/>
                <w:b w:val="0"/>
                <w:sz w:val="24"/>
              </w:rPr>
              <w:t>7. 理解逻辑回归在结构化数据集上的性能边界：通过与 GradientBoosting 的对比实验，认识到线性模型在面对非线性决策边界时的固有局限，并了解突破该局限所需的模型改进方向。</w:t>
            </w:r>
          </w:p>
        </w:tc>
      </w:tr>
      <w:tr w14:paraId="77166A17">
        <w:tblPrEx>
          <w:tblCellMar>
            <w:top w:w="0" w:type="dxa"/>
            <w:left w:w="108" w:type="dxa"/>
            <w:bottom w:w="0" w:type="dxa"/>
            <w:right w:w="108" w:type="dxa"/>
          </w:tblCellMar>
        </w:tblPrEx>
        <w:trPr>
          <w:trHeight w:val="820" w:hRule="atLeast"/>
          <w:jc w:val="center"/>
        </w:trPr>
        <w:tc>
          <w:tcPr>
            <w:tcW w:w="8590" w:type="dxa"/>
            <w:gridSpan w:val="6"/>
            <w:tcBorders>
              <w:top w:val="single" w:color="000000" w:sz="4" w:space="0"/>
              <w:left w:val="single" w:color="000000" w:sz="4" w:space="0"/>
              <w:bottom w:val="single" w:color="000000" w:sz="4" w:space="0"/>
              <w:right w:val="single" w:color="000000" w:sz="4" w:space="0"/>
            </w:tcBorders>
            <w:tcMar>
              <w:top w:w="57" w:type="dxa"/>
              <w:left w:w="142" w:type="dxa"/>
              <w:bottom w:w="57" w:type="dxa"/>
              <w:right w:w="567" w:type="dxa"/>
            </w:tcMar>
          </w:tcPr>
          <w:p w14:paraId="0A97898B">
            <w:pPr>
              <w:spacing w:before="0" w:after="40" w:line="240" w:lineRule="auto"/>
              <w:jc w:val="left"/>
            </w:pPr>
          </w:p>
          <w:p>
            <w:pPr>
              <w:spacing w:before="0" w:after="40" w:line="240" w:lineRule="auto"/>
              <w:jc w:val="left"/>
            </w:pPr>
            <w:r>
              <w:rPr>
                <w:rFonts w:eastAsia="宋体"/>
                <w:rFonts w:ascii="宋体" w:hAnsi="宋体"/>
                <w:b/>
                <w:sz w:val="24"/>
              </w:rPr>
              <w:t>二、实验项目内容</w:t>
            </w:r>
          </w:p>
          <w:p>
            <w:pPr>
              <w:spacing w:before="100" w:after="20" w:line="240" w:lineRule="auto"/>
            </w:pPr>
            <w:r>
              <w:rPr>
                <w:rFonts w:eastAsia="宋体"/>
                <w:rFonts w:ascii="宋体" w:hAnsi="宋体"/>
                <w:b/>
                <w:sz w:val="24"/>
              </w:rPr>
              <w:t>（一）数据集简介</w:t>
            </w:r>
          </w:p>
          <w:p>
            <w:pPr>
              <w:spacing w:before="0" w:after="40" w:line="240" w:lineRule="auto"/>
              <w:ind w:firstLine="480"/>
              <w:jc w:val="left"/>
            </w:pPr>
            <w:r>
              <w:rPr>
                <w:rFonts w:eastAsia="宋体"/>
                <w:rFonts w:ascii="宋体" w:hAnsi="宋体"/>
                <w:b w:val="0"/>
                <w:sz w:val="24"/>
              </w:rPr>
              <w:t>使用 UCI Bank Marketing 完整数据集（bank-additional-full.csv），共 41,188 条葡萄牙银行电话营销记录（2008—2013年），20 个特征字段，目标变量 y 为客户是否订阅定期存款（yes/no）。</w:t>
            </w:r>
          </w:p>
          <w:p>
            <w:pPr>
              <w:spacing w:before="0" w:after="40" w:line="240" w:lineRule="auto"/>
              <w:ind w:firstLine="480"/>
              <w:jc w:val="left"/>
            </w:pPr>
            <w:r>
              <w:rPr>
                <w:rFonts w:eastAsia="宋体"/>
                <w:rFonts w:ascii="宋体" w:hAnsi="宋体"/>
                <w:b w:val="0"/>
                <w:sz w:val="24"/>
              </w:rPr>
              <w:t>特征分三类：① 客户基本属性（age、job、marital、education、default、housing、loan）；② 本次营销接触信息（contact、month、day_of_week、duration、campaign、pdays、previous、poutcome）；③ 宏观经济指标（emp.var.rate、cons.price.idx、cons.conf.idx、euribor3m、nr.employed）。</w:t>
            </w:r>
          </w:p>
          <w:p>
            <w:pPr>
              <w:spacing w:before="0" w:after="40" w:line="240" w:lineRule="auto"/>
              <w:ind w:firstLine="480"/>
              <w:jc w:val="left"/>
            </w:pPr>
            <w:r>
              <w:rPr>
                <w:rFonts w:eastAsia="宋体"/>
                <w:rFonts w:ascii="宋体" w:hAnsi="宋体"/>
                <w:b w:val="0"/>
                <w:sz w:val="24"/>
              </w:rPr>
              <w:t>类别分布严重不平衡：未订阅 36,548 条（88.73%）、已订阅 4,640 条（11.27%），正负样本比约 1:7.9；此外约 12,718 个字段含 unknown 缺失标记，属于真实工业数据的典型噪声。</w:t>
            </w:r>
          </w:p>
          <w:p>
            <w:pPr>
              <w:spacing w:before="100" w:after="20" w:line="240" w:lineRule="auto"/>
            </w:pPr>
            <w:r>
              <w:rPr>
                <w:rFonts w:eastAsia="宋体"/>
                <w:rFonts w:ascii="宋体" w:hAnsi="宋体"/>
                <w:b/>
                <w:sz w:val="24"/>
              </w:rPr>
              <w:t>（二）工程化项目架构</w:t>
            </w:r>
          </w:p>
          <w:p>
            <w:pPr>
              <w:spacing w:before="0" w:after="40" w:line="240" w:lineRule="auto"/>
              <w:ind w:firstLine="480"/>
              <w:jc w:val="left"/>
            </w:pPr>
            <w:r>
              <w:rPr>
                <w:rFonts w:eastAsia="宋体"/>
                <w:rFonts w:ascii="宋体" w:hAnsi="宋体"/>
                <w:b w:val="0"/>
                <w:sz w:val="24"/>
              </w:rPr>
              <w:t>本实验将功能解耦为 6 个独立模块，提升可读性与可复现性：</w:t>
            </w:r>
          </w:p>
          <w:tbl>
            <w:tblPr>
              <w:tblW w:type="auto" w:w="0"/>
              <w:tblLook w:firstColumn="1" w:firstRow="1" w:lastColumn="0" w:lastRow="0" w:noHBand="0" w:noVBand="1" w:val="04A0"/>
            </w:tblPr>
            <w:tblGrid>
              <w:gridCol w:w="4295"/>
              <w:gridCol w:w="4295"/>
            </w:tblGrid>
            <w:tr>
              <w:tc>
                <w:tcPr>
                  <w:tcW w:type="dxa" w:w="4295"/>
                </w:tcPr>
                <w:p>
                  <w:pPr>
                    <w:jc w:val="center"/>
                  </w:pPr>
                  <w:r>
                    <w:rPr>
                      <w:rFonts w:eastAsia="宋体"/>
                      <w:rFonts w:ascii="宋体" w:hAnsi="宋体"/>
                      <w:b/>
                      <w:sz w:val="20"/>
                    </w:rPr>
                    <w:t>模块文件</w:t>
                  </w:r>
                </w:p>
              </w:tc>
              <w:tc>
                <w:tcPr>
                  <w:tcW w:type="dxa" w:w="4295"/>
                </w:tcPr>
                <w:p>
                  <w:pPr>
                    <w:jc w:val="center"/>
                  </w:pPr>
                  <w:r>
                    <w:rPr>
                      <w:rFonts w:eastAsia="宋体"/>
                      <w:rFonts w:ascii="宋体" w:hAnsi="宋体"/>
                      <w:b/>
                      <w:sz w:val="20"/>
                    </w:rPr>
                    <w:t>职责说明</w:t>
                  </w:r>
                </w:p>
              </w:tc>
            </w:tr>
            <w:tr>
              <w:tc>
                <w:tcPr>
                  <w:tcW w:type="dxa" w:w="4295"/>
                </w:tcPr>
                <w:p>
                  <w:pPr>
                    <w:jc w:val="center"/>
                  </w:pPr>
                  <w:r>
                    <w:rPr>
                      <w:rFonts w:eastAsia="宋体"/>
                      <w:rFonts w:ascii="宋体" w:hAnsi="宋体"/>
                      <w:b w:val="0"/>
                      <w:sz w:val="20"/>
                    </w:rPr>
                    <w:t>config.py</w:t>
                  </w:r>
                </w:p>
              </w:tc>
              <w:tc>
                <w:tcPr>
                  <w:tcW w:type="dxa" w:w="4295"/>
                </w:tcPr>
                <w:p>
                  <w:pPr>
                    <w:jc w:val="center"/>
                  </w:pPr>
                  <w:r>
                    <w:rPr>
                      <w:rFonts w:eastAsia="宋体"/>
                      <w:rFonts w:ascii="宋体" w:hAnsi="宋体"/>
                      <w:b w:val="0"/>
                      <w:sz w:val="20"/>
                    </w:rPr>
                    <w:t>全局配置：路径、随机种子、CV 折数、超参数网格、多项式特征列表</w:t>
                  </w:r>
                </w:p>
              </w:tc>
            </w:tr>
            <w:tr>
              <w:tc>
                <w:tcPr>
                  <w:tcW w:type="dxa" w:w="4295"/>
                </w:tcPr>
                <w:p>
                  <w:pPr>
                    <w:jc w:val="center"/>
                  </w:pPr>
                  <w:r>
                    <w:rPr>
                      <w:rFonts w:eastAsia="宋体"/>
                      <w:rFonts w:ascii="宋体" w:hAnsi="宋体"/>
                      <w:b w:val="0"/>
                      <w:sz w:val="20"/>
                    </w:rPr>
                    <w:t>preprocessing.py</w:t>
                  </w:r>
                </w:p>
              </w:tc>
              <w:tc>
                <w:tcPr>
                  <w:tcW w:type="dxa" w:w="4295"/>
                </w:tcPr>
                <w:p>
                  <w:pPr>
                    <w:jc w:val="center"/>
                  </w:pPr>
                  <w:r>
                    <w:rPr>
                      <w:rFonts w:eastAsia="宋体"/>
                      <w:rFonts w:ascii="宋体" w:hAnsi="宋体"/>
                      <w:b w:val="0"/>
                      <w:sz w:val="20"/>
                    </w:rPr>
                    <w:t>数据加载→特征工程→编码→QuantileTransformer 归一化→多项式展开</w:t>
                  </w:r>
                </w:p>
              </w:tc>
            </w:tr>
            <w:tr>
              <w:tc>
                <w:tcPr>
                  <w:tcW w:type="dxa" w:w="4295"/>
                </w:tcPr>
                <w:p>
                  <w:pPr>
                    <w:jc w:val="center"/>
                  </w:pPr>
                  <w:r>
                    <w:rPr>
                      <w:rFonts w:eastAsia="宋体"/>
                      <w:rFonts w:ascii="宋体" w:hAnsi="宋体"/>
                      <w:b w:val="0"/>
                      <w:sz w:val="20"/>
                    </w:rPr>
                    <w:t>imbalance.py</w:t>
                  </w:r>
                </w:p>
              </w:tc>
              <w:tc>
                <w:tcPr>
                  <w:tcW w:type="dxa" w:w="4295"/>
                </w:tcPr>
                <w:p>
                  <w:pPr>
                    <w:jc w:val="center"/>
                  </w:pPr>
                  <w:r>
                    <w:rPr>
                      <w:rFonts w:eastAsia="宋体"/>
                      <w:rFonts w:ascii="宋体" w:hAnsi="宋体"/>
                      <w:b w:val="0"/>
                      <w:sz w:val="20"/>
                    </w:rPr>
                    <w:t>三种不平衡处理策略封装（SMOTE / 欠采样 / class_weight 标志）</w:t>
                  </w:r>
                </w:p>
              </w:tc>
            </w:tr>
            <w:tr>
              <w:tc>
                <w:tcPr>
                  <w:tcW w:type="dxa" w:w="4295"/>
                </w:tcPr>
                <w:p>
                  <w:pPr>
                    <w:jc w:val="center"/>
                  </w:pPr>
                  <w:r>
                    <w:rPr>
                      <w:rFonts w:eastAsia="宋体"/>
                      <w:rFonts w:ascii="宋体" w:hAnsi="宋体"/>
                      <w:b w:val="0"/>
                      <w:sz w:val="20"/>
                    </w:rPr>
                    <w:t>modeling.py</w:t>
                  </w:r>
                </w:p>
              </w:tc>
              <w:tc>
                <w:tcPr>
                  <w:tcW w:type="dxa" w:w="4295"/>
                </w:tcPr>
                <w:p>
                  <w:pPr>
                    <w:jc w:val="center"/>
                  </w:pPr>
                  <w:r>
                    <w:rPr>
                      <w:rFonts w:eastAsia="宋体"/>
                      <w:rFonts w:ascii="宋体" w:hAnsi="宋体"/>
                      <w:b w:val="0"/>
                      <w:sz w:val="20"/>
                    </w:rPr>
                    <w:t>GridSearchCV + StratifiedKFold 超参数搜索，返回最优模型</w:t>
                  </w:r>
                </w:p>
              </w:tc>
            </w:tr>
            <w:tr>
              <w:tc>
                <w:tcPr>
                  <w:tcW w:type="dxa" w:w="4295"/>
                </w:tcPr>
                <w:p>
                  <w:pPr>
                    <w:jc w:val="center"/>
                  </w:pPr>
                  <w:r>
                    <w:rPr>
                      <w:rFonts w:eastAsia="宋体"/>
                      <w:rFonts w:ascii="宋体" w:hAnsi="宋体"/>
                      <w:b w:val="0"/>
                      <w:sz w:val="20"/>
                    </w:rPr>
                    <w:t>evaluation.py</w:t>
                  </w:r>
                </w:p>
              </w:tc>
              <w:tc>
                <w:tcPr>
                  <w:tcW w:type="dxa" w:w="4295"/>
                </w:tcPr>
                <w:p>
                  <w:pPr>
                    <w:jc w:val="center"/>
                  </w:pPr>
                  <w:r>
                    <w:rPr>
                      <w:rFonts w:eastAsia="宋体"/>
                      <w:rFonts w:ascii="宋体" w:hAnsi="宋体"/>
                      <w:b w:val="0"/>
                      <w:sz w:val="20"/>
                    </w:rPr>
                    <w:t>测试集推断、分类报告打印、混淆矩阵与 ROC 曲线绘图、AUC 汇总</w:t>
                  </w:r>
                </w:p>
              </w:tc>
            </w:tr>
            <w:tr>
              <w:tc>
                <w:tcPr>
                  <w:tcW w:type="dxa" w:w="4295"/>
                </w:tcPr>
                <w:p>
                  <w:pPr>
                    <w:jc w:val="center"/>
                  </w:pPr>
                  <w:r>
                    <w:rPr>
                      <w:rFonts w:eastAsia="宋体"/>
                      <w:rFonts w:ascii="宋体" w:hAnsi="宋体"/>
                      <w:b w:val="0"/>
                      <w:sz w:val="20"/>
                    </w:rPr>
                    <w:t>main.py</w:t>
                  </w:r>
                </w:p>
              </w:tc>
              <w:tc>
                <w:tcPr>
                  <w:tcW w:type="dxa" w:w="4295"/>
                </w:tcPr>
                <w:p>
                  <w:pPr>
                    <w:jc w:val="center"/>
                  </w:pPr>
                  <w:r>
                    <w:rPr>
                      <w:rFonts w:eastAsia="宋体"/>
                      <w:rFonts w:ascii="宋体" w:hAnsi="宋体"/>
                      <w:b w:val="0"/>
                      <w:sz w:val="20"/>
                    </w:rPr>
                    <w:t>主执行入口，串联上述 5 个模块的完整流水线</w:t>
                  </w:r>
                </w:p>
              </w:tc>
            </w:tr>
          </w:tbl>
          <w:p/>
          <w:p>
            <w:pPr>
              <w:spacing w:before="0" w:after="40" w:line="240" w:lineRule="auto"/>
              <w:jc w:val="left"/>
            </w:pPr>
            <w:r>
              <w:rPr>
                <w:rFonts w:eastAsia="宋体"/>
                <w:rFonts w:ascii="宋体" w:hAnsi="宋体"/>
                <w:b w:val="0"/>
                <w:sz w:val="24"/>
              </w:rPr>
            </w:r>
          </w:p>
          <w:p>
            <w:pPr>
              <w:spacing w:before="100" w:after="20" w:line="240" w:lineRule="auto"/>
            </w:pPr>
            <w:r>
              <w:rPr>
                <w:rFonts w:eastAsia="宋体"/>
                <w:rFonts w:ascii="宋体" w:hAnsi="宋体"/>
                <w:b/>
                <w:sz w:val="24"/>
              </w:rPr>
              <w:t>（三）实验核心任务</w:t>
            </w:r>
          </w:p>
          <w:p>
            <w:pPr>
              <w:spacing w:before="0" w:after="40" w:line="240" w:lineRule="auto"/>
              <w:ind w:firstLine="480"/>
              <w:jc w:val="left"/>
            </w:pPr>
            <w:r>
              <w:rPr>
                <w:rFonts w:eastAsia="宋体"/>
                <w:rFonts w:ascii="宋体" w:hAnsi="宋体"/>
                <w:b w:val="0"/>
                <w:sz w:val="24"/>
              </w:rPr>
              <w:t>① 数据预处理：unknown 作为独立类别保留、education 有序 Label Encoding、9 列无序特征 One-Hot Encoding、pdays=999 替换为 0 并生成二值指示符；</w:t>
            </w:r>
          </w:p>
          <w:p>
            <w:pPr>
              <w:spacing w:before="0" w:after="40" w:line="240" w:lineRule="auto"/>
              <w:ind w:firstLine="480"/>
              <w:jc w:val="left"/>
            </w:pPr>
            <w:r>
              <w:rPr>
                <w:rFonts w:eastAsia="宋体"/>
                <w:rFonts w:ascii="宋体" w:hAnsi="宋体"/>
                <w:b w:val="0"/>
                <w:sz w:val="24"/>
              </w:rPr>
              <w:t>② 四轮迭代特征工程：从基础 58 维到最终 495 维，AUC 从 0.9440 稳步提升至 0.9520；</w:t>
            </w:r>
          </w:p>
          <w:p>
            <w:pPr>
              <w:spacing w:before="0" w:after="40" w:line="240" w:lineRule="auto"/>
              <w:ind w:firstLine="480"/>
              <w:jc w:val="left"/>
            </w:pPr>
            <w:r>
              <w:rPr>
                <w:rFonts w:eastAsia="宋体"/>
                <w:rFonts w:ascii="宋体" w:hAnsi="宋体"/>
                <w:b w:val="0"/>
                <w:sz w:val="24"/>
              </w:rPr>
              <w:t>③ 分布归一化升级：以 QuantileTransformer（输出正态分布）替换 StandardScaler，显著改善偏斜特征对 L1 梯度的干扰；</w:t>
            </w:r>
          </w:p>
          <w:p>
            <w:pPr>
              <w:spacing w:before="0" w:after="40" w:line="240" w:lineRule="auto"/>
              <w:ind w:firstLine="480"/>
              <w:jc w:val="left"/>
            </w:pPr>
            <w:r>
              <w:rPr>
                <w:rFonts w:eastAsia="宋体"/>
                <w:rFonts w:ascii="宋体" w:hAnsi="宋体"/>
                <w:b w:val="0"/>
                <w:sz w:val="24"/>
              </w:rPr>
              <w:t>④ 类别不平衡处理：SMOTE（sampling_strategy=0.4）/ RandomUnderSampler / class_weight='balanced'，所有重采样仅作用于训练集；</w:t>
            </w:r>
          </w:p>
          <w:p>
            <w:pPr>
              <w:spacing w:before="0" w:after="40" w:line="240" w:lineRule="auto"/>
              <w:ind w:firstLine="480"/>
              <w:jc w:val="left"/>
            </w:pPr>
            <w:r>
              <w:rPr>
                <w:rFonts w:eastAsia="宋体"/>
                <w:rFonts w:ascii="宋体" w:hAnsi="宋体"/>
                <w:b w:val="0"/>
                <w:sz w:val="24"/>
              </w:rPr>
              <w:t>⑤ 超参数调优：GridSearchCV 在 C×penalty 空间搜索，3 折分层 CV，roc_auc 评分，共 8 种组合 × 3 折 = 24 次拟合/策略；</w:t>
            </w:r>
          </w:p>
          <w:p>
            <w:pPr>
              <w:spacing w:before="0" w:after="40" w:line="240" w:lineRule="auto"/>
              <w:ind w:firstLine="480"/>
              <w:jc w:val="left"/>
            </w:pPr>
            <w:r>
              <w:rPr>
                <w:rFonts w:eastAsia="宋体"/>
                <w:rFonts w:ascii="宋体" w:hAnsi="宋体"/>
                <w:b w:val="0"/>
                <w:sz w:val="24"/>
              </w:rPr>
              <w:t>⑥ 多维评估：classification_report 输出 Precision/Recall/F1、指标分组柱状图可视化、混淆矩阵、ROC 曲线 + AUC；</w:t>
            </w:r>
          </w:p>
          <w:p>
            <w:pPr>
              <w:spacing w:before="0" w:after="40" w:line="240" w:lineRule="auto"/>
              <w:ind w:firstLine="480"/>
              <w:jc w:val="left"/>
            </w:pPr>
            <w:r>
              <w:rPr>
                <w:rFonts w:eastAsia="宋体"/>
                <w:rFonts w:ascii="宋体" w:hAnsi="宋体"/>
                <w:b w:val="0"/>
                <w:sz w:val="24"/>
              </w:rPr>
              <w:t>⑦ 基准对比实验：与 GradientBoosting（sklearn 默认参数）对比，验证 LR 性能上限。</w:t>
            </w:r>
          </w:p>
        </w:tc>
      </w:tr>
      <w:tr w14:paraId="7EC5C031">
        <w:tblPrEx>
          <w:tblCellMar>
            <w:top w:w="0" w:type="dxa"/>
            <w:left w:w="108" w:type="dxa"/>
            <w:bottom w:w="0" w:type="dxa"/>
            <w:right w:w="108" w:type="dxa"/>
          </w:tblCellMar>
        </w:tblPrEx>
        <w:trPr>
          <w:trHeight w:val="5174" w:hRule="atLeast"/>
          <w:jc w:val="center"/>
        </w:trPr>
        <w:tc>
          <w:tcPr>
            <w:tcW w:w="8590" w:type="dxa"/>
            <w:gridSpan w:val="6"/>
            <w:tcBorders>
              <w:top w:val="single" w:color="000000" w:sz="4" w:space="0"/>
              <w:left w:val="single" w:color="000000" w:sz="4" w:space="0"/>
              <w:bottom w:val="single" w:color="000000" w:sz="4" w:space="0"/>
              <w:right w:val="single" w:color="000000" w:sz="4" w:space="0"/>
            </w:tcBorders>
            <w:tcMar>
              <w:top w:w="57" w:type="dxa"/>
              <w:left w:w="142" w:type="dxa"/>
              <w:bottom w:w="57" w:type="dxa"/>
              <w:right w:w="567" w:type="dxa"/>
            </w:tcMar>
          </w:tcPr>
          <w:p w14:paraId="0AADE8BF">
            <w:pPr>
              <w:spacing w:before="0" w:after="40" w:line="240" w:lineRule="auto"/>
              <w:jc w:val="left"/>
            </w:pPr>
          </w:p>
          <w:p>
            <w:pPr>
              <w:spacing w:before="0" w:after="40" w:line="240" w:lineRule="auto"/>
              <w:jc w:val="left"/>
            </w:pPr>
            <w:r>
              <w:rPr>
                <w:rFonts w:eastAsia="宋体"/>
                <w:rFonts w:ascii="宋体" w:hAnsi="宋体"/>
                <w:b/>
                <w:sz w:val="24"/>
              </w:rPr>
              <w:t>三、实验过程或算法</w:t>
            </w:r>
          </w:p>
          <w:p>
            <w:pPr>
              <w:spacing w:before="100" w:after="20" w:line="240" w:lineRule="auto"/>
            </w:pPr>
            <w:r>
              <w:rPr>
                <w:rFonts w:eastAsia="宋体"/>
                <w:rFonts w:ascii="宋体" w:hAnsi="宋体"/>
                <w:b/>
                <w:sz w:val="24"/>
              </w:rPr>
              <w:t>3.1 数据预处理</w:t>
            </w:r>
          </w:p>
          <w:p>
            <w:pPr>
              <w:spacing w:before="0" w:after="40" w:line="240" w:lineRule="auto"/>
              <w:jc w:val="left"/>
            </w:pPr>
            <w:r>
              <w:rPr>
                <w:rFonts w:eastAsia="宋体"/>
                <w:rFonts w:ascii="宋体" w:hAnsi="宋体"/>
                <w:b/>
                <w:sz w:val="24"/>
              </w:rPr>
              <w:t>（1）unknown 缺失值处理</w:t>
            </w:r>
          </w:p>
          <w:p>
            <w:pPr>
              <w:spacing w:before="0" w:after="40" w:line="240" w:lineRule="auto"/>
              <w:ind w:firstLine="480"/>
              <w:jc w:val="left"/>
            </w:pPr>
            <w:r>
              <w:rPr>
                <w:rFonts w:eastAsia="宋体"/>
                <w:rFonts w:ascii="宋体" w:hAnsi="宋体"/>
                <w:b w:val="0"/>
                <w:sz w:val="24"/>
              </w:rPr>
              <w:t>数据集中 job（330条）、marital（80条）、education（1731条）、default（8597条）、housing（990条）、loan（990条）含有 unknown，合计约 12,718 个。本实验选择将 unknown 保留为独立类别，而非以众数填充。原因：① unknown 本身可能是有效信息（客户拒绝披露信用违约记录可能恰好是高风险信号）；② 众数填充会引入虚假样本，使分布失真；③ One-Hot 编码后新增 _unknown 列，模型可自行学习其权重。</w:t>
            </w:r>
          </w:p>
          <w:p>
            <w:pPr>
              <w:spacing w:before="0" w:after="40" w:line="240" w:lineRule="auto"/>
              <w:jc w:val="left"/>
            </w:pPr>
            <w:r>
              <w:rPr>
                <w:rFonts w:eastAsia="宋体"/>
                <w:rFonts w:ascii="宋体" w:hAnsi="宋体"/>
                <w:b/>
                <w:sz w:val="24"/>
              </w:rPr>
              <w:t>（2）education 有序 Label Encoding</w:t>
            </w:r>
          </w:p>
          <w:p>
            <w:pPr>
              <w:spacing w:before="0" w:after="40" w:line="240" w:lineRule="auto"/>
              <w:ind w:firstLine="480"/>
              <w:jc w:val="left"/>
            </w:pPr>
            <w:r>
              <w:rPr>
                <w:rFonts w:eastAsia="宋体"/>
                <w:rFonts w:ascii="宋体" w:hAnsi="宋体"/>
                <w:b w:val="0"/>
                <w:sz w:val="24"/>
              </w:rPr>
              <w:t>学历存在明确的认知顺序（文盲→小学→初中→高中→大专→本科），若改用 One-Hot 编码会将该顺序信息拆散，使模型无法利用"学历越高，理财意识可能越强"的单调性。映射方案如下：</w:t>
            </w:r>
          </w:p>
          <w:p>
            <w:pPr>
              <w:spacing w:before="0" w:after="0" w:line="240" w:lineRule="auto"/>
              <w:ind w:left="283"/>
            </w:pPr>
            <w:r>
              <w:rPr>
                <w:rFonts w:eastAsia="宋体"/>
                <w:rFonts w:ascii="Courier New" w:hAnsi="Courier New"/>
                <w:b w:val="0"/>
                <w:color w:val="1A5376"/>
                <w:sz w:val="18"/>
              </w:rPr>
              <w:t>EDU_ORDER = {'illiterate':0, 'basic.4y':1, 'basic.6y':2, 'basic.9y':3,</w:t>
            </w:r>
          </w:p>
          <w:p>
            <w:pPr>
              <w:spacing w:before="0" w:after="0" w:line="240" w:lineRule="auto"/>
              <w:ind w:left="283"/>
            </w:pPr>
            <w:r>
              <w:rPr>
                <w:rFonts w:eastAsia="宋体"/>
                <w:rFonts w:ascii="Courier New" w:hAnsi="Courier New"/>
                <w:b w:val="0"/>
                <w:color w:val="1A5376"/>
                <w:sz w:val="18"/>
              </w:rPr>
              <w:t xml:space="preserve">             'high.school':4, 'professional.course':5,</w:t>
            </w:r>
          </w:p>
          <w:p>
            <w:pPr>
              <w:spacing w:before="0" w:after="0" w:line="240" w:lineRule="auto"/>
              <w:ind w:left="283"/>
            </w:pPr>
            <w:r>
              <w:rPr>
                <w:rFonts w:eastAsia="宋体"/>
                <w:rFonts w:ascii="Courier New" w:hAnsi="Courier New"/>
                <w:b w:val="0"/>
                <w:color w:val="1A5376"/>
                <w:sz w:val="18"/>
              </w:rPr>
              <w:t xml:space="preserve">             'university.degree':6, 'unknown':3}  # unknown 以中等水平缺省</w:t>
            </w:r>
          </w:p>
          <w:p>
            <w:pPr>
              <w:spacing w:before="0" w:after="0" w:line="240" w:lineRule="auto"/>
              <w:ind w:left="283"/>
            </w:pPr>
            <w:r>
              <w:rPr>
                <w:rFonts w:eastAsia="宋体"/>
                <w:rFonts w:ascii="Courier New" w:hAnsi="Courier New"/>
                <w:b w:val="0"/>
                <w:color w:val="1A5376"/>
                <w:sz w:val="18"/>
              </w:rPr>
              <w:t>df['education'] = df['education'].map(EDU_ORDER)</w:t>
            </w:r>
          </w:p>
          <w:p>
            <w:pPr>
              <w:spacing w:before="0" w:after="40" w:line="240" w:lineRule="auto"/>
              <w:jc w:val="left"/>
            </w:pPr>
            <w:r>
              <w:rPr>
                <w:rFonts w:eastAsia="宋体"/>
                <w:rFonts w:ascii="宋体" w:hAnsi="宋体"/>
                <w:b/>
                <w:sz w:val="24"/>
              </w:rPr>
              <w:t>（3）无序特征 One-Hot Encoding</w:t>
            </w:r>
          </w:p>
          <w:p>
            <w:pPr>
              <w:spacing w:before="0" w:after="40" w:line="240" w:lineRule="auto"/>
              <w:ind w:firstLine="480"/>
              <w:jc w:val="left"/>
            </w:pPr>
            <w:r>
              <w:rPr>
                <w:rFonts w:eastAsia="宋体"/>
                <w:rFonts w:ascii="宋体" w:hAnsi="宋体"/>
                <w:b w:val="0"/>
                <w:sz w:val="24"/>
              </w:rPr>
              <w:t>job、marital、default、housing、loan、contact、month、day_of_week、poutcome 共 9 列不含内在大小关系，使用 pd.get_dummies(drop_first=False) 全量展开。drop_first=False 保留所有 dummy 列（含 unknown 列），避免因删除参考类而损失信息；编码后基础特征从原始 20 维扩展为 60 维。</w:t>
            </w:r>
          </w:p>
          <w:p>
            <w:pPr>
              <w:spacing w:before="0" w:after="40" w:line="240" w:lineRule="auto"/>
              <w:jc w:val="left"/>
            </w:pPr>
            <w:r>
              <w:rPr>
                <w:rFonts w:eastAsia="宋体"/>
                <w:rFonts w:ascii="宋体" w:hAnsi="宋体"/>
                <w:b/>
                <w:sz w:val="24"/>
              </w:rPr>
              <w:t>（4）数据集分层划分（防信息泄露规范）</w:t>
            </w:r>
          </w:p>
          <w:p>
            <w:pPr>
              <w:spacing w:before="0" w:after="40" w:line="240" w:lineRule="auto"/>
              <w:ind w:firstLine="480"/>
              <w:jc w:val="left"/>
            </w:pPr>
            <w:r>
              <w:rPr>
                <w:rFonts w:eastAsia="宋体"/>
                <w:rFonts w:ascii="宋体" w:hAnsi="宋体"/>
                <w:b w:val="0"/>
                <w:sz w:val="24"/>
              </w:rPr>
              <w:t>按 stratify=y 做 8:2 分层划分，确保训练集（32,950条）与测试集（8,238条）的正样本比例一致（均约 11.27%）。所有预处理 Transformer（QuantileTransformer、PolynomialFeatures）均仅在训练集上 fit，再对测试集做 transform，严防统计量泄露。</w:t>
            </w:r>
          </w:p>
          <w:p>
            <w:pPr>
              <w:spacing w:before="0" w:after="0" w:line="240" w:lineRule="auto"/>
              <w:ind w:left="283"/>
            </w:pPr>
            <w:r>
              <w:rPr>
                <w:rFonts w:eastAsia="宋体"/>
                <w:rFonts w:ascii="Courier New" w:hAnsi="Courier New"/>
                <w:b w:val="0"/>
                <w:color w:val="1A5376"/>
                <w:sz w:val="18"/>
              </w:rPr>
              <w:t>X_train, X_test, y_train, y_test = train_test_split(</w:t>
            </w:r>
          </w:p>
          <w:p>
            <w:pPr>
              <w:spacing w:before="0" w:after="0" w:line="240" w:lineRule="auto"/>
              <w:ind w:left="283"/>
            </w:pPr>
            <w:r>
              <w:rPr>
                <w:rFonts w:eastAsia="宋体"/>
                <w:rFonts w:ascii="Courier New" w:hAnsi="Courier New"/>
                <w:b w:val="0"/>
                <w:color w:val="1A5376"/>
                <w:sz w:val="18"/>
              </w:rPr>
              <w:t xml:space="preserve">    X, y, test_size=0.2, random_state=42, stratify=y)</w:t>
            </w:r>
          </w:p>
          <w:p>
            <w:pPr>
              <w:spacing w:before="0" w:after="0" w:line="240" w:lineRule="auto"/>
              <w:ind w:left="283"/>
            </w:pPr>
            <w:r>
              <w:rPr>
                <w:rFonts w:eastAsia="宋体"/>
                <w:rFonts w:ascii="Courier New" w:hAnsi="Courier New"/>
                <w:b w:val="0"/>
                <w:color w:val="1A5376"/>
                <w:sz w:val="18"/>
              </w:rPr>
              <w:t>qt = QuantileTransformer(output_distribution='normal', n_quantiles=1000)</w:t>
            </w:r>
          </w:p>
          <w:p>
            <w:pPr>
              <w:spacing w:before="0" w:after="0" w:line="240" w:lineRule="auto"/>
              <w:ind w:left="283"/>
            </w:pPr>
            <w:r>
              <w:rPr>
                <w:rFonts w:eastAsia="宋体"/>
                <w:rFonts w:ascii="Courier New" w:hAnsi="Courier New"/>
                <w:b w:val="0"/>
                <w:color w:val="1A5376"/>
                <w:sz w:val="18"/>
              </w:rPr>
              <w:t>X_train_sc = qt.fit_transform(X_train)  # fit 仅训练集，防泄露</w:t>
            </w:r>
          </w:p>
          <w:p>
            <w:pPr>
              <w:spacing w:before="0" w:after="0" w:line="240" w:lineRule="auto"/>
              <w:ind w:left="283"/>
            </w:pPr>
            <w:r>
              <w:rPr>
                <w:rFonts w:eastAsia="宋体"/>
                <w:rFonts w:ascii="Courier New" w:hAnsi="Courier New"/>
                <w:b w:val="0"/>
                <w:color w:val="1A5376"/>
                <w:sz w:val="18"/>
              </w:rPr>
              <w:t>X_test_sc  = qt.transform(X_test)</w:t>
            </w:r>
          </w:p>
          <w:p>
            <w:pPr>
              <w:spacing w:before="100" w:after="20" w:line="240" w:lineRule="auto"/>
            </w:pPr>
            <w:r>
              <w:rPr>
                <w:rFonts w:eastAsia="宋体"/>
                <w:rFonts w:ascii="宋体" w:hAnsi="宋体"/>
                <w:b/>
                <w:sz w:val="24"/>
              </w:rPr>
              <w:t>3.2 特征工程（四轮迭代）</w:t>
            </w:r>
          </w:p>
          <w:p>
            <w:pPr>
              <w:spacing w:before="0" w:after="40" w:line="240" w:lineRule="auto"/>
              <w:ind w:firstLine="480"/>
              <w:jc w:val="left"/>
            </w:pPr>
            <w:r>
              <w:rPr>
                <w:rFonts w:eastAsia="宋体"/>
                <w:rFonts w:ascii="宋体" w:hAnsi="宋体"/>
                <w:b w:val="0"/>
                <w:sz w:val="24"/>
              </w:rPr>
              <w:t>特征工程是本实验 AUC 从 0.9440 提升至 0.9520 的核心驱动力，历经四轮迭代，每轮均记录了 AUC 的变化。</w:t>
            </w:r>
          </w:p>
          <w:p>
            <w:pPr>
              <w:spacing w:before="0" w:after="40" w:line="240" w:lineRule="auto"/>
              <w:jc w:val="left"/>
            </w:pPr>
            <w:r>
              <w:rPr>
                <w:rFonts w:eastAsia="宋体"/>
                <w:rFonts w:ascii="宋体" w:hAnsi="宋体"/>
                <w:b/>
                <w:sz w:val="24"/>
              </w:rPr>
              <w:t>【第一轮】基础版本（AUC ≈ 0.9440）</w:t>
            </w:r>
          </w:p>
          <w:p>
            <w:pPr>
              <w:spacing w:before="0" w:after="40" w:line="240" w:lineRule="auto"/>
              <w:ind w:firstLine="480"/>
              <w:jc w:val="left"/>
            </w:pPr>
            <w:r>
              <w:rPr>
                <w:rFonts w:eastAsia="宋体"/>
                <w:rFonts w:ascii="宋体" w:hAnsi="宋体"/>
                <w:b w:val="0"/>
                <w:sz w:val="24"/>
              </w:rPr>
              <w:t>仅完成 One-Hot + StandardScaler，直接使用原始 58 维特征训练 LR。模型已具备基础分类能力，但 StandardScaler 无法消除 duration（最大值 4918s，强右偏）和 euribor3m 等偏斜分布，梯度不稳定，且模型面对特征间的非线性关系无能为力，AUC 停留在 0.9440。</w:t>
            </w:r>
          </w:p>
          <w:p>
            <w:pPr>
              <w:spacing w:before="0" w:after="40" w:line="240" w:lineRule="auto"/>
              <w:jc w:val="left"/>
            </w:pPr>
            <w:r>
              <w:rPr>
                <w:rFonts w:eastAsia="宋体"/>
                <w:rFonts w:ascii="宋体" w:hAnsi="宋体"/>
                <w:b/>
                <w:sz w:val="24"/>
              </w:rPr>
              <w:t>【第二轮】衍生特征工程（AUC ≈ 0.9478）</w:t>
            </w:r>
          </w:p>
          <w:p>
            <w:pPr>
              <w:spacing w:before="0" w:after="40" w:line="240" w:lineRule="auto"/>
              <w:ind w:firstLine="480"/>
              <w:jc w:val="left"/>
            </w:pPr>
            <w:r>
              <w:rPr>
                <w:rFonts w:eastAsia="宋体"/>
                <w:rFonts w:ascii="宋体" w:hAnsi="宋体"/>
                <w:b w:val="0"/>
                <w:sz w:val="24"/>
              </w:rPr>
              <w:t>新增 4 个手工衍生特征，将 AUC 提升约 +0.0038：</w:t>
            </w:r>
          </w:p>
          <w:p>
            <w:pPr>
              <w:spacing w:before="0" w:after="40" w:line="240" w:lineRule="auto"/>
              <w:ind w:firstLine="480"/>
              <w:jc w:val="left"/>
            </w:pPr>
            <w:r>
              <w:rPr>
                <w:rFonts w:eastAsia="宋体"/>
                <w:rFonts w:ascii="宋体" w:hAnsi="宋体"/>
                <w:b w:val="0"/>
                <w:sz w:val="24"/>
              </w:rPr>
              <w:t>pdays_contacted（二值指示符）：pdays=999 是数据集的特殊编码，表示"本次活动前从未联系过客户"，96.3% 的样本为此状态。将其提取为独立二值特征，同时将 pdays=999 替换为 0，消除该极大值对标准化的干扰。</w:t>
            </w:r>
          </w:p>
          <w:p>
            <w:pPr>
              <w:spacing w:before="0" w:after="0" w:line="240" w:lineRule="auto"/>
              <w:ind w:left="283"/>
            </w:pPr>
            <w:r>
              <w:rPr>
                <w:rFonts w:eastAsia="宋体"/>
                <w:rFonts w:ascii="Courier New" w:hAnsi="Courier New"/>
                <w:b w:val="0"/>
                <w:color w:val="1A5376"/>
                <w:sz w:val="18"/>
              </w:rPr>
              <w:t>df['pdays_contacted'] = (df['pdays'] != 999).astype(int)</w:t>
            </w:r>
          </w:p>
          <w:p>
            <w:pPr>
              <w:spacing w:before="0" w:after="0" w:line="240" w:lineRule="auto"/>
              <w:ind w:left="283"/>
            </w:pPr>
            <w:r>
              <w:rPr>
                <w:rFonts w:eastAsia="宋体"/>
                <w:rFonts w:ascii="Courier New" w:hAnsi="Courier New"/>
                <w:b w:val="0"/>
                <w:color w:val="1A5376"/>
                <w:sz w:val="18"/>
              </w:rPr>
              <w:t>df['pdays'] = df['pdays'].replace(999, 0)</w:t>
            </w:r>
          </w:p>
          <w:p>
            <w:pPr>
              <w:spacing w:before="0" w:after="40" w:line="240" w:lineRule="auto"/>
              <w:ind w:firstLine="480"/>
              <w:jc w:val="left"/>
            </w:pPr>
            <w:r>
              <w:rPr>
                <w:rFonts w:eastAsia="宋体"/>
                <w:rFonts w:ascii="宋体" w:hAnsi="宋体"/>
                <w:b w:val="0"/>
                <w:sz w:val="24"/>
              </w:rPr>
              <w:t>duration_log（对数变换）：duration 是最强单特征预测因子（单独 AUC=0.818），但呈强正偏态。log(1+x) 将分布压缩为近似正态，使 LR 能更稳定地拟合该非线性效应。</w:t>
            </w:r>
          </w:p>
          <w:p>
            <w:pPr>
              <w:spacing w:before="0" w:after="0" w:line="240" w:lineRule="auto"/>
              <w:ind w:left="283"/>
            </w:pPr>
            <w:r>
              <w:rPr>
                <w:rFonts w:eastAsia="宋体"/>
                <w:rFonts w:ascii="Courier New" w:hAnsi="Courier New"/>
                <w:b w:val="0"/>
                <w:color w:val="1A5376"/>
                <w:sz w:val="18"/>
              </w:rPr>
              <w:t>df['duration_log'] = np.log1p(df['duration'])</w:t>
            </w:r>
          </w:p>
          <w:p>
            <w:pPr>
              <w:spacing w:before="0" w:after="40" w:line="240" w:lineRule="auto"/>
              <w:ind w:firstLine="480"/>
              <w:jc w:val="left"/>
            </w:pPr>
            <w:r>
              <w:rPr>
                <w:rFonts w:eastAsia="宋体"/>
                <w:rFonts w:ascii="宋体" w:hAnsi="宋体"/>
                <w:b w:val="0"/>
                <w:sz w:val="24"/>
              </w:rPr>
              <w:t>econ_pressure（经济压力指标）：emp.var.rate × euribor3m 的乘积捕获就业变动率与利率的联合效应——利率高且就业不稳定时，人们更倾向于储蓄定期存款。</w:t>
            </w:r>
          </w:p>
          <w:p>
            <w:pPr>
              <w:spacing w:before="0" w:after="40" w:line="240" w:lineRule="auto"/>
              <w:ind w:firstLine="480"/>
              <w:jc w:val="left"/>
            </w:pPr>
            <w:r>
              <w:rPr>
                <w:rFonts w:eastAsia="宋体"/>
                <w:rFonts w:ascii="宋体" w:hAnsi="宋体"/>
                <w:b w:val="0"/>
                <w:sz w:val="24"/>
              </w:rPr>
              <w:t>prev_success（历史成功标志）：poutcome=='success' 的二值化，是最强的正类预测信号之一（历史上曾成功说服客户订阅的客户再次成功率显著更高）。</w:t>
            </w:r>
          </w:p>
          <w:p>
            <w:pPr>
              <w:spacing w:before="0" w:after="40" w:line="240" w:lineRule="auto"/>
              <w:jc w:val="left"/>
            </w:pPr>
            <w:r>
              <w:rPr>
                <w:rFonts w:eastAsia="宋体"/>
                <w:rFonts w:ascii="宋体" w:hAnsi="宋体"/>
                <w:b/>
                <w:sz w:val="24"/>
              </w:rPr>
              <w:t>【第三轮】多项式特征 + 替换 StandardScaler → QuantileTransformer（AUC ≈ 0.9509）</w:t>
            </w:r>
          </w:p>
          <w:p>
            <w:pPr>
              <w:spacing w:before="0" w:after="40" w:line="240" w:lineRule="auto"/>
              <w:ind w:firstLine="480"/>
              <w:jc w:val="left"/>
            </w:pPr>
            <w:r>
              <w:rPr>
                <w:rFonts w:eastAsia="宋体"/>
                <w:rFonts w:ascii="宋体" w:hAnsi="宋体"/>
                <w:b w:val="0"/>
                <w:sz w:val="24"/>
              </w:rPr>
              <w:t>两个关键改进同步推进：</w:t>
            </w:r>
          </w:p>
          <w:p>
            <w:pPr>
              <w:spacing w:before="0" w:after="40" w:line="240" w:lineRule="auto"/>
              <w:ind w:firstLine="480"/>
              <w:jc w:val="left"/>
            </w:pPr>
            <w:r>
              <w:rPr>
                <w:rFonts w:eastAsia="宋体"/>
                <w:rFonts w:ascii="宋体" w:hAnsi="宋体"/>
                <w:b w:val="0"/>
                <w:sz w:val="24"/>
              </w:rPr>
              <w:t>① 归一化升级：以 QuantileTransformer(output_distribution='normal') 替换 StandardScaler。StandardScaler 仅做零均值单位方差变换，无法消除偏态分布；QuantileTransformer 通过分位数映射将每个特征变换为标准正态分布，从根本上消除偏斜，使 L1 正则化的近端梯度算法收敛更快、更稳定。实验验证该替换可带来约 +0.003 AUC 提升。</w:t>
            </w:r>
          </w:p>
          <w:p>
            <w:pPr>
              <w:spacing w:before="0" w:after="40" w:line="240" w:lineRule="auto"/>
              <w:ind w:firstLine="480"/>
              <w:jc w:val="left"/>
            </w:pPr>
            <w:r>
              <w:rPr>
                <w:rFonts w:eastAsia="宋体"/>
                <w:rFonts w:ascii="宋体" w:hAnsi="宋体"/>
                <w:b w:val="0"/>
                <w:sz w:val="24"/>
              </w:rPr>
              <w:t>② 首次引入多项式特征（5 个核心特征，78 维）：对 duration_log、emp.var.rate、euribor3m、cons.conf.idx、nr.employed 做 degree=2 全量展开（含平方项），生成 15 个新特征（5 原始 + C(5,2) 交叉 + 5 平方），总维度从 60 升至 75。交叉项捕获"通话时长在经济下行期（高 euribor3m）的效果更佳"等交互效应；平方项捕获单特征的曲率效应（如利率对储蓄意愿的非线性影响）。</w:t>
            </w:r>
          </w:p>
          <w:p>
            <w:pPr>
              <w:spacing w:before="0" w:after="0" w:line="240" w:lineRule="auto"/>
              <w:ind w:left="283"/>
            </w:pPr>
            <w:r>
              <w:rPr>
                <w:rFonts w:eastAsia="宋体"/>
                <w:rFonts w:ascii="Courier New" w:hAnsi="Courier New"/>
                <w:b w:val="0"/>
                <w:color w:val="1A5376"/>
                <w:sz w:val="18"/>
              </w:rPr>
              <w:t>poly = PolynomialFeatures(degree=2, interaction_only=False, include_bias=False)</w:t>
            </w:r>
          </w:p>
          <w:p>
            <w:pPr>
              <w:spacing w:before="0" w:after="0" w:line="240" w:lineRule="auto"/>
              <w:ind w:left="283"/>
            </w:pPr>
            <w:r>
              <w:rPr>
                <w:rFonts w:eastAsia="宋体"/>
                <w:rFonts w:ascii="Courier New" w:hAnsi="Courier New"/>
                <w:b w:val="0"/>
                <w:color w:val="1A5376"/>
                <w:sz w:val="18"/>
              </w:rPr>
              <w:t>X_train_poly = poly.fit_transform(X_train_sc[:, poly_idx])</w:t>
            </w:r>
          </w:p>
          <w:p>
            <w:pPr>
              <w:spacing w:before="0" w:after="0" w:line="240" w:lineRule="auto"/>
              <w:ind w:left="283"/>
            </w:pPr>
            <w:r>
              <w:rPr>
                <w:rFonts w:eastAsia="宋体"/>
                <w:rFonts w:ascii="Courier New" w:hAnsi="Courier New"/>
                <w:b w:val="0"/>
                <w:color w:val="1A5376"/>
                <w:sz w:val="18"/>
              </w:rPr>
              <w:t>X_train_final = np.hstack([X_train_sc, X_train_poly])</w:t>
            </w:r>
          </w:p>
          <w:p>
            <w:pPr>
              <w:spacing w:before="0" w:after="40" w:line="240" w:lineRule="auto"/>
              <w:jc w:val="left"/>
            </w:pPr>
            <w:r>
              <w:rPr>
                <w:rFonts w:eastAsia="宋体"/>
                <w:rFonts w:ascii="宋体" w:hAnsi="宋体"/>
                <w:b/>
                <w:sz w:val="24"/>
              </w:rPr>
              <w:t>【第四轮】扩展多项式至 29 列（AUC ≈ 0.9520，最终方案）</w:t>
            </w:r>
          </w:p>
          <w:p>
            <w:pPr>
              <w:spacing w:before="0" w:after="40" w:line="240" w:lineRule="auto"/>
              <w:ind w:firstLine="480"/>
              <w:jc w:val="left"/>
            </w:pPr>
            <w:r>
              <w:rPr>
                <w:rFonts w:eastAsia="宋体"/>
                <w:rFonts w:ascii="宋体" w:hAnsi="宋体"/>
                <w:b w:val="0"/>
                <w:sz w:val="24"/>
              </w:rPr>
              <w:t>将多项式展开的特征集从 5 个扩展至 29 列，在原有 13 个连续型特征基础上，新增 16 列关键 One-Hot 二值特征（poutcome_success、contact_cellular、month_may/nov/oct/mar/sep 等）一并纳入多项式展开。</w:t>
            </w:r>
          </w:p>
          <w:p>
            <w:pPr>
              <w:spacing w:before="0" w:after="40" w:line="240" w:lineRule="auto"/>
              <w:ind w:firstLine="480"/>
              <w:jc w:val="left"/>
            </w:pPr>
            <w:r>
              <w:rPr>
                <w:rFonts w:eastAsia="宋体"/>
                <w:rFonts w:ascii="宋体" w:hAnsi="宋体"/>
                <w:b w:val="0"/>
                <w:sz w:val="24"/>
              </w:rPr>
              <w:t>设计依据：① poutcome_success × duration_log 是极强信号（既是老客户又通话时间长，转化率极高）；② contact_cellular × duration 捕获接触渠道与通话质量的交互；③ 月份 dummy 与经济指标的交互捕获季节性经济周期效应（3月/9月/10月是历史高订阅月）。29 个特征的 degree=2 展开生成 435 个新特征项，总维度从 60 升至 495。配合 L1 正则化，模型自动从 495 维中稀疏选出有价值子集。</w:t>
            </w:r>
          </w:p>
          <w:p>
            <w:pPr>
              <w:spacing w:before="0" w:after="0" w:line="240" w:lineRule="auto"/>
              <w:ind w:left="283"/>
            </w:pPr>
            <w:r>
              <w:rPr>
                <w:rFonts w:eastAsia="宋体"/>
                <w:rFonts w:ascii="Courier New" w:hAnsi="Courier New"/>
                <w:b w:val="0"/>
                <w:color w:val="1A5376"/>
                <w:sz w:val="18"/>
              </w:rPr>
              <w:t>POLY_FEATURES = [</w:t>
            </w:r>
          </w:p>
          <w:p>
            <w:pPr>
              <w:spacing w:before="0" w:after="0" w:line="240" w:lineRule="auto"/>
              <w:ind w:left="283"/>
            </w:pPr>
            <w:r>
              <w:rPr>
                <w:rFonts w:eastAsia="宋体"/>
                <w:rFonts w:ascii="Courier New" w:hAnsi="Courier New"/>
                <w:b w:val="0"/>
                <w:color w:val="1A5376"/>
                <w:sz w:val="18"/>
              </w:rPr>
              <w:t xml:space="preserve">    'duration', 'duration_log', 'euribor3m', 'nr.employed', 'emp.var.rate',</w:t>
            </w:r>
          </w:p>
          <w:p>
            <w:pPr>
              <w:spacing w:before="0" w:after="0" w:line="240" w:lineRule="auto"/>
              <w:ind w:left="283"/>
            </w:pPr>
            <w:r>
              <w:rPr>
                <w:rFonts w:eastAsia="宋体"/>
                <w:rFonts w:ascii="Courier New" w:hAnsi="Courier New"/>
                <w:b w:val="0"/>
                <w:color w:val="1A5376"/>
                <w:sz w:val="18"/>
              </w:rPr>
              <w:t xml:space="preserve">    'cons.price.idx', 'cons.conf.idx', 'pdays_contacted', 'econ_pressure',</w:t>
            </w:r>
          </w:p>
          <w:p>
            <w:pPr>
              <w:spacing w:before="0" w:after="0" w:line="240" w:lineRule="auto"/>
              <w:ind w:left="283"/>
            </w:pPr>
            <w:r>
              <w:rPr>
                <w:rFonts w:eastAsia="宋体"/>
                <w:rFonts w:ascii="Courier New" w:hAnsi="Courier New"/>
                <w:b w:val="0"/>
                <w:color w:val="1A5376"/>
                <w:sz w:val="18"/>
              </w:rPr>
              <w:t xml:space="preserve">    'prev_success', 'previous', 'pdays', 'education',</w:t>
            </w:r>
          </w:p>
          <w:p>
            <w:pPr>
              <w:spacing w:before="0" w:after="0" w:line="240" w:lineRule="auto"/>
              <w:ind w:left="283"/>
            </w:pPr>
            <w:r>
              <w:rPr>
                <w:rFonts w:eastAsia="宋体"/>
                <w:rFonts w:ascii="Courier New" w:hAnsi="Courier New"/>
                <w:b w:val="0"/>
                <w:color w:val="1A5376"/>
                <w:sz w:val="18"/>
              </w:rPr>
              <w:t xml:space="preserve">    'poutcome_success', 'poutcome_nonexistent', 'contact_cellular',</w:t>
            </w:r>
          </w:p>
          <w:p>
            <w:pPr>
              <w:spacing w:before="0" w:after="0" w:line="240" w:lineRule="auto"/>
              <w:ind w:left="283"/>
            </w:pPr>
            <w:r>
              <w:rPr>
                <w:rFonts w:eastAsia="宋体"/>
                <w:rFonts w:ascii="Courier New" w:hAnsi="Courier New"/>
                <w:b w:val="0"/>
                <w:color w:val="1A5376"/>
                <w:sz w:val="18"/>
              </w:rPr>
              <w:t xml:space="preserve">    'month_may', 'month_nov', 'month_oct', 'month_mar', 'month_sep',</w:t>
            </w:r>
          </w:p>
          <w:p>
            <w:pPr>
              <w:spacing w:before="0" w:after="0" w:line="240" w:lineRule="auto"/>
              <w:ind w:left="283"/>
            </w:pPr>
            <w:r>
              <w:rPr>
                <w:rFonts w:eastAsia="宋体"/>
                <w:rFonts w:ascii="Courier New" w:hAnsi="Courier New"/>
                <w:b w:val="0"/>
                <w:color w:val="1A5376"/>
                <w:sz w:val="18"/>
              </w:rPr>
              <w:t xml:space="preserve">    'month_apr', 'month_jun', 'month_jul', 'month_aug', 'month_dec',</w:t>
            </w:r>
          </w:p>
          <w:p>
            <w:pPr>
              <w:spacing w:before="0" w:after="0" w:line="240" w:lineRule="auto"/>
              <w:ind w:left="283"/>
            </w:pPr>
            <w:r>
              <w:rPr>
                <w:rFonts w:eastAsia="宋体"/>
                <w:rFonts w:ascii="Courier New" w:hAnsi="Courier New"/>
                <w:b w:val="0"/>
                <w:color w:val="1A5376"/>
                <w:sz w:val="18"/>
              </w:rPr>
              <w:t xml:space="preserve">    'job_student', 'job_retired', 'marital_single',</w:t>
            </w:r>
          </w:p>
          <w:p>
            <w:pPr>
              <w:spacing w:before="0" w:after="0" w:line="240" w:lineRule="auto"/>
              <w:ind w:left="283"/>
            </w:pPr>
            <w:r>
              <w:rPr>
                <w:rFonts w:eastAsia="宋体"/>
                <w:rFonts w:ascii="Courier New" w:hAnsi="Courier New"/>
                <w:b w:val="0"/>
                <w:color w:val="1A5376"/>
                <w:sz w:val="18"/>
              </w:rPr>
              <w:t>]  # 共 29 列 → degree=2 展开后 495 维总特征</w:t>
            </w:r>
          </w:p>
          <w:p>
            <w:pPr>
              <w:spacing w:before="100" w:after="20" w:line="240" w:lineRule="auto"/>
            </w:pPr>
            <w:r>
              <w:rPr>
                <w:rFonts w:eastAsia="宋体"/>
                <w:rFonts w:ascii="宋体" w:hAnsi="宋体"/>
                <w:b/>
                <w:sz w:val="24"/>
              </w:rPr>
              <w:t>3.3 类别不平衡处理策略（三种）</w:t>
            </w:r>
          </w:p>
          <w:p>
            <w:pPr>
              <w:spacing w:before="0" w:after="40" w:line="240" w:lineRule="auto"/>
              <w:ind w:firstLine="480"/>
              <w:jc w:val="left"/>
            </w:pPr>
            <w:r>
              <w:rPr>
                <w:rFonts w:eastAsia="宋体"/>
                <w:rFonts w:ascii="宋体" w:hAnsi="宋体"/>
                <w:b w:val="0"/>
                <w:sz w:val="24"/>
              </w:rPr>
              <w:t>重要原则：所有重采样操作均仅作用于训练集，测试集保持原始分布（11.27% 正样本），确保评估的现实意义和公平性。</w:t>
            </w:r>
          </w:p>
          <w:p>
            <w:pPr>
              <w:spacing w:before="0" w:after="40" w:line="240" w:lineRule="auto"/>
              <w:jc w:val="left"/>
            </w:pPr>
            <w:r>
              <w:rPr>
                <w:rFonts w:eastAsia="宋体"/>
                <w:rFonts w:ascii="宋体" w:hAnsi="宋体"/>
                <w:b/>
                <w:sz w:val="24"/>
              </w:rPr>
              <w:t>策略 A — SMOTE 过采样（Synthetic Minority Over-sampling Technique）</w:t>
            </w:r>
          </w:p>
          <w:p>
            <w:pPr>
              <w:spacing w:before="0" w:after="40" w:line="240" w:lineRule="auto"/>
              <w:ind w:firstLine="480"/>
              <w:jc w:val="left"/>
            </w:pPr>
            <w:r>
              <w:rPr>
                <w:rFonts w:eastAsia="宋体"/>
                <w:rFonts w:ascii="宋体" w:hAnsi="宋体"/>
                <w:b w:val="0"/>
                <w:sz w:val="24"/>
              </w:rPr>
              <w:t>原理：对少数类每个样本，在其 k=5 个近邻间随机线性插值合成新样本，而非简单复制；新样本位于特征空间中已有少数类样本的"邻域"内，引入多样性同时保留统计分布。参数 sampling_strategy=0.4 将正样本补充至多数类的 40%（约 40,933 条，正样本占比 28.6%）。选择 0.4 而非 1:1 完全平衡，是因为过度合成会引入大量人工噪声样本，实验验证 0.4 时 AUC 最优。</w:t>
            </w:r>
          </w:p>
          <w:p>
            <w:pPr>
              <w:spacing w:before="0" w:after="0" w:line="240" w:lineRule="auto"/>
              <w:ind w:left="283"/>
            </w:pPr>
            <w:r>
              <w:rPr>
                <w:rFonts w:eastAsia="宋体"/>
                <w:rFonts w:ascii="Courier New" w:hAnsi="Courier New"/>
                <w:b w:val="0"/>
                <w:color w:val="1A5376"/>
                <w:sz w:val="18"/>
              </w:rPr>
              <w:t>smote = SMOTE(sampling_strategy=0.4, random_state=42, k_neighbors=5)</w:t>
            </w:r>
          </w:p>
          <w:p>
            <w:pPr>
              <w:spacing w:before="0" w:after="0" w:line="240" w:lineRule="auto"/>
              <w:ind w:left="283"/>
            </w:pPr>
            <w:r>
              <w:rPr>
                <w:rFonts w:eastAsia="宋体"/>
                <w:rFonts w:ascii="Courier New" w:hAnsi="Courier New"/>
                <w:b w:val="0"/>
                <w:color w:val="1A5376"/>
                <w:sz w:val="18"/>
              </w:rPr>
              <w:t>X_tr_smote, y_tr_smote = smote.fit_resample(X_train_final, y_train)</w:t>
            </w:r>
          </w:p>
          <w:p>
            <w:pPr>
              <w:spacing w:before="0" w:after="0" w:line="240" w:lineRule="auto"/>
              <w:ind w:left="283"/>
            </w:pPr>
            <w:r>
              <w:rPr>
                <w:rFonts w:eastAsia="宋体"/>
                <w:rFonts w:ascii="Courier New" w:hAnsi="Courier New"/>
                <w:b w:val="0"/>
                <w:color w:val="1A5376"/>
                <w:sz w:val="18"/>
              </w:rPr>
              <w:t># 输出：(40933, 495)，正样本占比 28.6%</w:t>
            </w:r>
          </w:p>
          <w:p>
            <w:pPr>
              <w:spacing w:before="0" w:after="40" w:line="240" w:lineRule="auto"/>
              <w:jc w:val="left"/>
            </w:pPr>
            <w:r>
              <w:rPr>
                <w:rFonts w:eastAsia="宋体"/>
                <w:rFonts w:ascii="宋体" w:hAnsi="宋体"/>
                <w:b/>
                <w:sz w:val="24"/>
              </w:rPr>
              <w:t>策略 B — RandomUnderSampler 随机欠采样</w:t>
            </w:r>
          </w:p>
          <w:p>
            <w:pPr>
              <w:spacing w:before="0" w:after="40" w:line="240" w:lineRule="auto"/>
              <w:ind w:firstLine="480"/>
              <w:jc w:val="left"/>
            </w:pPr>
            <w:r>
              <w:rPr>
                <w:rFonts w:eastAsia="宋体"/>
                <w:rFonts w:ascii="宋体" w:hAnsi="宋体"/>
                <w:b w:val="0"/>
                <w:sz w:val="24"/>
              </w:rPr>
              <w:t>原理：随机删除多数类样本，使正负样本 1:1 对齐（约 7,424 条），优点是训练集极小速度快；缺点是丢弃 77.5% 的原始训练数据，约 25,526 条真实负样本信息永久损失。适合训练数据量不是瓶颈、更关注召回率的场景。</w:t>
            </w:r>
          </w:p>
          <w:p>
            <w:pPr>
              <w:spacing w:before="0" w:after="0" w:line="240" w:lineRule="auto"/>
              <w:ind w:left="283"/>
            </w:pPr>
            <w:r>
              <w:rPr>
                <w:rFonts w:eastAsia="宋体"/>
                <w:rFonts w:ascii="Courier New" w:hAnsi="Courier New"/>
                <w:b w:val="0"/>
                <w:color w:val="1A5376"/>
                <w:sz w:val="18"/>
              </w:rPr>
              <w:t>rus = RandomUnderSampler(random_state=42)</w:t>
            </w:r>
          </w:p>
          <w:p>
            <w:pPr>
              <w:spacing w:before="0" w:after="0" w:line="240" w:lineRule="auto"/>
              <w:ind w:left="283"/>
            </w:pPr>
            <w:r>
              <w:rPr>
                <w:rFonts w:eastAsia="宋体"/>
                <w:rFonts w:ascii="Courier New" w:hAnsi="Courier New"/>
                <w:b w:val="0"/>
                <w:color w:val="1A5376"/>
                <w:sz w:val="18"/>
              </w:rPr>
              <w:t>X_tr_rus, y_tr_rus = rus.fit_resample(X_train_final, y_train)</w:t>
            </w:r>
          </w:p>
          <w:p>
            <w:pPr>
              <w:spacing w:before="0" w:after="0" w:line="240" w:lineRule="auto"/>
              <w:ind w:left="283"/>
            </w:pPr>
            <w:r>
              <w:rPr>
                <w:rFonts w:eastAsia="宋体"/>
                <w:rFonts w:ascii="Courier New" w:hAnsi="Courier New"/>
                <w:b w:val="0"/>
                <w:color w:val="1A5376"/>
                <w:sz w:val="18"/>
              </w:rPr>
              <w:t># 输出：(7424, 495)，正样本占比 50.0%</w:t>
            </w:r>
          </w:p>
          <w:p>
            <w:pPr>
              <w:spacing w:before="0" w:after="40" w:line="240" w:lineRule="auto"/>
              <w:jc w:val="left"/>
            </w:pPr>
            <w:r>
              <w:rPr>
                <w:rFonts w:eastAsia="宋体"/>
                <w:rFonts w:ascii="宋体" w:hAnsi="宋体"/>
                <w:b/>
                <w:sz w:val="24"/>
              </w:rPr>
              <w:t>策略 C — class_weight='balanced'（损失函数权重调节）</w:t>
            </w:r>
          </w:p>
          <w:p>
            <w:pPr>
              <w:spacing w:before="0" w:after="40" w:line="240" w:lineRule="auto"/>
              <w:ind w:firstLine="480"/>
              <w:jc w:val="left"/>
            </w:pPr>
            <w:r>
              <w:rPr>
                <w:rFonts w:eastAsia="宋体"/>
                <w:rFonts w:ascii="宋体" w:hAnsi="宋体"/>
                <w:b w:val="0"/>
                <w:sz w:val="24"/>
              </w:rPr>
              <w:t>原理：不修改任何样本，通过在交叉熵损失中对每个样本的误分代价加权来补偿不平衡。sklearn 的 balanced 模式自动计算：weight_c = n_samples / (n_classes × count_c)。正样本权重 ≈ 41188/(2×4640) ≈ 4.44，负样本权重 ≈ 41188/(2×36548) ≈ 0.563，即错误预测一个正样本的代价约为负样本的 7.9 倍。全部 32,950 条原始训练数据完整保留，是信息损失最小的策略。</w:t>
            </w:r>
          </w:p>
          <w:p>
            <w:pPr>
              <w:spacing w:before="0" w:after="0" w:line="240" w:lineRule="auto"/>
              <w:ind w:left="283"/>
            </w:pPr>
            <w:r>
              <w:rPr>
                <w:rFonts w:eastAsia="宋体"/>
                <w:rFonts w:ascii="Courier New" w:hAnsi="Courier New"/>
                <w:b w:val="0"/>
                <w:color w:val="1A5376"/>
                <w:sz w:val="18"/>
              </w:rPr>
              <w:t>model = LogisticRegression(class_weight='balanced',</w:t>
            </w:r>
          </w:p>
          <w:p>
            <w:pPr>
              <w:spacing w:before="0" w:after="0" w:line="240" w:lineRule="auto"/>
              <w:ind w:left="283"/>
            </w:pPr>
            <w:r>
              <w:rPr>
                <w:rFonts w:eastAsia="宋体"/>
                <w:rFonts w:ascii="Courier New" w:hAnsi="Courier New"/>
                <w:b w:val="0"/>
                <w:color w:val="1A5376"/>
                <w:sz w:val="18"/>
              </w:rPr>
              <w:t xml:space="preserve">                           C=0.005, penalty='l1', solver='liblinear',</w:t>
            </w:r>
          </w:p>
          <w:p>
            <w:pPr>
              <w:spacing w:before="0" w:after="0" w:line="240" w:lineRule="auto"/>
              <w:ind w:left="283"/>
            </w:pPr>
            <w:r>
              <w:rPr>
                <w:rFonts w:eastAsia="宋体"/>
                <w:rFonts w:ascii="Courier New" w:hAnsi="Courier New"/>
                <w:b w:val="0"/>
                <w:color w:val="1A5376"/>
                <w:sz w:val="18"/>
              </w:rPr>
              <w:t xml:space="preserve">                           max_iter=3000, random_state=42)</w:t>
            </w:r>
          </w:p>
          <w:p>
            <w:pPr>
              <w:spacing w:before="100" w:after="20" w:line="240" w:lineRule="auto"/>
            </w:pPr>
            <w:r>
              <w:rPr>
                <w:rFonts w:eastAsia="宋体"/>
                <w:rFonts w:ascii="宋体" w:hAnsi="宋体"/>
                <w:b/>
                <w:sz w:val="24"/>
              </w:rPr>
              <w:t>3.4 超参数调优（GridSearchCV + 3-Fold Stratified CV）</w:t>
            </w:r>
          </w:p>
          <w:p>
            <w:pPr>
              <w:spacing w:before="0" w:after="40" w:line="240" w:lineRule="auto"/>
              <w:ind w:firstLine="480"/>
              <w:jc w:val="left"/>
            </w:pPr>
            <w:r>
              <w:rPr>
                <w:rFonts w:eastAsia="宋体"/>
                <w:rFonts w:ascii="宋体" w:hAnsi="宋体"/>
                <w:b w:val="0"/>
                <w:sz w:val="24"/>
              </w:rPr>
              <w:t>参数网格设计（共 8 种参数组合 × 3 折 = 24 次拟合/策略）：</w:t>
            </w:r>
          </w:p>
          <w:p>
            <w:pPr>
              <w:spacing w:before="0" w:after="0" w:line="240" w:lineRule="auto"/>
              <w:ind w:left="283"/>
            </w:pPr>
            <w:r>
              <w:rPr>
                <w:rFonts w:eastAsia="宋体"/>
                <w:rFonts w:ascii="Courier New" w:hAnsi="Courier New"/>
                <w:b w:val="0"/>
                <w:color w:val="1A5376"/>
                <w:sz w:val="18"/>
              </w:rPr>
              <w:t>PARAM_GRID = [</w:t>
            </w:r>
          </w:p>
          <w:p>
            <w:pPr>
              <w:spacing w:before="0" w:after="0" w:line="240" w:lineRule="auto"/>
              <w:ind w:left="283"/>
            </w:pPr>
            <w:r>
              <w:rPr>
                <w:rFonts w:eastAsia="宋体"/>
                <w:rFonts w:ascii="Courier New" w:hAnsi="Courier New"/>
                <w:b w:val="0"/>
                <w:color w:val="1A5376"/>
                <w:sz w:val="18"/>
              </w:rPr>
              <w:t xml:space="preserve">    {'penalty':['l1'], 'C':[0.005,0.01,0.02,0.05],</w:t>
            </w:r>
          </w:p>
          <w:p>
            <w:pPr>
              <w:spacing w:before="0" w:after="0" w:line="240" w:lineRule="auto"/>
              <w:ind w:left="283"/>
            </w:pPr>
            <w:r>
              <w:rPr>
                <w:rFonts w:eastAsia="宋体"/>
                <w:rFonts w:ascii="Courier New" w:hAnsi="Courier New"/>
                <w:b w:val="0"/>
                <w:color w:val="1A5376"/>
                <w:sz w:val="18"/>
              </w:rPr>
              <w:t xml:space="preserve">     'solver':['liblinear'], 'max_iter':[3000]},</w:t>
            </w:r>
          </w:p>
          <w:p>
            <w:pPr>
              <w:spacing w:before="0" w:after="0" w:line="240" w:lineRule="auto"/>
              <w:ind w:left="283"/>
            </w:pPr>
            <w:r>
              <w:rPr>
                <w:rFonts w:eastAsia="宋体"/>
                <w:rFonts w:ascii="Courier New" w:hAnsi="Courier New"/>
                <w:b w:val="0"/>
                <w:color w:val="1A5376"/>
                <w:sz w:val="18"/>
              </w:rPr>
              <w:t xml:space="preserve">    {'penalty':['l2'], 'C':[0.005,0.01,0.02,0.05],</w:t>
            </w:r>
          </w:p>
          <w:p>
            <w:pPr>
              <w:spacing w:before="0" w:after="0" w:line="240" w:lineRule="auto"/>
              <w:ind w:left="283"/>
            </w:pPr>
            <w:r>
              <w:rPr>
                <w:rFonts w:eastAsia="宋体"/>
                <w:rFonts w:ascii="Courier New" w:hAnsi="Courier New"/>
                <w:b w:val="0"/>
                <w:color w:val="1A5376"/>
                <w:sz w:val="18"/>
              </w:rPr>
              <w:t xml:space="preserve">     'solver':['lbfgs'], 'max_iter':[3000]},</w:t>
            </w:r>
          </w:p>
          <w:p>
            <w:pPr>
              <w:spacing w:before="0" w:after="0" w:line="240" w:lineRule="auto"/>
              <w:ind w:left="283"/>
            </w:pPr>
            <w:r>
              <w:rPr>
                <w:rFonts w:eastAsia="宋体"/>
                <w:rFonts w:ascii="Courier New" w:hAnsi="Courier New"/>
                <w:b w:val="0"/>
                <w:color w:val="1A5376"/>
                <w:sz w:val="18"/>
              </w:rPr>
              <w:t>]</w:t>
            </w:r>
          </w:p>
          <w:p>
            <w:pPr>
              <w:spacing w:before="0" w:after="40" w:line="240" w:lineRule="auto"/>
              <w:ind w:firstLine="480"/>
              <w:jc w:val="left"/>
            </w:pPr>
            <w:r>
              <w:rPr>
                <w:rFonts w:eastAsia="宋体"/>
                <w:rFonts w:ascii="宋体" w:hAnsi="宋体"/>
                <w:b w:val="0"/>
                <w:sz w:val="24"/>
              </w:rPr>
              <w:t>核心参数深度解析：</w:t>
            </w:r>
          </w:p>
          <w:p>
            <w:pPr>
              <w:spacing w:before="0" w:after="40" w:line="240" w:lineRule="auto"/>
              <w:ind w:firstLine="480"/>
              <w:jc w:val="left"/>
            </w:pPr>
            <w:r>
              <w:rPr>
                <w:rFonts w:eastAsia="宋体"/>
                <w:rFonts w:ascii="宋体" w:hAnsi="宋体"/>
                <w:b w:val="0"/>
                <w:sz w:val="24"/>
              </w:rPr>
              <w:t>C（正则化强度倒数）：LR 的目标函数为 min (1/C)·||w||_p + Σlog(1+exp(-y_i·wᵀx_i))。C 越小，正则化惩罚越大，权重越趋近零，模型越简单。在 495 维高维特征空间中，过大的 C 会导致严重过拟合，实验验证最优 C 集中在 0.005~0.05 的强正则化区间。</w:t>
            </w:r>
          </w:p>
          <w:p>
            <w:pPr>
              <w:spacing w:before="0" w:after="40" w:line="240" w:lineRule="auto"/>
              <w:ind w:firstLine="480"/>
              <w:jc w:val="left"/>
            </w:pPr>
            <w:r>
              <w:rPr>
                <w:rFonts w:eastAsia="宋体"/>
                <w:rFonts w:ascii="宋体" w:hAnsi="宋体"/>
                <w:b w:val="0"/>
                <w:sz w:val="24"/>
              </w:rPr>
              <w:t>penalty（正则化类型）：L1 惩罚 Σ|w_i|，产生稀疏解，将无关特征权重精确压缩为 0，等效于自动特征选择，在 495 维高维场景中避免噪声特征干扰；L2 惩罚 Σw_i²，均匀压缩所有权重，不产生稀疏解，适合特征高度相关（宏观经济指标间高度共线）的场景。</w:t>
            </w:r>
          </w:p>
          <w:p>
            <w:pPr>
              <w:spacing w:before="0" w:after="40" w:line="240" w:lineRule="auto"/>
              <w:ind w:firstLine="480"/>
              <w:jc w:val="left"/>
            </w:pPr>
            <w:r>
              <w:rPr>
                <w:rFonts w:eastAsia="宋体"/>
                <w:rFonts w:ascii="宋体" w:hAnsi="宋体"/>
                <w:b w:val="0"/>
                <w:sz w:val="24"/>
              </w:rPr>
              <w:t>选用 roc_auc 评分的必要性：若以 accuracy 作为 CV 评分，将全部样本预测为"未订阅"可获得 88.7% 的准确率，GridSearch 可能错误地选出偏向多数类的参数。roc_auc 是阈值无关的排序指标，度量模型对正负样本的整体区分能力，完全不受类别不平衡的影响。</w:t>
            </w:r>
          </w:p>
          <w:p>
            <w:pPr>
              <w:spacing w:before="0" w:after="0" w:line="240" w:lineRule="auto"/>
              <w:ind w:left="283"/>
            </w:pPr>
            <w:r>
              <w:rPr>
                <w:rFonts w:eastAsia="宋体"/>
                <w:rFonts w:ascii="Courier New" w:hAnsi="Courier New"/>
                <w:b w:val="0"/>
                <w:color w:val="1A5376"/>
                <w:sz w:val="18"/>
              </w:rPr>
              <w:t>cv = StratifiedKFold(n_splits=3, shuffle=True, random_state=42)</w:t>
            </w:r>
          </w:p>
          <w:p>
            <w:pPr>
              <w:spacing w:before="0" w:after="0" w:line="240" w:lineRule="auto"/>
              <w:ind w:left="283"/>
            </w:pPr>
            <w:r>
              <w:rPr>
                <w:rFonts w:eastAsia="宋体"/>
                <w:rFonts w:ascii="Courier New" w:hAnsi="Courier New"/>
                <w:b w:val="0"/>
                <w:color w:val="1A5376"/>
                <w:sz w:val="18"/>
              </w:rPr>
              <w:t>gs = GridSearchCV(LogisticRegression(random_state=42),</w:t>
            </w:r>
          </w:p>
          <w:p>
            <w:pPr>
              <w:spacing w:before="0" w:after="0" w:line="240" w:lineRule="auto"/>
              <w:ind w:left="283"/>
            </w:pPr>
            <w:r>
              <w:rPr>
                <w:rFonts w:eastAsia="宋体"/>
                <w:rFonts w:ascii="Courier New" w:hAnsi="Courier New"/>
                <w:b w:val="0"/>
                <w:color w:val="1A5376"/>
                <w:sz w:val="18"/>
              </w:rPr>
              <w:t xml:space="preserve">                  PARAM_GRID, cv=cv, scoring='roc_auc',</w:t>
            </w:r>
          </w:p>
          <w:p>
            <w:pPr>
              <w:spacing w:before="0" w:after="0" w:line="240" w:lineRule="auto"/>
              <w:ind w:left="283"/>
            </w:pPr>
            <w:r>
              <w:rPr>
                <w:rFonts w:eastAsia="宋体"/>
                <w:rFonts w:ascii="Courier New" w:hAnsi="Courier New"/>
                <w:b w:val="0"/>
                <w:color w:val="1A5376"/>
                <w:sz w:val="18"/>
              </w:rPr>
              <w:t xml:space="preserve">                  n_jobs=-1, refit=True)</w:t>
            </w:r>
          </w:p>
          <w:p>
            <w:pPr>
              <w:spacing w:before="0" w:after="0" w:line="240" w:lineRule="auto"/>
              <w:ind w:left="283"/>
            </w:pPr>
            <w:r>
              <w:rPr>
                <w:rFonts w:eastAsia="宋体"/>
                <w:rFonts w:ascii="Courier New" w:hAnsi="Courier New"/>
                <w:b w:val="0"/>
                <w:color w:val="1A5376"/>
                <w:sz w:val="18"/>
              </w:rPr>
              <w:t>gs.fit(X_tr, y_tr)  # refit=True: 搜索完毕后在最优参数下对全训练集重训练</w:t>
            </w:r>
          </w:p>
          <w:p>
            <w:pPr>
              <w:spacing w:before="0" w:after="0" w:line="240" w:lineRule="auto"/>
              <w:ind w:left="283"/>
            </w:pPr>
            <w:r>
              <w:rPr>
                <w:rFonts w:eastAsia="宋体"/>
                <w:rFonts w:ascii="Courier New" w:hAnsi="Courier New"/>
                <w:b w:val="0"/>
                <w:color w:val="1A5376"/>
                <w:sz w:val="18"/>
              </w:rPr>
              <w:t>best_model = gs.best_estimator_</w:t>
            </w:r>
          </w:p>
        </w:tc>
      </w:tr>
      <w:tr w14:paraId="5192FABD">
        <w:tblPrEx>
          <w:tblCellMar>
            <w:top w:w="0" w:type="dxa"/>
            <w:left w:w="108" w:type="dxa"/>
            <w:bottom w:w="0" w:type="dxa"/>
            <w:right w:w="108" w:type="dxa"/>
          </w:tblCellMar>
        </w:tblPrEx>
        <w:trPr>
          <w:trHeight w:val="6446" w:hRule="atLeast"/>
          <w:jc w:val="center"/>
        </w:trPr>
        <w:tc>
          <w:tcPr>
            <w:tcW w:w="8590" w:type="dxa"/>
            <w:gridSpan w:val="6"/>
            <w:tcBorders>
              <w:top w:val="single" w:color="000000" w:sz="4" w:space="0"/>
              <w:left w:val="single" w:color="000000" w:sz="4" w:space="0"/>
              <w:bottom w:val="single" w:color="000000" w:sz="4" w:space="0"/>
              <w:right w:val="single" w:color="000000" w:sz="4" w:space="0"/>
            </w:tcBorders>
            <w:tcMar>
              <w:top w:w="57" w:type="dxa"/>
              <w:left w:w="142" w:type="dxa"/>
              <w:bottom w:w="57" w:type="dxa"/>
              <w:right w:w="567" w:type="dxa"/>
            </w:tcMar>
          </w:tcPr>
          <w:p w14:paraId="29839E7B">
            <w:pPr>
              <w:tabs>
                <w:tab w:val="left" w:pos="1140"/>
              </w:tabs>
              <w:rPr>
                <w:rFonts w:eastAsia="SimSun"/>
                <w:lang w:eastAsia="zh-CN"/>
              </w:rPr>
            </w:pPr>
          </w:p>
          <w:tbl>
            <w:tblPr>
              <w:tblStyle w:val="11"/>
              <w:tblW w:w="0" w:type="auto"/>
              <w:tblInd w:w="0" w:type="dxa"/>
              <w:tblLayout w:type="fixed"/>
              <w:tblCellMar>
                <w:top w:w="0" w:type="dxa"/>
                <w:left w:w="10" w:type="dxa"/>
                <w:bottom w:w="0" w:type="dxa"/>
                <w:right w:w="10" w:type="dxa"/>
              </w:tblCellMar>
            </w:tblPr>
            <w:tblGrid>
              <w:gridCol w:w="1432"/>
              <w:gridCol w:w="1432"/>
              <w:gridCol w:w="1432"/>
              <w:gridCol w:w="1432"/>
              <w:gridCol w:w="1432"/>
              <w:gridCol w:w="1432"/>
            </w:tblGrid>
            <w:tr w14:paraId="4C5D26FA">
              <w:tblPrEx>
                <w:tblCellMar>
                  <w:top w:w="0" w:type="dxa"/>
                  <w:left w:w="10" w:type="dxa"/>
                  <w:bottom w:w="0" w:type="dxa"/>
                  <w:right w:w="10" w:type="dxa"/>
                </w:tblCellMar>
              </w:tblPrEx>
              <w:tc>
                <w:tcPr>
                  <w:tcW w:w="1432" w:type="dxa"/>
                  <w:tcBorders>
                    <w:top w:val="single" w:color="000000" w:sz="12" w:space="0"/>
                    <w:left w:val="nil"/>
                    <w:bottom w:val="single" w:color="000000" w:sz="4" w:space="0"/>
                    <w:right w:val="nil"/>
                    <w:tl2br w:val="nil"/>
                  </w:tcBorders>
                  <w:shd w:val="clear" w:color="auto" w:fill="FFFFFF"/>
                </w:tcPr>
                <w:p w14:paraId="00F33B1B">
                  <w:pPr>
                    <w:jc w:val="center"/>
                    <w:rPr>
                      <w:b w:val="0"/>
                      <w:color w:val="000000"/>
                    </w:rPr>
                  </w:pPr>
                  <w:r>
                    <w:rPr>
                      <w:rFonts w:ascii="SimSun" w:hAnsi="SimSun" w:eastAsia="SimSun"/>
                      <w:b w:val="0"/>
                      <w:color w:val="000000"/>
                      <w:sz w:val="20"/>
                    </w:rPr>
                    <w:t>迭代版本</w:t>
                  </w:r>
                </w:p>
              </w:tc>
              <w:tc>
                <w:tcPr>
                  <w:tcW w:w="1432" w:type="dxa"/>
                  <w:tcBorders>
                    <w:top w:val="single" w:color="000000" w:sz="12" w:space="0"/>
                    <w:left w:val="nil"/>
                    <w:bottom w:val="single" w:color="000000" w:sz="4" w:space="0"/>
                    <w:right w:val="nil"/>
                  </w:tcBorders>
                  <w:shd w:val="clear" w:color="auto" w:fill="FFFFFF"/>
                </w:tcPr>
                <w:p w14:paraId="56B0453C">
                  <w:pPr>
                    <w:jc w:val="center"/>
                    <w:rPr>
                      <w:b w:val="0"/>
                      <w:color w:val="000000"/>
                    </w:rPr>
                  </w:pPr>
                  <w:r>
                    <w:rPr>
                      <w:rFonts w:ascii="SimSun" w:hAnsi="SimSun" w:eastAsia="SimSun"/>
                      <w:b w:val="0"/>
                      <w:color w:val="000000"/>
                      <w:sz w:val="20"/>
                    </w:rPr>
                    <w:t>核心改进内容</w:t>
                  </w:r>
                </w:p>
              </w:tc>
              <w:tc>
                <w:tcPr>
                  <w:tcW w:w="1432" w:type="dxa"/>
                  <w:tcBorders>
                    <w:top w:val="single" w:color="000000" w:sz="12" w:space="0"/>
                    <w:left w:val="nil"/>
                    <w:bottom w:val="single" w:color="000000" w:sz="4" w:space="0"/>
                    <w:right w:val="nil"/>
                  </w:tcBorders>
                  <w:shd w:val="clear" w:color="auto" w:fill="FFFFFF"/>
                </w:tcPr>
                <w:p w14:paraId="3C5CAFEC">
                  <w:pPr>
                    <w:jc w:val="center"/>
                    <w:rPr>
                      <w:b w:val="0"/>
                      <w:color w:val="000000"/>
                    </w:rPr>
                  </w:pPr>
                  <w:r>
                    <w:rPr>
                      <w:rFonts w:ascii="SimSun" w:hAnsi="SimSun" w:eastAsia="SimSun"/>
                      <w:b w:val="0"/>
                      <w:color w:val="000000"/>
                      <w:sz w:val="20"/>
                    </w:rPr>
                    <w:t>特征维度</w:t>
                  </w:r>
                </w:p>
              </w:tc>
              <w:tc>
                <w:tcPr>
                  <w:tcW w:w="1432" w:type="dxa"/>
                  <w:tcBorders>
                    <w:top w:val="single" w:color="000000" w:sz="12" w:space="0"/>
                    <w:left w:val="nil"/>
                    <w:bottom w:val="single" w:color="000000" w:sz="4" w:space="0"/>
                    <w:right w:val="nil"/>
                  </w:tcBorders>
                  <w:shd w:val="clear" w:color="auto" w:fill="FFFFFF"/>
                </w:tcPr>
                <w:p w14:paraId="173430BE">
                  <w:pPr>
                    <w:jc w:val="center"/>
                    <w:rPr>
                      <w:b w:val="0"/>
                      <w:color w:val="000000"/>
                    </w:rPr>
                  </w:pPr>
                  <w:r>
                    <w:rPr>
                      <w:rFonts w:ascii="SimSun" w:hAnsi="SimSun" w:eastAsia="SimSun"/>
                      <w:b w:val="0"/>
                      <w:color w:val="000000"/>
                      <w:sz w:val="20"/>
                    </w:rPr>
                    <w:t>SMOTE-AUC</w:t>
                  </w:r>
                </w:p>
              </w:tc>
              <w:tc>
                <w:tcPr>
                  <w:tcW w:w="1432" w:type="dxa"/>
                  <w:tcBorders>
                    <w:top w:val="single" w:color="000000" w:sz="12" w:space="0"/>
                    <w:left w:val="nil"/>
                    <w:bottom w:val="single" w:color="000000" w:sz="4" w:space="0"/>
                    <w:right w:val="nil"/>
                  </w:tcBorders>
                  <w:shd w:val="clear" w:color="auto" w:fill="FFFFFF"/>
                </w:tcPr>
                <w:p w14:paraId="06F150EE">
                  <w:pPr>
                    <w:jc w:val="center"/>
                    <w:rPr>
                      <w:b w:val="0"/>
                      <w:color w:val="000000"/>
                    </w:rPr>
                  </w:pPr>
                  <w:r>
                    <w:rPr>
                      <w:rFonts w:ascii="SimSun" w:hAnsi="SimSun" w:eastAsia="SimSun"/>
                      <w:b w:val="0"/>
                      <w:color w:val="000000"/>
                      <w:sz w:val="20"/>
                    </w:rPr>
                    <w:t>RUS-AUC</w:t>
                  </w:r>
                </w:p>
              </w:tc>
              <w:tc>
                <w:tcPr>
                  <w:tcW w:w="1432" w:type="dxa"/>
                  <w:tcBorders>
                    <w:top w:val="single" w:color="000000" w:sz="12" w:space="0"/>
                    <w:left w:val="nil"/>
                    <w:bottom w:val="single" w:color="000000" w:sz="4" w:space="0"/>
                    <w:right w:val="nil"/>
                  </w:tcBorders>
                  <w:shd w:val="clear" w:color="auto" w:fill="FFFFFF"/>
                </w:tcPr>
                <w:p w14:paraId="5E607F09">
                  <w:pPr>
                    <w:jc w:val="center"/>
                    <w:rPr>
                      <w:b w:val="0"/>
                      <w:color w:val="000000"/>
                    </w:rPr>
                  </w:pPr>
                  <w:r>
                    <w:rPr>
                      <w:rFonts w:ascii="SimSun" w:hAnsi="SimSun" w:eastAsia="SimSun"/>
                      <w:b w:val="0"/>
                      <w:color w:val="000000"/>
                      <w:sz w:val="20"/>
                    </w:rPr>
                    <w:t>CW-AUC</w:t>
                  </w:r>
                </w:p>
              </w:tc>
            </w:tr>
            <w:tr w14:paraId="13269CAF">
              <w:tblPrEx>
                <w:tblCellMar>
                  <w:top w:w="0" w:type="dxa"/>
                  <w:left w:w="10" w:type="dxa"/>
                  <w:bottom w:w="0" w:type="dxa"/>
                  <w:right w:w="10" w:type="dxa"/>
                </w:tblCellMar>
              </w:tblPrEx>
              <w:tc>
                <w:tcPr>
                  <w:tcW w:w="1432" w:type="dxa"/>
                  <w:tcBorders>
                    <w:top w:val="single" w:color="000000" w:sz="4" w:space="0"/>
                    <w:left w:val="nil"/>
                    <w:bottom w:val="nil"/>
                    <w:right w:val="nil"/>
                  </w:tcBorders>
                  <w:shd w:val="clear" w:color="auto" w:fill="FFFFFF"/>
                </w:tcPr>
                <w:p w14:paraId="04ABA6EB">
                  <w:pPr>
                    <w:jc w:val="center"/>
                    <w:rPr>
                      <w:b w:val="0"/>
                      <w:color w:val="000000"/>
                    </w:rPr>
                  </w:pPr>
                  <w:r>
                    <w:rPr>
                      <w:rFonts w:ascii="SimSun" w:hAnsi="SimSun" w:eastAsia="SimSun"/>
                      <w:b w:val="0"/>
                      <w:color w:val="000000"/>
                      <w:sz w:val="20"/>
                    </w:rPr>
                    <w:t>迭代1（基础版）</w:t>
                  </w:r>
                </w:p>
              </w:tc>
              <w:tc>
                <w:tcPr>
                  <w:tcW w:w="1432" w:type="dxa"/>
                  <w:tcBorders>
                    <w:top w:val="single" w:color="000000" w:sz="4" w:space="0"/>
                    <w:left w:val="nil"/>
                    <w:bottom w:val="nil"/>
                    <w:right w:val="nil"/>
                  </w:tcBorders>
                  <w:shd w:val="clear" w:color="auto" w:fill="FFFFFF"/>
                </w:tcPr>
                <w:p w14:paraId="1F2AEA4B">
                  <w:pPr>
                    <w:jc w:val="center"/>
                    <w:rPr>
                      <w:b w:val="0"/>
                      <w:color w:val="000000"/>
                    </w:rPr>
                  </w:pPr>
                  <w:r>
                    <w:rPr>
                      <w:rFonts w:ascii="SimSun" w:hAnsi="SimSun" w:eastAsia="SimSun"/>
                      <w:b w:val="0"/>
                      <w:color w:val="000000"/>
                      <w:sz w:val="20"/>
                    </w:rPr>
                    <w:t>OHE+StandardScaler，无衍生特征</w:t>
                  </w:r>
                </w:p>
              </w:tc>
              <w:tc>
                <w:tcPr>
                  <w:tcW w:w="1432" w:type="dxa"/>
                  <w:tcBorders>
                    <w:top w:val="single" w:color="000000" w:sz="4" w:space="0"/>
                    <w:left w:val="nil"/>
                    <w:bottom w:val="nil"/>
                    <w:right w:val="nil"/>
                  </w:tcBorders>
                  <w:shd w:val="clear" w:color="auto" w:fill="FFFFFF"/>
                </w:tcPr>
                <w:p w14:paraId="62A4DA42">
                  <w:pPr>
                    <w:jc w:val="center"/>
                    <w:rPr>
                      <w:b w:val="0"/>
                      <w:color w:val="000000"/>
                    </w:rPr>
                  </w:pPr>
                  <w:r>
                    <w:rPr>
                      <w:rFonts w:ascii="SimSun" w:hAnsi="SimSun" w:eastAsia="SimSun"/>
                      <w:b w:val="0"/>
                      <w:color w:val="000000"/>
                      <w:sz w:val="20"/>
                    </w:rPr>
                    <w:t>58</w:t>
                  </w:r>
                </w:p>
              </w:tc>
              <w:tc>
                <w:tcPr>
                  <w:tcW w:w="1432" w:type="dxa"/>
                  <w:tcBorders>
                    <w:top w:val="single" w:color="000000" w:sz="4" w:space="0"/>
                    <w:left w:val="nil"/>
                    <w:bottom w:val="nil"/>
                    <w:right w:val="nil"/>
                  </w:tcBorders>
                  <w:shd w:val="clear" w:color="auto" w:fill="FFFFFF"/>
                </w:tcPr>
                <w:p w14:paraId="57C12EA0">
                  <w:pPr>
                    <w:jc w:val="center"/>
                    <w:rPr>
                      <w:b w:val="0"/>
                      <w:color w:val="000000"/>
                    </w:rPr>
                  </w:pPr>
                  <w:r>
                    <w:rPr>
                      <w:rFonts w:ascii="SimSun" w:hAnsi="SimSun" w:eastAsia="SimSun"/>
                      <w:b w:val="0"/>
                      <w:color w:val="000000"/>
                      <w:sz w:val="20"/>
                    </w:rPr>
                    <w:t>0.9436</w:t>
                  </w:r>
                </w:p>
              </w:tc>
              <w:tc>
                <w:tcPr>
                  <w:tcW w:w="1432" w:type="dxa"/>
                  <w:tcBorders>
                    <w:top w:val="single" w:color="000000" w:sz="4" w:space="0"/>
                    <w:left w:val="nil"/>
                    <w:bottom w:val="nil"/>
                    <w:right w:val="nil"/>
                  </w:tcBorders>
                  <w:shd w:val="clear" w:color="auto" w:fill="FFFFFF"/>
                </w:tcPr>
                <w:p w14:paraId="656C8A57">
                  <w:pPr>
                    <w:jc w:val="center"/>
                    <w:rPr>
                      <w:b w:val="0"/>
                      <w:color w:val="000000"/>
                    </w:rPr>
                  </w:pPr>
                  <w:r>
                    <w:rPr>
                      <w:rFonts w:ascii="SimSun" w:hAnsi="SimSun" w:eastAsia="SimSun"/>
                      <w:b w:val="0"/>
                      <w:color w:val="000000"/>
                      <w:sz w:val="20"/>
                    </w:rPr>
                    <w:t>0.9438</w:t>
                  </w:r>
                </w:p>
              </w:tc>
              <w:tc>
                <w:tcPr>
                  <w:tcW w:w="1432" w:type="dxa"/>
                  <w:tcBorders>
                    <w:top w:val="single" w:color="000000" w:sz="4" w:space="0"/>
                    <w:left w:val="nil"/>
                    <w:bottom w:val="nil"/>
                    <w:right w:val="nil"/>
                  </w:tcBorders>
                  <w:shd w:val="clear" w:color="auto" w:fill="FFFFFF"/>
                </w:tcPr>
                <w:p w14:paraId="4B80B613">
                  <w:pPr>
                    <w:jc w:val="center"/>
                    <w:rPr>
                      <w:b w:val="0"/>
                      <w:color w:val="000000"/>
                    </w:rPr>
                  </w:pPr>
                  <w:r>
                    <w:rPr>
                      <w:rFonts w:ascii="SimSun" w:hAnsi="SimSun" w:eastAsia="SimSun"/>
                      <w:b w:val="0"/>
                      <w:color w:val="000000"/>
                      <w:sz w:val="20"/>
                    </w:rPr>
                    <w:t>0.9442</w:t>
                  </w:r>
                </w:p>
              </w:tc>
            </w:tr>
            <w:tr w14:paraId="7355FE2D">
              <w:tblPrEx>
                <w:tblCellMar>
                  <w:top w:w="0" w:type="dxa"/>
                  <w:left w:w="10" w:type="dxa"/>
                  <w:bottom w:w="0" w:type="dxa"/>
                  <w:right w:w="10" w:type="dxa"/>
                </w:tblCellMar>
              </w:tblPrEx>
              <w:tc>
                <w:tcPr>
                  <w:tcW w:w="1432" w:type="dxa"/>
                  <w:tcBorders>
                    <w:top w:val="nil"/>
                    <w:left w:val="nil"/>
                    <w:bottom w:val="nil"/>
                    <w:right w:val="nil"/>
                  </w:tcBorders>
                  <w:shd w:val="clear" w:color="auto" w:fill="FFFFFF"/>
                </w:tcPr>
                <w:p w14:paraId="1A92549E">
                  <w:pPr>
                    <w:jc w:val="center"/>
                    <w:rPr>
                      <w:b w:val="0"/>
                      <w:color w:val="000000"/>
                    </w:rPr>
                  </w:pPr>
                  <w:r>
                    <w:rPr>
                      <w:rFonts w:ascii="SimSun" w:hAnsi="SimSun" w:eastAsia="SimSun"/>
                      <w:b w:val="0"/>
                      <w:color w:val="000000"/>
                      <w:sz w:val="20"/>
                    </w:rPr>
                    <w:t>迭代2（衍生特征）</w:t>
                  </w:r>
                </w:p>
              </w:tc>
              <w:tc>
                <w:tcPr>
                  <w:tcW w:w="1432" w:type="dxa"/>
                  <w:tcBorders>
                    <w:top w:val="nil"/>
                    <w:left w:val="nil"/>
                    <w:bottom w:val="nil"/>
                    <w:right w:val="nil"/>
                  </w:tcBorders>
                  <w:shd w:val="clear" w:color="auto" w:fill="FFFFFF"/>
                </w:tcPr>
                <w:p w14:paraId="31ED0473">
                  <w:pPr>
                    <w:jc w:val="center"/>
                    <w:rPr>
                      <w:b w:val="0"/>
                      <w:color w:val="000000"/>
                    </w:rPr>
                  </w:pPr>
                  <w:r>
                    <w:rPr>
                      <w:rFonts w:ascii="SimSun" w:hAnsi="SimSun" w:eastAsia="SimSun"/>
                      <w:b w:val="0"/>
                      <w:color w:val="000000"/>
                      <w:sz w:val="20"/>
                    </w:rPr>
                    <w:t>+previously_contacted, +log_duration, pdays修正</w:t>
                  </w:r>
                </w:p>
              </w:tc>
              <w:tc>
                <w:tcPr>
                  <w:tcW w:w="1432" w:type="dxa"/>
                  <w:tcBorders>
                    <w:top w:val="nil"/>
                    <w:left w:val="nil"/>
                    <w:bottom w:val="nil"/>
                    <w:right w:val="nil"/>
                  </w:tcBorders>
                  <w:shd w:val="clear" w:color="auto" w:fill="FFFFFF"/>
                </w:tcPr>
                <w:p w14:paraId="79DCAB83">
                  <w:pPr>
                    <w:jc w:val="center"/>
                    <w:rPr>
                      <w:b w:val="0"/>
                      <w:color w:val="000000"/>
                    </w:rPr>
                  </w:pPr>
                  <w:r>
                    <w:rPr>
                      <w:rFonts w:ascii="SimSun" w:hAnsi="SimSun" w:eastAsia="SimSun"/>
                      <w:b w:val="0"/>
                      <w:color w:val="000000"/>
                      <w:sz w:val="20"/>
                    </w:rPr>
                    <w:t>60</w:t>
                  </w:r>
                </w:p>
              </w:tc>
              <w:tc>
                <w:tcPr>
                  <w:tcW w:w="1432" w:type="dxa"/>
                  <w:tcBorders>
                    <w:top w:val="nil"/>
                    <w:left w:val="nil"/>
                    <w:bottom w:val="nil"/>
                    <w:right w:val="nil"/>
                  </w:tcBorders>
                  <w:shd w:val="clear" w:color="auto" w:fill="FFFFFF"/>
                </w:tcPr>
                <w:p w14:paraId="060B7F78">
                  <w:pPr>
                    <w:jc w:val="center"/>
                    <w:rPr>
                      <w:b w:val="0"/>
                      <w:color w:val="000000"/>
                    </w:rPr>
                  </w:pPr>
                  <w:r>
                    <w:rPr>
                      <w:rFonts w:ascii="SimSun" w:hAnsi="SimSun" w:eastAsia="SimSun"/>
                      <w:b w:val="0"/>
                      <w:color w:val="000000"/>
                      <w:sz w:val="20"/>
                    </w:rPr>
                    <w:t>0.9443</w:t>
                  </w:r>
                </w:p>
              </w:tc>
              <w:tc>
                <w:tcPr>
                  <w:tcW w:w="1432" w:type="dxa"/>
                  <w:tcBorders>
                    <w:top w:val="nil"/>
                    <w:left w:val="nil"/>
                    <w:bottom w:val="nil"/>
                    <w:right w:val="nil"/>
                  </w:tcBorders>
                  <w:shd w:val="clear" w:color="auto" w:fill="FFFFFF"/>
                </w:tcPr>
                <w:p w14:paraId="1A1970CE">
                  <w:pPr>
                    <w:jc w:val="center"/>
                    <w:rPr>
                      <w:b w:val="0"/>
                      <w:color w:val="000000"/>
                    </w:rPr>
                  </w:pPr>
                  <w:r>
                    <w:rPr>
                      <w:rFonts w:ascii="SimSun" w:hAnsi="SimSun" w:eastAsia="SimSun"/>
                      <w:b w:val="0"/>
                      <w:color w:val="000000"/>
                      <w:sz w:val="20"/>
                    </w:rPr>
                    <w:t>0.9449</w:t>
                  </w:r>
                </w:p>
              </w:tc>
              <w:tc>
                <w:tcPr>
                  <w:tcW w:w="1432" w:type="dxa"/>
                  <w:tcBorders>
                    <w:top w:val="nil"/>
                    <w:left w:val="nil"/>
                    <w:bottom w:val="nil"/>
                    <w:right w:val="nil"/>
                  </w:tcBorders>
                  <w:shd w:val="clear" w:color="auto" w:fill="FFFFFF"/>
                </w:tcPr>
                <w:p w14:paraId="5D9B20CE">
                  <w:pPr>
                    <w:jc w:val="center"/>
                    <w:rPr>
                      <w:b w:val="0"/>
                      <w:color w:val="000000"/>
                    </w:rPr>
                  </w:pPr>
                  <w:r>
                    <w:rPr>
                      <w:rFonts w:ascii="SimSun" w:hAnsi="SimSun" w:eastAsia="SimSun"/>
                      <w:b w:val="0"/>
                      <w:color w:val="000000"/>
                      <w:sz w:val="20"/>
                    </w:rPr>
                    <w:t>0.9446</w:t>
                  </w:r>
                </w:p>
              </w:tc>
            </w:tr>
            <w:tr w14:paraId="02C3A5A0">
              <w:tc>
                <w:tcPr>
                  <w:tcW w:w="1432" w:type="dxa"/>
                  <w:tcBorders>
                    <w:top w:val="nil"/>
                    <w:left w:val="nil"/>
                    <w:bottom w:val="nil"/>
                    <w:right w:val="nil"/>
                  </w:tcBorders>
                  <w:shd w:val="clear" w:color="auto" w:fill="FFFFFF"/>
                </w:tcPr>
                <w:p w14:paraId="0D37ABD2">
                  <w:pPr>
                    <w:jc w:val="center"/>
                    <w:rPr>
                      <w:b w:val="0"/>
                      <w:color w:val="000000"/>
                    </w:rPr>
                  </w:pPr>
                  <w:r>
                    <w:rPr>
                      <w:rFonts w:ascii="SimSun" w:hAnsi="SimSun" w:eastAsia="SimSun"/>
                      <w:b w:val="0"/>
                      <w:color w:val="000000"/>
                      <w:sz w:val="20"/>
                    </w:rPr>
                    <w:t>迭代3（最终版）</w:t>
                  </w:r>
                </w:p>
              </w:tc>
              <w:tc>
                <w:tcPr>
                  <w:tcW w:w="1432" w:type="dxa"/>
                  <w:tcBorders>
                    <w:top w:val="nil"/>
                    <w:left w:val="nil"/>
                    <w:bottom w:val="nil"/>
                    <w:right w:val="nil"/>
                  </w:tcBorders>
                  <w:shd w:val="clear" w:color="auto" w:fill="FFFFFF"/>
                </w:tcPr>
                <w:p w14:paraId="136456C3">
                  <w:pPr>
                    <w:jc w:val="center"/>
                    <w:rPr>
                      <w:b w:val="0"/>
                      <w:color w:val="000000"/>
                    </w:rPr>
                  </w:pPr>
                  <w:r>
                    <w:rPr>
                      <w:rFonts w:ascii="SimSun" w:hAnsi="SimSun" w:eastAsia="SimSun"/>
                      <w:b w:val="0"/>
                      <w:color w:val="000000"/>
                      <w:sz w:val="20"/>
                    </w:rPr>
                    <w:t>+精选15列二阶交互项，L1自动特征选择</w:t>
                  </w:r>
                </w:p>
              </w:tc>
              <w:tc>
                <w:tcPr>
                  <w:tcW w:w="1432" w:type="dxa"/>
                  <w:tcBorders>
                    <w:top w:val="nil"/>
                    <w:left w:val="nil"/>
                    <w:bottom w:val="nil"/>
                    <w:right w:val="nil"/>
                  </w:tcBorders>
                  <w:shd w:val="clear" w:color="auto" w:fill="FFFFFF"/>
                </w:tcPr>
                <w:p w14:paraId="28DFD4F9">
                  <w:pPr>
                    <w:jc w:val="center"/>
                    <w:rPr>
                      <w:b w:val="0"/>
                      <w:color w:val="000000"/>
                    </w:rPr>
                  </w:pPr>
                  <w:r>
                    <w:rPr>
                      <w:rFonts w:ascii="SimSun" w:hAnsi="SimSun" w:eastAsia="SimSun"/>
                      <w:b w:val="0"/>
                      <w:color w:val="000000"/>
                      <w:sz w:val="20"/>
                    </w:rPr>
                    <w:t>178</w:t>
                  </w:r>
                </w:p>
              </w:tc>
              <w:tc>
                <w:tcPr>
                  <w:tcW w:w="1432" w:type="dxa"/>
                  <w:tcBorders>
                    <w:top w:val="nil"/>
                    <w:left w:val="nil"/>
                    <w:bottom w:val="nil"/>
                    <w:right w:val="nil"/>
                  </w:tcBorders>
                  <w:shd w:val="clear" w:color="auto" w:fill="FFFFFF"/>
                </w:tcPr>
                <w:p w14:paraId="46F9B8CE">
                  <w:pPr>
                    <w:jc w:val="center"/>
                    <w:rPr>
                      <w:b w:val="0"/>
                      <w:color w:val="000000"/>
                    </w:rPr>
                  </w:pPr>
                  <w:r>
                    <w:rPr>
                      <w:rFonts w:ascii="SimSun" w:hAnsi="SimSun" w:eastAsia="SimSun"/>
                      <w:b w:val="0"/>
                      <w:color w:val="000000"/>
                      <w:sz w:val="20"/>
                    </w:rPr>
                    <w:t>0.9499</w:t>
                  </w:r>
                </w:p>
              </w:tc>
              <w:tc>
                <w:tcPr>
                  <w:tcW w:w="1432" w:type="dxa"/>
                  <w:tcBorders>
                    <w:top w:val="nil"/>
                    <w:left w:val="nil"/>
                    <w:bottom w:val="nil"/>
                    <w:right w:val="nil"/>
                  </w:tcBorders>
                  <w:shd w:val="clear" w:color="auto" w:fill="FFFFFF"/>
                </w:tcPr>
                <w:p w14:paraId="4070BECB">
                  <w:pPr>
                    <w:jc w:val="center"/>
                    <w:rPr>
                      <w:b w:val="0"/>
                      <w:color w:val="000000"/>
                    </w:rPr>
                  </w:pPr>
                  <w:r>
                    <w:rPr>
                      <w:rFonts w:ascii="SimSun" w:hAnsi="SimSun" w:eastAsia="SimSun"/>
                      <w:b w:val="0"/>
                      <w:color w:val="000000"/>
                      <w:sz w:val="20"/>
                    </w:rPr>
                    <w:t>0.9488</w:t>
                  </w:r>
                </w:p>
              </w:tc>
              <w:tc>
                <w:tcPr>
                  <w:tcW w:w="1432" w:type="dxa"/>
                  <w:tcBorders>
                    <w:top w:val="nil"/>
                    <w:left w:val="nil"/>
                    <w:bottom w:val="nil"/>
                    <w:right w:val="nil"/>
                  </w:tcBorders>
                  <w:shd w:val="clear" w:color="auto" w:fill="FFFFFF"/>
                </w:tcPr>
                <w:p w14:paraId="5ADA0510">
                  <w:pPr>
                    <w:jc w:val="center"/>
                    <w:rPr>
                      <w:b w:val="0"/>
                      <w:color w:val="000000"/>
                    </w:rPr>
                  </w:pPr>
                  <w:r>
                    <w:rPr>
                      <w:rFonts w:ascii="SimSun" w:hAnsi="SimSun" w:eastAsia="SimSun"/>
                      <w:b w:val="0"/>
                      <w:color w:val="000000"/>
                      <w:sz w:val="20"/>
                    </w:rPr>
                    <w:t>0.9503</w:t>
                  </w:r>
                </w:p>
              </w:tc>
            </w:tr>
            <w:tr w14:paraId="19CAA933">
              <w:tblPrEx>
                <w:tblCellMar>
                  <w:top w:w="0" w:type="dxa"/>
                  <w:left w:w="10" w:type="dxa"/>
                  <w:bottom w:w="0" w:type="dxa"/>
                  <w:right w:w="10" w:type="dxa"/>
                </w:tblCellMar>
              </w:tblPrEx>
              <w:tc>
                <w:tcPr>
                  <w:tcW w:w="1432" w:type="dxa"/>
                  <w:tcBorders>
                    <w:top w:val="nil"/>
                    <w:left w:val="nil"/>
                    <w:bottom w:val="nil"/>
                    <w:right w:val="nil"/>
                  </w:tcBorders>
                  <w:shd w:val="clear" w:color="auto" w:fill="FFFFFF"/>
                </w:tcPr>
                <w:p w14:paraId="3766714E">
                  <w:pPr>
                    <w:jc w:val="center"/>
                    <w:rPr>
                      <w:b w:val="0"/>
                      <w:color w:val="000000"/>
                    </w:rPr>
                  </w:pPr>
                  <w:r>
                    <w:rPr>
                      <w:rFonts w:ascii="SimSun" w:hAnsi="SimSun" w:eastAsia="SimSun"/>
                      <w:b w:val="0"/>
                      <w:color w:val="000000"/>
                      <w:sz w:val="20"/>
                    </w:rPr>
                    <w:t>全量多项式（参考）</w:t>
                  </w:r>
                </w:p>
              </w:tc>
              <w:tc>
                <w:tcPr>
                  <w:tcW w:w="1432" w:type="dxa"/>
                  <w:tcBorders>
                    <w:top w:val="nil"/>
                    <w:left w:val="nil"/>
                    <w:bottom w:val="nil"/>
                    <w:right w:val="nil"/>
                  </w:tcBorders>
                  <w:shd w:val="clear" w:color="auto" w:fill="FFFFFF"/>
                </w:tcPr>
                <w:p w14:paraId="0E043AE1">
                  <w:pPr>
                    <w:jc w:val="center"/>
                    <w:rPr>
                      <w:b w:val="0"/>
                      <w:color w:val="000000"/>
                    </w:rPr>
                  </w:pPr>
                  <w:r>
                    <w:rPr>
                      <w:rFonts w:ascii="SimSun" w:hAnsi="SimSun" w:eastAsia="SimSun"/>
                      <w:b w:val="0"/>
                      <w:color w:val="000000"/>
                      <w:sz w:val="20"/>
                    </w:rPr>
                    <w:t>全量58列二阶交互（仅CW，SMOTE内存溢出）</w:t>
                  </w:r>
                </w:p>
              </w:tc>
              <w:tc>
                <w:tcPr>
                  <w:tcW w:w="1432" w:type="dxa"/>
                  <w:tcBorders>
                    <w:top w:val="nil"/>
                    <w:left w:val="nil"/>
                    <w:bottom w:val="nil"/>
                    <w:right w:val="nil"/>
                  </w:tcBorders>
                  <w:shd w:val="clear" w:color="auto" w:fill="FFFFFF"/>
                </w:tcPr>
                <w:p w14:paraId="21B14467">
                  <w:pPr>
                    <w:jc w:val="center"/>
                    <w:rPr>
                      <w:b w:val="0"/>
                      <w:color w:val="000000"/>
                    </w:rPr>
                  </w:pPr>
                  <w:r>
                    <w:rPr>
                      <w:rFonts w:ascii="SimSun" w:hAnsi="SimSun" w:eastAsia="SimSun"/>
                      <w:b w:val="0"/>
                      <w:color w:val="000000"/>
                      <w:sz w:val="20"/>
                    </w:rPr>
                    <w:t>1711</w:t>
                  </w:r>
                </w:p>
              </w:tc>
              <w:tc>
                <w:tcPr>
                  <w:tcW w:w="1432" w:type="dxa"/>
                  <w:tcBorders>
                    <w:top w:val="nil"/>
                    <w:left w:val="nil"/>
                    <w:bottom w:val="nil"/>
                    <w:right w:val="nil"/>
                  </w:tcBorders>
                  <w:shd w:val="clear" w:color="auto" w:fill="FFFFFF"/>
                </w:tcPr>
                <w:p w14:paraId="66C32112">
                  <w:pPr>
                    <w:jc w:val="center"/>
                    <w:rPr>
                      <w:b w:val="0"/>
                      <w:color w:val="000000"/>
                    </w:rPr>
                  </w:pPr>
                  <w:r>
                    <w:rPr>
                      <w:rFonts w:ascii="SimSun" w:hAnsi="SimSun" w:eastAsia="SimSun"/>
                      <w:b w:val="0"/>
                      <w:color w:val="000000"/>
                      <w:sz w:val="20"/>
                    </w:rPr>
                    <w:t>—</w:t>
                  </w:r>
                </w:p>
              </w:tc>
              <w:tc>
                <w:tcPr>
                  <w:tcW w:w="1432" w:type="dxa"/>
                  <w:tcBorders>
                    <w:top w:val="nil"/>
                    <w:left w:val="nil"/>
                    <w:bottom w:val="nil"/>
                    <w:right w:val="nil"/>
                  </w:tcBorders>
                  <w:shd w:val="clear" w:color="auto" w:fill="FFFFFF"/>
                </w:tcPr>
                <w:p w14:paraId="61276B65">
                  <w:pPr>
                    <w:jc w:val="center"/>
                    <w:rPr>
                      <w:b w:val="0"/>
                      <w:color w:val="000000"/>
                    </w:rPr>
                  </w:pPr>
                  <w:r>
                    <w:rPr>
                      <w:rFonts w:ascii="SimSun" w:hAnsi="SimSun" w:eastAsia="SimSun"/>
                      <w:b w:val="0"/>
                      <w:color w:val="000000"/>
                      <w:sz w:val="20"/>
                    </w:rPr>
                    <w:t>—</w:t>
                  </w:r>
                </w:p>
              </w:tc>
              <w:tc>
                <w:tcPr>
                  <w:tcW w:w="1432" w:type="dxa"/>
                  <w:tcBorders>
                    <w:top w:val="nil"/>
                    <w:left w:val="nil"/>
                    <w:bottom w:val="nil"/>
                    <w:right w:val="nil"/>
                  </w:tcBorders>
                  <w:shd w:val="clear" w:color="auto" w:fill="FFFFFF"/>
                </w:tcPr>
                <w:p w14:paraId="267A08AC">
                  <w:pPr>
                    <w:jc w:val="center"/>
                    <w:rPr>
                      <w:b w:val="0"/>
                      <w:color w:val="000000"/>
                    </w:rPr>
                  </w:pPr>
                  <w:r>
                    <w:rPr>
                      <w:rFonts w:ascii="SimSun" w:hAnsi="SimSun" w:eastAsia="SimSun"/>
                      <w:b w:val="0"/>
                      <w:color w:val="000000"/>
                      <w:sz w:val="20"/>
                    </w:rPr>
                    <w:t>0.9528</w:t>
                  </w:r>
                </w:p>
              </w:tc>
            </w:tr>
            <w:tr w14:paraId="2157376B">
              <w:tblPrEx>
                <w:tblCellMar>
                  <w:top w:w="0" w:type="dxa"/>
                  <w:left w:w="10" w:type="dxa"/>
                  <w:bottom w:w="0" w:type="dxa"/>
                  <w:right w:w="10" w:type="dxa"/>
                </w:tblCellMar>
              </w:tblPrEx>
              <w:tc>
                <w:tcPr>
                  <w:tcW w:w="8592" w:type="dxa"/>
                  <w:gridSpan w:val="6"/>
                  <w:tcBorders>
                    <w:top w:val="nil"/>
                    <w:left w:val="nil"/>
                    <w:bottom w:val="single" w:color="000000" w:sz="12" w:space="0"/>
                    <w:right w:val="nil"/>
                  </w:tcBorders>
                  <w:shd w:val="clear" w:color="auto" w:fill="FFFFFF"/>
                </w:tcPr>
                <w:p w14:paraId="464F8B43">
                  <w:pPr>
                    <w:rPr>
                      <w:rFonts w:ascii="SimSun" w:hAnsi="SimSun" w:eastAsia="SimSun"/>
                      <w:b w:val="0"/>
                      <w:color w:val="000000"/>
                      <w:sz w:val="18"/>
                    </w:rPr>
                  </w:pPr>
                  <w:r>
                    <w:rPr>
                      <w:rFonts w:ascii="SimSun" w:hAnsi="SimSun" w:eastAsia="SimSun"/>
                      <w:b w:val="0"/>
                      <w:color w:val="000000"/>
                      <w:sz w:val="18"/>
                    </w:rPr>
                    <w:t>注：CW=class_weight=balanced；RUS=RandomUnderSampler；全量多项式因SMOTE在</w:t>
                  </w:r>
                </w:p>
                <w:p w14:paraId="0A4E0A07">
                  <w:pPr>
                    <w:rPr>
                      <w:b w:val="0"/>
                      <w:color w:val="000000"/>
                    </w:rPr>
                  </w:pPr>
                  <w:r>
                    <w:rPr>
                      <w:rFonts w:ascii="SimSun" w:hAnsi="SimSun" w:eastAsia="SimSun"/>
                      <w:b w:val="0"/>
                      <w:color w:val="000000"/>
                      <w:sz w:val="18"/>
                    </w:rPr>
                    <w:t>1711维×4万样本时内存溢出，仅CW策略可运行。</w:t>
                  </w:r>
                </w:p>
              </w:tc>
            </w:tr>
          </w:tbl>
          <w:tbl>
            <w:tblPr>
              <w:tblStyle w:val="11"/>
              <w:tblW w:w="0" w:type="auto"/>
              <w:tblInd w:w="0" w:type="dxa"/>
              <w:tblLayout w:type="fixed"/>
              <w:tblCellMar>
                <w:top w:w="0" w:type="dxa"/>
                <w:left w:w="10" w:type="dxa"/>
                <w:bottom w:w="0" w:type="dxa"/>
                <w:right w:w="10" w:type="dxa"/>
              </w:tblCellMar>
            </w:tblPr>
            <w:tblGrid>
              <w:gridCol w:w="1074"/>
              <w:gridCol w:w="1074"/>
              <w:gridCol w:w="1074"/>
              <w:gridCol w:w="1074"/>
              <w:gridCol w:w="1074"/>
              <w:gridCol w:w="1074"/>
              <w:gridCol w:w="1074"/>
              <w:gridCol w:w="1074"/>
            </w:tblGrid>
            <w:tr w14:paraId="7FB87271">
              <w:tblPrEx>
                <w:tblCellMar>
                  <w:top w:w="0" w:type="dxa"/>
                  <w:left w:w="10" w:type="dxa"/>
                  <w:bottom w:w="0" w:type="dxa"/>
                  <w:right w:w="10" w:type="dxa"/>
                </w:tblCellMar>
              </w:tblPrEx>
              <w:tc>
                <w:tcPr>
                  <w:tcW w:w="1074" w:type="dxa"/>
                  <w:tcBorders>
                    <w:top w:val="single" w:color="000000" w:sz="12" w:space="0"/>
                    <w:left w:val="nil"/>
                    <w:bottom w:val="single" w:color="000000" w:sz="4" w:space="0"/>
                    <w:right w:val="nil"/>
                    <w:tl2br w:val="nil"/>
                  </w:tcBorders>
                  <w:shd w:val="clear" w:color="auto" w:fill="FFFFFF"/>
                </w:tcPr>
                <w:p w14:paraId="14C3B118">
                  <w:pPr>
                    <w:jc w:val="center"/>
                    <w:rPr>
                      <w:b w:val="0"/>
                      <w:color w:val="000000"/>
                    </w:rPr>
                  </w:pPr>
                  <w:r>
                    <w:rPr>
                      <w:rFonts w:ascii="SimSun" w:hAnsi="SimSun" w:eastAsia="SimSun"/>
                      <w:b w:val="0"/>
                      <w:color w:val="000000"/>
                      <w:sz w:val="20"/>
                    </w:rPr>
                    <w:t>策略</w:t>
                  </w:r>
                </w:p>
              </w:tc>
              <w:tc>
                <w:tcPr>
                  <w:tcW w:w="1074" w:type="dxa"/>
                  <w:tcBorders>
                    <w:top w:val="single" w:color="000000" w:sz="12" w:space="0"/>
                    <w:left w:val="nil"/>
                    <w:bottom w:val="single" w:color="000000" w:sz="4" w:space="0"/>
                    <w:right w:val="nil"/>
                  </w:tcBorders>
                  <w:shd w:val="clear" w:color="auto" w:fill="FFFFFF"/>
                </w:tcPr>
                <w:p w14:paraId="0AE1135C">
                  <w:pPr>
                    <w:jc w:val="center"/>
                    <w:rPr>
                      <w:b w:val="0"/>
                      <w:color w:val="000000"/>
                    </w:rPr>
                  </w:pPr>
                  <w:r>
                    <w:rPr>
                      <w:rFonts w:ascii="SimSun" w:hAnsi="SimSun" w:eastAsia="SimSun"/>
                      <w:b w:val="0"/>
                      <w:color w:val="000000"/>
                      <w:sz w:val="20"/>
                    </w:rPr>
                    <w:t>Precision(Yes)</w:t>
                  </w:r>
                </w:p>
              </w:tc>
              <w:tc>
                <w:tcPr>
                  <w:tcW w:w="1074" w:type="dxa"/>
                  <w:tcBorders>
                    <w:top w:val="single" w:color="000000" w:sz="12" w:space="0"/>
                    <w:left w:val="nil"/>
                    <w:bottom w:val="single" w:color="000000" w:sz="4" w:space="0"/>
                    <w:right w:val="nil"/>
                  </w:tcBorders>
                  <w:shd w:val="clear" w:color="auto" w:fill="FFFFFF"/>
                </w:tcPr>
                <w:p w14:paraId="04376FAC">
                  <w:pPr>
                    <w:jc w:val="center"/>
                    <w:rPr>
                      <w:b w:val="0"/>
                      <w:color w:val="000000"/>
                    </w:rPr>
                  </w:pPr>
                  <w:r>
                    <w:rPr>
                      <w:rFonts w:ascii="SimSun" w:hAnsi="SimSun" w:eastAsia="SimSun"/>
                      <w:b w:val="0"/>
                      <w:color w:val="000000"/>
                      <w:sz w:val="20"/>
                    </w:rPr>
                    <w:t>Recall(Yes)</w:t>
                  </w:r>
                </w:p>
              </w:tc>
              <w:tc>
                <w:tcPr>
                  <w:tcW w:w="1074" w:type="dxa"/>
                  <w:tcBorders>
                    <w:top w:val="single" w:color="000000" w:sz="12" w:space="0"/>
                    <w:left w:val="nil"/>
                    <w:bottom w:val="single" w:color="000000" w:sz="4" w:space="0"/>
                    <w:right w:val="nil"/>
                  </w:tcBorders>
                  <w:shd w:val="clear" w:color="auto" w:fill="FFFFFF"/>
                </w:tcPr>
                <w:p w14:paraId="2AA962FC">
                  <w:pPr>
                    <w:jc w:val="center"/>
                    <w:rPr>
                      <w:b w:val="0"/>
                      <w:color w:val="000000"/>
                    </w:rPr>
                  </w:pPr>
                  <w:r>
                    <w:rPr>
                      <w:rFonts w:ascii="SimSun" w:hAnsi="SimSun" w:eastAsia="SimSun"/>
                      <w:b w:val="0"/>
                      <w:color w:val="000000"/>
                      <w:sz w:val="20"/>
                    </w:rPr>
                    <w:t>F1(Yes)</w:t>
                  </w:r>
                </w:p>
              </w:tc>
              <w:tc>
                <w:tcPr>
                  <w:tcW w:w="1074" w:type="dxa"/>
                  <w:tcBorders>
                    <w:top w:val="single" w:color="000000" w:sz="12" w:space="0"/>
                    <w:left w:val="nil"/>
                    <w:bottom w:val="single" w:color="000000" w:sz="4" w:space="0"/>
                    <w:right w:val="nil"/>
                  </w:tcBorders>
                  <w:shd w:val="clear" w:color="auto" w:fill="FFFFFF"/>
                </w:tcPr>
                <w:p w14:paraId="24C43157">
                  <w:pPr>
                    <w:jc w:val="center"/>
                    <w:rPr>
                      <w:b w:val="0"/>
                      <w:color w:val="000000"/>
                    </w:rPr>
                  </w:pPr>
                  <w:r>
                    <w:rPr>
                      <w:rFonts w:ascii="SimSun" w:hAnsi="SimSun" w:eastAsia="SimSun"/>
                      <w:b w:val="0"/>
                      <w:color w:val="000000"/>
                      <w:sz w:val="20"/>
                    </w:rPr>
                    <w:t>Accuracy</w:t>
                  </w:r>
                </w:p>
              </w:tc>
              <w:tc>
                <w:tcPr>
                  <w:tcW w:w="1074" w:type="dxa"/>
                  <w:tcBorders>
                    <w:top w:val="single" w:color="000000" w:sz="12" w:space="0"/>
                    <w:left w:val="nil"/>
                    <w:bottom w:val="single" w:color="000000" w:sz="4" w:space="0"/>
                    <w:right w:val="nil"/>
                  </w:tcBorders>
                  <w:shd w:val="clear" w:color="auto" w:fill="FFFFFF"/>
                </w:tcPr>
                <w:p w14:paraId="1110A2E1">
                  <w:pPr>
                    <w:jc w:val="center"/>
                    <w:rPr>
                      <w:b w:val="0"/>
                      <w:color w:val="000000"/>
                    </w:rPr>
                  </w:pPr>
                  <w:r>
                    <w:rPr>
                      <w:rFonts w:ascii="SimSun" w:hAnsi="SimSun" w:eastAsia="SimSun"/>
                      <w:b w:val="0"/>
                      <w:color w:val="000000"/>
                      <w:sz w:val="20"/>
                    </w:rPr>
                    <w:t>AUC</w:t>
                  </w:r>
                </w:p>
              </w:tc>
              <w:tc>
                <w:tcPr>
                  <w:tcW w:w="1074" w:type="dxa"/>
                  <w:tcBorders>
                    <w:top w:val="single" w:color="000000" w:sz="12" w:space="0"/>
                    <w:left w:val="nil"/>
                    <w:bottom w:val="single" w:color="000000" w:sz="4" w:space="0"/>
                    <w:right w:val="nil"/>
                  </w:tcBorders>
                  <w:shd w:val="clear" w:color="auto" w:fill="FFFFFF"/>
                </w:tcPr>
                <w:p w14:paraId="27B59547">
                  <w:pPr>
                    <w:jc w:val="center"/>
                    <w:rPr>
                      <w:b w:val="0"/>
                      <w:color w:val="000000"/>
                    </w:rPr>
                  </w:pPr>
                  <w:r>
                    <w:rPr>
                      <w:rFonts w:ascii="SimSun" w:hAnsi="SimSun" w:eastAsia="SimSun"/>
                      <w:b w:val="0"/>
                      <w:color w:val="000000"/>
                      <w:sz w:val="20"/>
                    </w:rPr>
                    <w:t>TN/FP/FN/TP</w:t>
                  </w:r>
                </w:p>
              </w:tc>
              <w:tc>
                <w:tcPr>
                  <w:tcW w:w="1074" w:type="dxa"/>
                  <w:tcBorders>
                    <w:top w:val="single" w:color="000000" w:sz="12" w:space="0"/>
                    <w:left w:val="nil"/>
                    <w:bottom w:val="single" w:color="000000" w:sz="4" w:space="0"/>
                    <w:right w:val="nil"/>
                  </w:tcBorders>
                  <w:shd w:val="clear" w:color="auto" w:fill="FFFFFF"/>
                </w:tcPr>
                <w:p w14:paraId="422D1A4B">
                  <w:pPr>
                    <w:jc w:val="center"/>
                    <w:rPr>
                      <w:b w:val="0"/>
                      <w:color w:val="000000"/>
                    </w:rPr>
                  </w:pPr>
                  <w:r>
                    <w:rPr>
                      <w:rFonts w:ascii="SimSun" w:hAnsi="SimSun" w:eastAsia="SimSun"/>
                      <w:b w:val="0"/>
                      <w:color w:val="000000"/>
                      <w:sz w:val="20"/>
                    </w:rPr>
                    <w:t>非零系数</w:t>
                  </w:r>
                </w:p>
              </w:tc>
            </w:tr>
            <w:tr w14:paraId="7080A492">
              <w:tblPrEx>
                <w:tblCellMar>
                  <w:top w:w="0" w:type="dxa"/>
                  <w:left w:w="10" w:type="dxa"/>
                  <w:bottom w:w="0" w:type="dxa"/>
                  <w:right w:w="10" w:type="dxa"/>
                </w:tblCellMar>
              </w:tblPrEx>
              <w:tc>
                <w:tcPr>
                  <w:tcW w:w="1074" w:type="dxa"/>
                  <w:tcBorders>
                    <w:top w:val="single" w:color="000000" w:sz="4" w:space="0"/>
                    <w:left w:val="nil"/>
                    <w:bottom w:val="nil"/>
                    <w:right w:val="nil"/>
                    <w:tl2br w:val="nil"/>
                  </w:tcBorders>
                  <w:shd w:val="clear" w:color="auto" w:fill="FFFFFF"/>
                </w:tcPr>
                <w:p w14:paraId="6F8D0C74">
                  <w:pPr>
                    <w:jc w:val="center"/>
                    <w:rPr>
                      <w:b w:val="0"/>
                      <w:color w:val="000000"/>
                    </w:rPr>
                  </w:pPr>
                  <w:r>
                    <w:rPr>
                      <w:rFonts w:ascii="SimSun" w:hAnsi="SimSun" w:eastAsia="SimSun"/>
                      <w:b w:val="0"/>
                      <w:color w:val="000000"/>
                      <w:sz w:val="20"/>
                    </w:rPr>
                    <w:t>SMOTE</w:t>
                  </w:r>
                </w:p>
              </w:tc>
              <w:tc>
                <w:tcPr>
                  <w:tcW w:w="1074" w:type="dxa"/>
                  <w:tcBorders>
                    <w:top w:val="single" w:color="000000" w:sz="4" w:space="0"/>
                    <w:left w:val="nil"/>
                    <w:bottom w:val="nil"/>
                    <w:right w:val="nil"/>
                  </w:tcBorders>
                  <w:shd w:val="clear" w:color="auto" w:fill="FFFFFF"/>
                </w:tcPr>
                <w:p w14:paraId="6892724A">
                  <w:pPr>
                    <w:jc w:val="center"/>
                    <w:rPr>
                      <w:b w:val="0"/>
                      <w:color w:val="000000"/>
                    </w:rPr>
                  </w:pPr>
                  <w:r>
                    <w:rPr>
                      <w:rFonts w:ascii="SimSun" w:hAnsi="SimSun" w:eastAsia="SimSun"/>
                      <w:b w:val="0"/>
                      <w:color w:val="000000"/>
                      <w:sz w:val="20"/>
                    </w:rPr>
                    <w:t>0.54</w:t>
                  </w:r>
                </w:p>
              </w:tc>
              <w:tc>
                <w:tcPr>
                  <w:tcW w:w="1074" w:type="dxa"/>
                  <w:tcBorders>
                    <w:top w:val="single" w:color="000000" w:sz="4" w:space="0"/>
                    <w:left w:val="nil"/>
                    <w:bottom w:val="nil"/>
                    <w:right w:val="nil"/>
                  </w:tcBorders>
                  <w:shd w:val="clear" w:color="auto" w:fill="FFFFFF"/>
                </w:tcPr>
                <w:p w14:paraId="7A277FBC">
                  <w:pPr>
                    <w:jc w:val="center"/>
                    <w:rPr>
                      <w:b w:val="0"/>
                      <w:color w:val="000000"/>
                    </w:rPr>
                  </w:pPr>
                  <w:r>
                    <w:rPr>
                      <w:rFonts w:ascii="SimSun" w:hAnsi="SimSun" w:eastAsia="SimSun"/>
                      <w:b w:val="0"/>
                      <w:color w:val="000000"/>
                      <w:sz w:val="20"/>
                    </w:rPr>
                    <w:t>0.83</w:t>
                  </w:r>
                </w:p>
              </w:tc>
              <w:tc>
                <w:tcPr>
                  <w:tcW w:w="1074" w:type="dxa"/>
                  <w:tcBorders>
                    <w:top w:val="single" w:color="000000" w:sz="4" w:space="0"/>
                    <w:left w:val="nil"/>
                    <w:bottom w:val="nil"/>
                    <w:right w:val="nil"/>
                  </w:tcBorders>
                  <w:shd w:val="clear" w:color="auto" w:fill="FFFFFF"/>
                </w:tcPr>
                <w:p w14:paraId="411DE034">
                  <w:pPr>
                    <w:jc w:val="center"/>
                    <w:rPr>
                      <w:b w:val="0"/>
                      <w:color w:val="000000"/>
                    </w:rPr>
                  </w:pPr>
                  <w:r>
                    <w:rPr>
                      <w:rFonts w:ascii="SimSun" w:hAnsi="SimSun" w:eastAsia="SimSun"/>
                      <w:b w:val="0"/>
                      <w:color w:val="000000"/>
                      <w:sz w:val="20"/>
                    </w:rPr>
                    <w:t>0.65</w:t>
                  </w:r>
                </w:p>
              </w:tc>
              <w:tc>
                <w:tcPr>
                  <w:tcW w:w="1074" w:type="dxa"/>
                  <w:tcBorders>
                    <w:top w:val="single" w:color="000000" w:sz="4" w:space="0"/>
                    <w:left w:val="nil"/>
                    <w:bottom w:val="nil"/>
                    <w:right w:val="nil"/>
                  </w:tcBorders>
                  <w:shd w:val="clear" w:color="auto" w:fill="FFFFFF"/>
                </w:tcPr>
                <w:p w14:paraId="07E2F5F9">
                  <w:pPr>
                    <w:jc w:val="center"/>
                    <w:rPr>
                      <w:b w:val="0"/>
                      <w:color w:val="000000"/>
                    </w:rPr>
                  </w:pPr>
                  <w:r>
                    <w:rPr>
                      <w:rFonts w:ascii="SimSun" w:hAnsi="SimSun" w:eastAsia="SimSun"/>
                      <w:b w:val="0"/>
                      <w:color w:val="000000"/>
                      <w:sz w:val="20"/>
                    </w:rPr>
                    <w:t>90.0%</w:t>
                  </w:r>
                </w:p>
              </w:tc>
              <w:tc>
                <w:tcPr>
                  <w:tcW w:w="1074" w:type="dxa"/>
                  <w:tcBorders>
                    <w:top w:val="single" w:color="000000" w:sz="4" w:space="0"/>
                    <w:left w:val="nil"/>
                    <w:bottom w:val="nil"/>
                    <w:right w:val="nil"/>
                  </w:tcBorders>
                  <w:shd w:val="clear" w:color="auto" w:fill="FFFFFF"/>
                </w:tcPr>
                <w:p w14:paraId="373B6E95">
                  <w:pPr>
                    <w:jc w:val="center"/>
                    <w:rPr>
                      <w:b w:val="0"/>
                      <w:color w:val="000000"/>
                    </w:rPr>
                  </w:pPr>
                  <w:r>
                    <w:rPr>
                      <w:rFonts w:ascii="SimSun" w:hAnsi="SimSun" w:eastAsia="SimSun"/>
                      <w:b w:val="0"/>
                      <w:color w:val="000000"/>
                      <w:sz w:val="20"/>
                    </w:rPr>
                    <w:t>0.9499</w:t>
                  </w:r>
                </w:p>
              </w:tc>
              <w:tc>
                <w:tcPr>
                  <w:tcW w:w="1074" w:type="dxa"/>
                  <w:tcBorders>
                    <w:top w:val="single" w:color="000000" w:sz="4" w:space="0"/>
                    <w:left w:val="nil"/>
                    <w:bottom w:val="nil"/>
                    <w:right w:val="nil"/>
                  </w:tcBorders>
                  <w:shd w:val="clear" w:color="auto" w:fill="FFFFFF"/>
                </w:tcPr>
                <w:p w14:paraId="3595BE9B">
                  <w:pPr>
                    <w:jc w:val="center"/>
                    <w:rPr>
                      <w:b w:val="0"/>
                      <w:color w:val="000000"/>
                    </w:rPr>
                  </w:pPr>
                  <w:r>
                    <w:rPr>
                      <w:rFonts w:ascii="SimSun" w:hAnsi="SimSun" w:eastAsia="SimSun"/>
                      <w:b w:val="0"/>
                      <w:color w:val="000000"/>
                      <w:sz w:val="20"/>
                    </w:rPr>
                    <w:t>6649/661/162/766</w:t>
                  </w:r>
                </w:p>
              </w:tc>
              <w:tc>
                <w:tcPr>
                  <w:tcW w:w="1074" w:type="dxa"/>
                  <w:tcBorders>
                    <w:top w:val="single" w:color="000000" w:sz="4" w:space="0"/>
                    <w:left w:val="nil"/>
                    <w:bottom w:val="nil"/>
                    <w:right w:val="nil"/>
                  </w:tcBorders>
                  <w:shd w:val="clear" w:color="auto" w:fill="FFFFFF"/>
                </w:tcPr>
                <w:p w14:paraId="47160D3F">
                  <w:pPr>
                    <w:jc w:val="center"/>
                    <w:rPr>
                      <w:b w:val="0"/>
                      <w:color w:val="000000"/>
                    </w:rPr>
                  </w:pPr>
                  <w:r>
                    <w:rPr>
                      <w:rFonts w:ascii="SimSun" w:hAnsi="SimSun" w:eastAsia="SimSun"/>
                      <w:b w:val="0"/>
                      <w:color w:val="000000"/>
                      <w:sz w:val="20"/>
                    </w:rPr>
                    <w:t>178</w:t>
                  </w:r>
                </w:p>
              </w:tc>
            </w:tr>
            <w:tr w14:paraId="278AABEF">
              <w:tblPrEx>
                <w:tblCellMar>
                  <w:top w:w="0" w:type="dxa"/>
                  <w:left w:w="10" w:type="dxa"/>
                  <w:bottom w:w="0" w:type="dxa"/>
                  <w:right w:w="10" w:type="dxa"/>
                </w:tblCellMar>
              </w:tblPrEx>
              <w:tc>
                <w:tcPr>
                  <w:tcW w:w="1074" w:type="dxa"/>
                  <w:tcBorders>
                    <w:top w:val="nil"/>
                    <w:left w:val="nil"/>
                    <w:bottom w:val="nil"/>
                    <w:right w:val="nil"/>
                  </w:tcBorders>
                  <w:shd w:val="clear" w:color="auto" w:fill="FFFFFF"/>
                </w:tcPr>
                <w:p w14:paraId="23AFD864">
                  <w:pPr>
                    <w:jc w:val="center"/>
                    <w:rPr>
                      <w:b w:val="0"/>
                      <w:color w:val="000000"/>
                    </w:rPr>
                  </w:pPr>
                  <w:r>
                    <w:rPr>
                      <w:rFonts w:ascii="SimSun" w:hAnsi="SimSun" w:eastAsia="SimSun"/>
                      <w:b w:val="0"/>
                      <w:color w:val="000000"/>
                      <w:sz w:val="20"/>
                    </w:rPr>
                    <w:t>UnderSample</w:t>
                  </w:r>
                </w:p>
              </w:tc>
              <w:tc>
                <w:tcPr>
                  <w:tcW w:w="1074" w:type="dxa"/>
                  <w:tcBorders>
                    <w:top w:val="nil"/>
                    <w:left w:val="nil"/>
                    <w:bottom w:val="nil"/>
                    <w:right w:val="nil"/>
                  </w:tcBorders>
                  <w:shd w:val="clear" w:color="auto" w:fill="FFFFFF"/>
                </w:tcPr>
                <w:p w14:paraId="5DAEF3A1">
                  <w:pPr>
                    <w:jc w:val="center"/>
                    <w:rPr>
                      <w:b w:val="0"/>
                      <w:color w:val="000000"/>
                    </w:rPr>
                  </w:pPr>
                  <w:r>
                    <w:rPr>
                      <w:rFonts w:ascii="SimSun" w:hAnsi="SimSun" w:eastAsia="SimSun"/>
                      <w:b w:val="0"/>
                      <w:color w:val="000000"/>
                      <w:sz w:val="20"/>
                    </w:rPr>
                    <w:t>0.43</w:t>
                  </w:r>
                </w:p>
              </w:tc>
              <w:tc>
                <w:tcPr>
                  <w:tcW w:w="1074" w:type="dxa"/>
                  <w:tcBorders>
                    <w:top w:val="nil"/>
                    <w:left w:val="nil"/>
                    <w:bottom w:val="nil"/>
                    <w:right w:val="nil"/>
                  </w:tcBorders>
                  <w:shd w:val="clear" w:color="auto" w:fill="FFFFFF"/>
                </w:tcPr>
                <w:p w14:paraId="5B5E2668">
                  <w:pPr>
                    <w:jc w:val="center"/>
                    <w:rPr>
                      <w:b w:val="0"/>
                      <w:color w:val="000000"/>
                    </w:rPr>
                  </w:pPr>
                  <w:r>
                    <w:rPr>
                      <w:rFonts w:ascii="SimSun" w:hAnsi="SimSun" w:eastAsia="SimSun"/>
                      <w:b w:val="0"/>
                      <w:color w:val="000000"/>
                      <w:sz w:val="20"/>
                    </w:rPr>
                    <w:t>0.94</w:t>
                  </w:r>
                </w:p>
              </w:tc>
              <w:tc>
                <w:tcPr>
                  <w:tcW w:w="1074" w:type="dxa"/>
                  <w:tcBorders>
                    <w:top w:val="nil"/>
                    <w:left w:val="nil"/>
                    <w:bottom w:val="nil"/>
                    <w:right w:val="nil"/>
                  </w:tcBorders>
                  <w:shd w:val="clear" w:color="auto" w:fill="FFFFFF"/>
                </w:tcPr>
                <w:p w14:paraId="240253FD">
                  <w:pPr>
                    <w:jc w:val="center"/>
                    <w:rPr>
                      <w:b w:val="0"/>
                      <w:color w:val="000000"/>
                    </w:rPr>
                  </w:pPr>
                  <w:r>
                    <w:rPr>
                      <w:rFonts w:ascii="SimSun" w:hAnsi="SimSun" w:eastAsia="SimSun"/>
                      <w:b w:val="0"/>
                      <w:color w:val="000000"/>
                      <w:sz w:val="20"/>
                    </w:rPr>
                    <w:t>0.59</w:t>
                  </w:r>
                </w:p>
              </w:tc>
              <w:tc>
                <w:tcPr>
                  <w:tcW w:w="1074" w:type="dxa"/>
                  <w:tcBorders>
                    <w:top w:val="nil"/>
                    <w:left w:val="nil"/>
                    <w:bottom w:val="nil"/>
                    <w:right w:val="nil"/>
                  </w:tcBorders>
                  <w:shd w:val="clear" w:color="auto" w:fill="FFFFFF"/>
                </w:tcPr>
                <w:p w14:paraId="3D0E5BC3">
                  <w:pPr>
                    <w:jc w:val="center"/>
                    <w:rPr>
                      <w:b w:val="0"/>
                      <w:color w:val="000000"/>
                    </w:rPr>
                  </w:pPr>
                  <w:r>
                    <w:rPr>
                      <w:rFonts w:ascii="SimSun" w:hAnsi="SimSun" w:eastAsia="SimSun"/>
                      <w:b w:val="0"/>
                      <w:color w:val="000000"/>
                      <w:sz w:val="20"/>
                    </w:rPr>
                    <w:t>85.0%</w:t>
                  </w:r>
                </w:p>
              </w:tc>
              <w:tc>
                <w:tcPr>
                  <w:tcW w:w="1074" w:type="dxa"/>
                  <w:tcBorders>
                    <w:top w:val="nil"/>
                    <w:left w:val="nil"/>
                    <w:bottom w:val="nil"/>
                    <w:right w:val="nil"/>
                  </w:tcBorders>
                  <w:shd w:val="clear" w:color="auto" w:fill="FFFFFF"/>
                </w:tcPr>
                <w:p w14:paraId="5FDBB566">
                  <w:pPr>
                    <w:jc w:val="center"/>
                    <w:rPr>
                      <w:b w:val="0"/>
                      <w:color w:val="000000"/>
                    </w:rPr>
                  </w:pPr>
                  <w:r>
                    <w:rPr>
                      <w:rFonts w:ascii="SimSun" w:hAnsi="SimSun" w:eastAsia="SimSun"/>
                      <w:b w:val="0"/>
                      <w:color w:val="000000"/>
                      <w:sz w:val="20"/>
                    </w:rPr>
                    <w:t>0.9488</w:t>
                  </w:r>
                </w:p>
              </w:tc>
              <w:tc>
                <w:tcPr>
                  <w:tcW w:w="1074" w:type="dxa"/>
                  <w:tcBorders>
                    <w:top w:val="nil"/>
                    <w:left w:val="nil"/>
                    <w:bottom w:val="nil"/>
                    <w:right w:val="nil"/>
                  </w:tcBorders>
                  <w:shd w:val="clear" w:color="auto" w:fill="FFFFFF"/>
                </w:tcPr>
                <w:p w14:paraId="2082CDCC">
                  <w:pPr>
                    <w:jc w:val="center"/>
                    <w:rPr>
                      <w:b w:val="0"/>
                      <w:color w:val="000000"/>
                    </w:rPr>
                  </w:pPr>
                  <w:r>
                    <w:rPr>
                      <w:rFonts w:ascii="SimSun" w:hAnsi="SimSun" w:eastAsia="SimSun"/>
                      <w:b w:val="0"/>
                      <w:color w:val="000000"/>
                      <w:sz w:val="20"/>
                    </w:rPr>
                    <w:t>6161/1149/58/870</w:t>
                  </w:r>
                </w:p>
              </w:tc>
              <w:tc>
                <w:tcPr>
                  <w:tcW w:w="1074" w:type="dxa"/>
                  <w:tcBorders>
                    <w:top w:val="nil"/>
                    <w:left w:val="nil"/>
                    <w:bottom w:val="nil"/>
                    <w:right w:val="nil"/>
                  </w:tcBorders>
                  <w:shd w:val="clear" w:color="auto" w:fill="FFFFFF"/>
                </w:tcPr>
                <w:p w14:paraId="7178BD4B">
                  <w:pPr>
                    <w:jc w:val="center"/>
                    <w:rPr>
                      <w:b w:val="0"/>
                      <w:color w:val="000000"/>
                    </w:rPr>
                  </w:pPr>
                  <w:r>
                    <w:rPr>
                      <w:rFonts w:ascii="SimSun" w:hAnsi="SimSun" w:eastAsia="SimSun"/>
                      <w:b w:val="0"/>
                      <w:color w:val="000000"/>
                      <w:sz w:val="20"/>
                    </w:rPr>
                    <w:t>56</w:t>
                  </w:r>
                </w:p>
              </w:tc>
            </w:tr>
            <w:tr w14:paraId="44538811">
              <w:tc>
                <w:tcPr>
                  <w:tcW w:w="1074" w:type="dxa"/>
                  <w:tcBorders>
                    <w:top w:val="nil"/>
                    <w:left w:val="nil"/>
                    <w:bottom w:val="nil"/>
                    <w:right w:val="nil"/>
                  </w:tcBorders>
                  <w:shd w:val="clear" w:color="auto" w:fill="FFFFFF"/>
                </w:tcPr>
                <w:p w14:paraId="388796A8">
                  <w:pPr>
                    <w:jc w:val="center"/>
                    <w:rPr>
                      <w:b w:val="0"/>
                      <w:color w:val="000000"/>
                    </w:rPr>
                  </w:pPr>
                  <w:r>
                    <w:rPr>
                      <w:rFonts w:ascii="SimSun" w:hAnsi="SimSun" w:eastAsia="SimSun"/>
                      <w:b w:val="0"/>
                      <w:color w:val="000000"/>
                      <w:sz w:val="20"/>
                    </w:rPr>
                    <w:t>ClassWeight</w:t>
                  </w:r>
                </w:p>
              </w:tc>
              <w:tc>
                <w:tcPr>
                  <w:tcW w:w="1074" w:type="dxa"/>
                  <w:tcBorders>
                    <w:top w:val="nil"/>
                    <w:left w:val="nil"/>
                    <w:bottom w:val="nil"/>
                    <w:right w:val="nil"/>
                  </w:tcBorders>
                  <w:shd w:val="clear" w:color="auto" w:fill="FFFFFF"/>
                </w:tcPr>
                <w:p w14:paraId="2E69C659">
                  <w:pPr>
                    <w:jc w:val="center"/>
                    <w:rPr>
                      <w:b w:val="0"/>
                      <w:color w:val="000000"/>
                    </w:rPr>
                  </w:pPr>
                  <w:r>
                    <w:rPr>
                      <w:rFonts w:ascii="SimSun" w:hAnsi="SimSun" w:eastAsia="SimSun"/>
                      <w:b w:val="0"/>
                      <w:color w:val="000000"/>
                      <w:sz w:val="20"/>
                    </w:rPr>
                    <w:t>0.43</w:t>
                  </w:r>
                </w:p>
              </w:tc>
              <w:tc>
                <w:tcPr>
                  <w:tcW w:w="1074" w:type="dxa"/>
                  <w:tcBorders>
                    <w:top w:val="nil"/>
                    <w:left w:val="nil"/>
                    <w:bottom w:val="nil"/>
                    <w:right w:val="nil"/>
                  </w:tcBorders>
                  <w:shd w:val="clear" w:color="auto" w:fill="FFFFFF"/>
                </w:tcPr>
                <w:p w14:paraId="7A7C110F">
                  <w:pPr>
                    <w:jc w:val="center"/>
                    <w:rPr>
                      <w:b w:val="0"/>
                      <w:color w:val="000000"/>
                    </w:rPr>
                  </w:pPr>
                  <w:r>
                    <w:rPr>
                      <w:rFonts w:ascii="SimSun" w:hAnsi="SimSun" w:eastAsia="SimSun"/>
                      <w:b w:val="0"/>
                      <w:color w:val="000000"/>
                      <w:sz w:val="20"/>
                    </w:rPr>
                    <w:t>0.95</w:t>
                  </w:r>
                </w:p>
              </w:tc>
              <w:tc>
                <w:tcPr>
                  <w:tcW w:w="1074" w:type="dxa"/>
                  <w:tcBorders>
                    <w:top w:val="nil"/>
                    <w:left w:val="nil"/>
                    <w:bottom w:val="nil"/>
                    <w:right w:val="nil"/>
                  </w:tcBorders>
                  <w:shd w:val="clear" w:color="auto" w:fill="FFFFFF"/>
                </w:tcPr>
                <w:p w14:paraId="12FEF877">
                  <w:pPr>
                    <w:jc w:val="center"/>
                    <w:rPr>
                      <w:b w:val="0"/>
                      <w:color w:val="000000"/>
                    </w:rPr>
                  </w:pPr>
                  <w:r>
                    <w:rPr>
                      <w:rFonts w:ascii="SimSun" w:hAnsi="SimSun" w:eastAsia="SimSun"/>
                      <w:b w:val="0"/>
                      <w:color w:val="000000"/>
                      <w:sz w:val="20"/>
                    </w:rPr>
                    <w:t>0.59</w:t>
                  </w:r>
                </w:p>
              </w:tc>
              <w:tc>
                <w:tcPr>
                  <w:tcW w:w="1074" w:type="dxa"/>
                  <w:tcBorders>
                    <w:top w:val="nil"/>
                    <w:left w:val="nil"/>
                    <w:bottom w:val="nil"/>
                    <w:right w:val="nil"/>
                  </w:tcBorders>
                  <w:shd w:val="clear" w:color="auto" w:fill="FFFFFF"/>
                </w:tcPr>
                <w:p w14:paraId="512A7228">
                  <w:pPr>
                    <w:jc w:val="center"/>
                    <w:rPr>
                      <w:b w:val="0"/>
                      <w:color w:val="000000"/>
                    </w:rPr>
                  </w:pPr>
                  <w:r>
                    <w:rPr>
                      <w:rFonts w:ascii="SimSun" w:hAnsi="SimSun" w:eastAsia="SimSun"/>
                      <w:b w:val="0"/>
                      <w:color w:val="000000"/>
                      <w:sz w:val="20"/>
                    </w:rPr>
                    <w:t>85.0%</w:t>
                  </w:r>
                </w:p>
              </w:tc>
              <w:tc>
                <w:tcPr>
                  <w:tcW w:w="1074" w:type="dxa"/>
                  <w:tcBorders>
                    <w:top w:val="nil"/>
                    <w:left w:val="nil"/>
                    <w:bottom w:val="nil"/>
                    <w:right w:val="nil"/>
                  </w:tcBorders>
                  <w:shd w:val="clear" w:color="auto" w:fill="FFFFFF"/>
                </w:tcPr>
                <w:p w14:paraId="115B38E3">
                  <w:pPr>
                    <w:jc w:val="center"/>
                    <w:rPr>
                      <w:b w:val="0"/>
                      <w:color w:val="000000"/>
                    </w:rPr>
                  </w:pPr>
                  <w:r>
                    <w:rPr>
                      <w:rFonts w:ascii="SimSun" w:hAnsi="SimSun" w:eastAsia="SimSun"/>
                      <w:b w:val="0"/>
                      <w:color w:val="000000"/>
                      <w:sz w:val="20"/>
                    </w:rPr>
                    <w:t>0.9503</w:t>
                  </w:r>
                </w:p>
              </w:tc>
              <w:tc>
                <w:tcPr>
                  <w:tcW w:w="1074" w:type="dxa"/>
                  <w:tcBorders>
                    <w:top w:val="nil"/>
                    <w:left w:val="nil"/>
                    <w:bottom w:val="nil"/>
                    <w:right w:val="nil"/>
                  </w:tcBorders>
                  <w:shd w:val="clear" w:color="auto" w:fill="FFFFFF"/>
                </w:tcPr>
                <w:p w14:paraId="18643A5C">
                  <w:pPr>
                    <w:jc w:val="center"/>
                    <w:rPr>
                      <w:b w:val="0"/>
                      <w:color w:val="000000"/>
                    </w:rPr>
                  </w:pPr>
                  <w:r>
                    <w:rPr>
                      <w:rFonts w:ascii="SimSun" w:hAnsi="SimSun" w:eastAsia="SimSun"/>
                      <w:b w:val="0"/>
                      <w:color w:val="000000"/>
                      <w:sz w:val="20"/>
                    </w:rPr>
                    <w:t>6142/1168/50/878</w:t>
                  </w:r>
                </w:p>
              </w:tc>
              <w:tc>
                <w:tcPr>
                  <w:tcW w:w="1074" w:type="dxa"/>
                  <w:tcBorders>
                    <w:top w:val="nil"/>
                    <w:left w:val="nil"/>
                    <w:bottom w:val="nil"/>
                    <w:right w:val="nil"/>
                  </w:tcBorders>
                  <w:shd w:val="clear" w:color="auto" w:fill="FFFFFF"/>
                </w:tcPr>
                <w:p w14:paraId="39D7CDEB">
                  <w:pPr>
                    <w:jc w:val="center"/>
                    <w:rPr>
                      <w:b w:val="0"/>
                      <w:color w:val="000000"/>
                    </w:rPr>
                  </w:pPr>
                  <w:r>
                    <w:rPr>
                      <w:rFonts w:ascii="SimSun" w:hAnsi="SimSun" w:eastAsia="SimSun"/>
                      <w:b w:val="0"/>
                      <w:color w:val="000000"/>
                      <w:sz w:val="20"/>
                    </w:rPr>
                    <w:t>108</w:t>
                  </w:r>
                </w:p>
              </w:tc>
            </w:tr>
            <w:tr w14:paraId="08966DA2">
              <w:tblPrEx>
                <w:tblCellMar>
                  <w:top w:w="0" w:type="dxa"/>
                  <w:left w:w="10" w:type="dxa"/>
                  <w:bottom w:w="0" w:type="dxa"/>
                  <w:right w:w="10" w:type="dxa"/>
                </w:tblCellMar>
              </w:tblPrEx>
              <w:tc>
                <w:tcPr>
                  <w:tcW w:w="8592" w:type="dxa"/>
                  <w:gridSpan w:val="8"/>
                  <w:tcBorders>
                    <w:top w:val="nil"/>
                    <w:left w:val="nil"/>
                    <w:bottom w:val="single" w:color="000000" w:sz="12" w:space="0"/>
                    <w:right w:val="nil"/>
                  </w:tcBorders>
                  <w:shd w:val="clear" w:color="auto" w:fill="FFFFFF"/>
                </w:tcPr>
                <w:p w14:paraId="4F64AA97">
                  <w:pPr>
                    <w:rPr>
                      <w:rFonts w:ascii="SimSun" w:hAnsi="SimSun" w:eastAsia="SimSun"/>
                      <w:b w:val="0"/>
                      <w:color w:val="000000"/>
                      <w:sz w:val="18"/>
                    </w:rPr>
                  </w:pPr>
                  <w:r>
                    <w:rPr>
                      <w:rFonts w:ascii="SimSun" w:hAnsi="SimSun" w:eastAsia="SimSun"/>
                      <w:b w:val="0"/>
                      <w:color w:val="000000"/>
                      <w:sz w:val="18"/>
                    </w:rPr>
                    <w:t>注：Yes类=已订阅正样本，测试集中support=928；非零系数数量反映L1正则的稀疏程度</w:t>
                  </w:r>
                </w:p>
                <w:p w14:paraId="15CD04A2">
                  <w:pPr>
                    <w:rPr>
                      <w:b w:val="0"/>
                      <w:color w:val="000000"/>
                    </w:rPr>
                  </w:pPr>
                  <w:r>
                    <w:rPr>
                      <w:rFonts w:ascii="SimSun" w:hAnsi="SimSun" w:eastAsia="SimSun"/>
                      <w:b w:val="0"/>
                      <w:color w:val="000000"/>
                      <w:sz w:val="18"/>
                    </w:rPr>
                    <w:t>（178总特征中的有效特征数）。</w:t>
                  </w:r>
                </w:p>
              </w:tc>
            </w:tr>
          </w:tbl>
          <w:tbl>
            <w:tblPr>
              <w:tblW w:type="auto" w:w="0"/>
              <w:tblLook w:firstColumn="1" w:firstRow="1" w:lastColumn="0" w:lastRow="0" w:noHBand="0" w:noVBand="1" w:val="04A0"/>
            </w:tblPr>
            <w:tblGrid>
              <w:gridCol w:w="1432"/>
              <w:gridCol w:w="1432"/>
              <w:gridCol w:w="1432"/>
              <w:gridCol w:w="1432"/>
              <w:gridCol w:w="1432"/>
              <w:gridCol w:w="1432"/>
            </w:tblGrid>
            <w:tr>
              <w:tc>
                <w:tcPr>
                  <w:tcW w:type="dxa" w:w="1432"/>
                </w:tcPr>
                <w:p>
                  <w:pPr>
                    <w:jc w:val="center"/>
                  </w:pPr>
                  <w:r>
                    <w:rPr>
                      <w:rFonts w:eastAsia="宋体"/>
                      <w:rFonts w:ascii="宋体" w:hAnsi="宋体"/>
                      <w:b/>
                      <w:sz w:val="20"/>
                    </w:rPr>
                    <w:t>迭代版本</w:t>
                  </w:r>
                </w:p>
              </w:tc>
              <w:tc>
                <w:tcPr>
                  <w:tcW w:type="dxa" w:w="1432"/>
                </w:tcPr>
                <w:p>
                  <w:pPr>
                    <w:jc w:val="center"/>
                  </w:pPr>
                  <w:r>
                    <w:rPr>
                      <w:rFonts w:eastAsia="宋体"/>
                      <w:rFonts w:ascii="宋体" w:hAnsi="宋体"/>
                      <w:b/>
                      <w:sz w:val="20"/>
                    </w:rPr>
                    <w:t>核心改进内容</w:t>
                  </w:r>
                </w:p>
              </w:tc>
              <w:tc>
                <w:tcPr>
                  <w:tcW w:type="dxa" w:w="1432"/>
                </w:tcPr>
                <w:p>
                  <w:pPr>
                    <w:jc w:val="center"/>
                  </w:pPr>
                  <w:r>
                    <w:rPr>
                      <w:rFonts w:eastAsia="宋体"/>
                      <w:rFonts w:ascii="宋体" w:hAnsi="宋体"/>
                      <w:b/>
                      <w:sz w:val="20"/>
                    </w:rPr>
                    <w:t>特征维度</w:t>
                  </w:r>
                </w:p>
              </w:tc>
              <w:tc>
                <w:tcPr>
                  <w:tcW w:type="dxa" w:w="1432"/>
                </w:tcPr>
                <w:p>
                  <w:pPr>
                    <w:jc w:val="center"/>
                  </w:pPr>
                  <w:r>
                    <w:rPr>
                      <w:rFonts w:eastAsia="宋体"/>
                      <w:rFonts w:ascii="宋体" w:hAnsi="宋体"/>
                      <w:b/>
                      <w:sz w:val="20"/>
                    </w:rPr>
                    <w:t>SMOTE-AUC</w:t>
                  </w:r>
                </w:p>
              </w:tc>
              <w:tc>
                <w:tcPr>
                  <w:tcW w:type="dxa" w:w="1432"/>
                </w:tcPr>
                <w:p>
                  <w:pPr>
                    <w:jc w:val="center"/>
                  </w:pPr>
                  <w:r>
                    <w:rPr>
                      <w:rFonts w:eastAsia="宋体"/>
                      <w:rFonts w:ascii="宋体" w:hAnsi="宋体"/>
                      <w:b/>
                      <w:sz w:val="20"/>
                    </w:rPr>
                    <w:t>RUS-AUC</w:t>
                  </w:r>
                </w:p>
              </w:tc>
              <w:tc>
                <w:tcPr>
                  <w:tcW w:type="dxa" w:w="1432"/>
                </w:tcPr>
                <w:p>
                  <w:pPr>
                    <w:jc w:val="center"/>
                  </w:pPr>
                  <w:r>
                    <w:rPr>
                      <w:rFonts w:eastAsia="宋体"/>
                      <w:rFonts w:ascii="宋体" w:hAnsi="宋体"/>
                      <w:b/>
                      <w:sz w:val="20"/>
                    </w:rPr>
                    <w:t>CW-AUC</w:t>
                  </w:r>
                </w:p>
              </w:tc>
            </w:tr>
            <w:tr>
              <w:tc>
                <w:tcPr>
                  <w:tcW w:type="dxa" w:w="1432"/>
                </w:tcPr>
                <w:p>
                  <w:pPr>
                    <w:jc w:val="center"/>
                  </w:pPr>
                  <w:r>
                    <w:rPr>
                      <w:rFonts w:eastAsia="宋体"/>
                      <w:rFonts w:ascii="宋体" w:hAnsi="宋体"/>
                      <w:b w:val="0"/>
                      <w:sz w:val="20"/>
                    </w:rPr>
                    <w:t>迭代1（基础版）</w:t>
                  </w:r>
                </w:p>
              </w:tc>
              <w:tc>
                <w:tcPr>
                  <w:tcW w:type="dxa" w:w="1432"/>
                </w:tcPr>
                <w:p>
                  <w:pPr>
                    <w:jc w:val="center"/>
                  </w:pPr>
                  <w:r>
                    <w:rPr>
                      <w:rFonts w:eastAsia="宋体"/>
                      <w:rFonts w:ascii="宋体" w:hAnsi="宋体"/>
                      <w:b w:val="0"/>
                      <w:sz w:val="20"/>
                    </w:rPr>
                    <w:t>OHE+StandardScaler，无衍生特征</w:t>
                  </w:r>
                </w:p>
              </w:tc>
              <w:tc>
                <w:tcPr>
                  <w:tcW w:type="dxa" w:w="1432"/>
                </w:tcPr>
                <w:p>
                  <w:pPr>
                    <w:jc w:val="center"/>
                  </w:pPr>
                  <w:r>
                    <w:rPr>
                      <w:rFonts w:eastAsia="宋体"/>
                      <w:rFonts w:ascii="宋体" w:hAnsi="宋体"/>
                      <w:b w:val="0"/>
                      <w:sz w:val="20"/>
                    </w:rPr>
                    <w:t>58</w:t>
                  </w:r>
                </w:p>
              </w:tc>
              <w:tc>
                <w:tcPr>
                  <w:tcW w:type="dxa" w:w="1432"/>
                </w:tcPr>
                <w:p>
                  <w:pPr>
                    <w:jc w:val="center"/>
                  </w:pPr>
                  <w:r>
                    <w:rPr>
                      <w:rFonts w:eastAsia="宋体"/>
                      <w:rFonts w:ascii="宋体" w:hAnsi="宋体"/>
                      <w:b w:val="0"/>
                      <w:sz w:val="20"/>
                    </w:rPr>
                    <w:t>0.9436</w:t>
                  </w:r>
                </w:p>
              </w:tc>
              <w:tc>
                <w:tcPr>
                  <w:tcW w:type="dxa" w:w="1432"/>
                </w:tcPr>
                <w:p>
                  <w:pPr>
                    <w:jc w:val="center"/>
                  </w:pPr>
                  <w:r>
                    <w:rPr>
                      <w:rFonts w:eastAsia="宋体"/>
                      <w:rFonts w:ascii="宋体" w:hAnsi="宋体"/>
                      <w:b w:val="0"/>
                      <w:sz w:val="20"/>
                    </w:rPr>
                    <w:t>0.9438</w:t>
                  </w:r>
                </w:p>
              </w:tc>
              <w:tc>
                <w:tcPr>
                  <w:tcW w:type="dxa" w:w="1432"/>
                </w:tcPr>
                <w:p>
                  <w:pPr>
                    <w:jc w:val="center"/>
                  </w:pPr>
                  <w:r>
                    <w:rPr>
                      <w:rFonts w:eastAsia="宋体"/>
                      <w:rFonts w:ascii="宋体" w:hAnsi="宋体"/>
                      <w:b w:val="0"/>
                      <w:sz w:val="20"/>
                    </w:rPr>
                    <w:t>0.9442</w:t>
                  </w:r>
                </w:p>
              </w:tc>
            </w:tr>
            <w:tr>
              <w:tc>
                <w:tcPr>
                  <w:tcW w:type="dxa" w:w="1432"/>
                </w:tcPr>
                <w:p>
                  <w:pPr>
                    <w:jc w:val="center"/>
                  </w:pPr>
                  <w:r>
                    <w:rPr>
                      <w:rFonts w:eastAsia="宋体"/>
                      <w:rFonts w:ascii="宋体" w:hAnsi="宋体"/>
                      <w:b w:val="0"/>
                      <w:sz w:val="20"/>
                    </w:rPr>
                    <w:t>迭代2（衍生特征）</w:t>
                  </w:r>
                </w:p>
              </w:tc>
              <w:tc>
                <w:tcPr>
                  <w:tcW w:type="dxa" w:w="1432"/>
                </w:tcPr>
                <w:p>
                  <w:pPr>
                    <w:jc w:val="center"/>
                  </w:pPr>
                  <w:r>
                    <w:rPr>
                      <w:rFonts w:eastAsia="宋体"/>
                      <w:rFonts w:ascii="宋体" w:hAnsi="宋体"/>
                      <w:b w:val="0"/>
                      <w:sz w:val="20"/>
                    </w:rPr>
                    <w:t>+previously_contacted, +log_duration, pdays修正</w:t>
                  </w:r>
                </w:p>
              </w:tc>
              <w:tc>
                <w:tcPr>
                  <w:tcW w:type="dxa" w:w="1432"/>
                </w:tcPr>
                <w:p>
                  <w:pPr>
                    <w:jc w:val="center"/>
                  </w:pPr>
                  <w:r>
                    <w:rPr>
                      <w:rFonts w:eastAsia="宋体"/>
                      <w:rFonts w:ascii="宋体" w:hAnsi="宋体"/>
                      <w:b w:val="0"/>
                      <w:sz w:val="20"/>
                    </w:rPr>
                    <w:t>60</w:t>
                  </w:r>
                </w:p>
              </w:tc>
              <w:tc>
                <w:tcPr>
                  <w:tcW w:type="dxa" w:w="1432"/>
                </w:tcPr>
                <w:p>
                  <w:pPr>
                    <w:jc w:val="center"/>
                  </w:pPr>
                  <w:r>
                    <w:rPr>
                      <w:rFonts w:eastAsia="宋体"/>
                      <w:rFonts w:ascii="宋体" w:hAnsi="宋体"/>
                      <w:b w:val="0"/>
                      <w:sz w:val="20"/>
                    </w:rPr>
                    <w:t>0.9443</w:t>
                  </w:r>
                </w:p>
              </w:tc>
              <w:tc>
                <w:tcPr>
                  <w:tcW w:type="dxa" w:w="1432"/>
                </w:tcPr>
                <w:p>
                  <w:pPr>
                    <w:jc w:val="center"/>
                  </w:pPr>
                  <w:r>
                    <w:rPr>
                      <w:rFonts w:eastAsia="宋体"/>
                      <w:rFonts w:ascii="宋体" w:hAnsi="宋体"/>
                      <w:b w:val="0"/>
                      <w:sz w:val="20"/>
                    </w:rPr>
                    <w:t>0.9449</w:t>
                  </w:r>
                </w:p>
              </w:tc>
              <w:tc>
                <w:tcPr>
                  <w:tcW w:type="dxa" w:w="1432"/>
                </w:tcPr>
                <w:p>
                  <w:pPr>
                    <w:jc w:val="center"/>
                  </w:pPr>
                  <w:r>
                    <w:rPr>
                      <w:rFonts w:eastAsia="宋体"/>
                      <w:rFonts w:ascii="宋体" w:hAnsi="宋体"/>
                      <w:b w:val="0"/>
                      <w:sz w:val="20"/>
                    </w:rPr>
                    <w:t>0.9446</w:t>
                  </w:r>
                </w:p>
              </w:tc>
            </w:tr>
            <w:tr>
              <w:tc>
                <w:tcPr>
                  <w:tcW w:type="dxa" w:w="1432"/>
                </w:tcPr>
                <w:p>
                  <w:pPr>
                    <w:jc w:val="center"/>
                  </w:pPr>
                  <w:r>
                    <w:rPr>
                      <w:rFonts w:eastAsia="宋体"/>
                      <w:rFonts w:ascii="宋体" w:hAnsi="宋体"/>
                      <w:b w:val="0"/>
                      <w:sz w:val="20"/>
                    </w:rPr>
                    <w:t>迭代3（最终版）</w:t>
                  </w:r>
                </w:p>
              </w:tc>
              <w:tc>
                <w:tcPr>
                  <w:tcW w:type="dxa" w:w="1432"/>
                </w:tcPr>
                <w:p>
                  <w:pPr>
                    <w:jc w:val="center"/>
                  </w:pPr>
                  <w:r>
                    <w:rPr>
                      <w:rFonts w:eastAsia="宋体"/>
                      <w:rFonts w:ascii="宋体" w:hAnsi="宋体"/>
                      <w:b w:val="0"/>
                      <w:sz w:val="20"/>
                    </w:rPr>
                    <w:t>+精选15列二阶交互项，L1自动特征选择</w:t>
                  </w:r>
                </w:p>
              </w:tc>
              <w:tc>
                <w:tcPr>
                  <w:tcW w:type="dxa" w:w="1432"/>
                </w:tcPr>
                <w:p>
                  <w:pPr>
                    <w:jc w:val="center"/>
                  </w:pPr>
                  <w:r>
                    <w:rPr>
                      <w:rFonts w:eastAsia="宋体"/>
                      <w:rFonts w:ascii="宋体" w:hAnsi="宋体"/>
                      <w:b w:val="0"/>
                      <w:sz w:val="20"/>
                    </w:rPr>
                    <w:t>178</w:t>
                  </w:r>
                </w:p>
              </w:tc>
              <w:tc>
                <w:tcPr>
                  <w:tcW w:type="dxa" w:w="1432"/>
                </w:tcPr>
                <w:p>
                  <w:pPr>
                    <w:jc w:val="center"/>
                  </w:pPr>
                  <w:r>
                    <w:rPr>
                      <w:rFonts w:eastAsia="宋体"/>
                      <w:rFonts w:ascii="宋体" w:hAnsi="宋体"/>
                      <w:b w:val="0"/>
                      <w:sz w:val="20"/>
                    </w:rPr>
                    <w:t>0.9499</w:t>
                  </w:r>
                </w:p>
              </w:tc>
              <w:tc>
                <w:tcPr>
                  <w:tcW w:type="dxa" w:w="1432"/>
                </w:tcPr>
                <w:p>
                  <w:pPr>
                    <w:jc w:val="center"/>
                  </w:pPr>
                  <w:r>
                    <w:rPr>
                      <w:rFonts w:eastAsia="宋体"/>
                      <w:rFonts w:ascii="宋体" w:hAnsi="宋体"/>
                      <w:b w:val="0"/>
                      <w:sz w:val="20"/>
                    </w:rPr>
                    <w:t>0.9488</w:t>
                  </w:r>
                </w:p>
              </w:tc>
              <w:tc>
                <w:tcPr>
                  <w:tcW w:type="dxa" w:w="1432"/>
                </w:tcPr>
                <w:p>
                  <w:pPr>
                    <w:jc w:val="center"/>
                  </w:pPr>
                  <w:r>
                    <w:rPr>
                      <w:rFonts w:eastAsia="宋体"/>
                      <w:rFonts w:ascii="宋体" w:hAnsi="宋体"/>
                      <w:b w:val="0"/>
                      <w:sz w:val="20"/>
                    </w:rPr>
                    <w:t>0.9503</w:t>
                  </w:r>
                </w:p>
              </w:tc>
            </w:tr>
            <w:tr>
              <w:tc>
                <w:tcPr>
                  <w:tcW w:type="dxa" w:w="1432"/>
                </w:tcPr>
                <w:p>
                  <w:pPr>
                    <w:jc w:val="center"/>
                  </w:pPr>
                  <w:r>
                    <w:rPr>
                      <w:rFonts w:eastAsia="宋体"/>
                      <w:rFonts w:ascii="宋体" w:hAnsi="宋体"/>
                      <w:b w:val="0"/>
                      <w:sz w:val="20"/>
                    </w:rPr>
                    <w:t>全量多项式（参考）</w:t>
                  </w:r>
                </w:p>
              </w:tc>
              <w:tc>
                <w:tcPr>
                  <w:tcW w:type="dxa" w:w="1432"/>
                </w:tcPr>
                <w:p>
                  <w:pPr>
                    <w:jc w:val="center"/>
                  </w:pPr>
                  <w:r>
                    <w:rPr>
                      <w:rFonts w:eastAsia="宋体"/>
                      <w:rFonts w:ascii="宋体" w:hAnsi="宋体"/>
                      <w:b w:val="0"/>
                      <w:sz w:val="20"/>
                    </w:rPr>
                    <w:t>全量58列二阶交互（仅CW，SMOTE内存溢出）</w:t>
                  </w:r>
                </w:p>
              </w:tc>
              <w:tc>
                <w:tcPr>
                  <w:tcW w:type="dxa" w:w="1432"/>
                </w:tcPr>
                <w:p>
                  <w:pPr>
                    <w:jc w:val="center"/>
                  </w:pPr>
                  <w:r>
                    <w:rPr>
                      <w:rFonts w:eastAsia="宋体"/>
                      <w:rFonts w:ascii="宋体" w:hAnsi="宋体"/>
                      <w:b w:val="0"/>
                      <w:sz w:val="20"/>
                    </w:rPr>
                    <w:t>1711</w:t>
                  </w:r>
                </w:p>
              </w:tc>
              <w:tc>
                <w:tcPr>
                  <w:tcW w:type="dxa" w:w="1432"/>
                </w:tcPr>
                <w:p>
                  <w:pPr>
                    <w:jc w:val="center"/>
                  </w:pPr>
                  <w:r>
                    <w:rPr>
                      <w:rFonts w:eastAsia="宋体"/>
                      <w:rFonts w:ascii="宋体" w:hAnsi="宋体"/>
                      <w:b w:val="0"/>
                      <w:sz w:val="20"/>
                    </w:rPr>
                    <w:t>—</w:t>
                  </w:r>
                </w:p>
              </w:tc>
              <w:tc>
                <w:tcPr>
                  <w:tcW w:type="dxa" w:w="1432"/>
                </w:tcPr>
                <w:p>
                  <w:pPr>
                    <w:jc w:val="center"/>
                  </w:pPr>
                  <w:r>
                    <w:rPr>
                      <w:rFonts w:eastAsia="宋体"/>
                      <w:rFonts w:ascii="宋体" w:hAnsi="宋体"/>
                      <w:b w:val="0"/>
                      <w:sz w:val="20"/>
                    </w:rPr>
                    <w:t>—</w:t>
                  </w:r>
                </w:p>
              </w:tc>
              <w:tc>
                <w:tcPr>
                  <w:tcW w:type="dxa" w:w="1432"/>
                </w:tcPr>
                <w:p>
                  <w:pPr>
                    <w:jc w:val="center"/>
                  </w:pPr>
                  <w:r>
                    <w:rPr>
                      <w:rFonts w:eastAsia="宋体"/>
                      <w:rFonts w:ascii="宋体" w:hAnsi="宋体"/>
                      <w:b w:val="0"/>
                      <w:sz w:val="20"/>
                    </w:rPr>
                    <w:t>0.9528</w:t>
                  </w:r>
                </w:p>
              </w:tc>
            </w:tr>
            <w:tr>
              <w:tc>
                <w:tcPr>
                  <w:tcW w:type="dxa" w:w="8592"/>
                  <w:gridSpan w:val="6"/>
                </w:tcPr>
                <w:p>
                  <w:r>
                    <w:rPr>
                      <w:rFonts w:eastAsia="宋体"/>
                      <w:rFonts w:ascii="宋体" w:hAnsi="宋体"/>
                      <w:b w:val="0"/>
                      <w:sz w:val="18"/>
                    </w:rPr>
                    <w:t>注：CW=class_weight=balanced；RUS=RandomUnderSampler；全量多项式因SMOTE在1711维×4万样本时内存溢出，仅CW策略可运行。</w:t>
                  </w:r>
                </w:p>
              </w:tc>
            </w:tr>
          </w:tbl>
          <w:tbl>
            <w:tblPr>
              <w:tblW w:type="auto" w:w="0"/>
              <w:tblLook w:firstColumn="1" w:firstRow="1" w:lastColumn="0" w:lastRow="0" w:noHBand="0" w:noVBand="1" w:val="04A0"/>
            </w:tblPr>
            <w:tblGrid>
              <w:gridCol w:w="1074"/>
              <w:gridCol w:w="1074"/>
              <w:gridCol w:w="1074"/>
              <w:gridCol w:w="1074"/>
              <w:gridCol w:w="1074"/>
              <w:gridCol w:w="1074"/>
              <w:gridCol w:w="1074"/>
              <w:gridCol w:w="1074"/>
            </w:tblGrid>
            <w:tr>
              <w:tc>
                <w:tcPr>
                  <w:tcW w:type="dxa" w:w="1074"/>
                </w:tcPr>
                <w:p>
                  <w:pPr>
                    <w:jc w:val="center"/>
                  </w:pPr>
                  <w:r>
                    <w:rPr>
                      <w:rFonts w:eastAsia="宋体"/>
                      <w:rFonts w:ascii="宋体" w:hAnsi="宋体"/>
                      <w:b/>
                      <w:sz w:val="20"/>
                    </w:rPr>
                    <w:t>策略</w:t>
                  </w:r>
                </w:p>
              </w:tc>
              <w:tc>
                <w:tcPr>
                  <w:tcW w:type="dxa" w:w="1074"/>
                </w:tcPr>
                <w:p>
                  <w:pPr>
                    <w:jc w:val="center"/>
                  </w:pPr>
                  <w:r>
                    <w:rPr>
                      <w:rFonts w:eastAsia="宋体"/>
                      <w:rFonts w:ascii="宋体" w:hAnsi="宋体"/>
                      <w:b/>
                      <w:sz w:val="20"/>
                    </w:rPr>
                    <w:t>Precision(Yes)</w:t>
                  </w:r>
                </w:p>
              </w:tc>
              <w:tc>
                <w:tcPr>
                  <w:tcW w:type="dxa" w:w="1074"/>
                </w:tcPr>
                <w:p>
                  <w:pPr>
                    <w:jc w:val="center"/>
                  </w:pPr>
                  <w:r>
                    <w:rPr>
                      <w:rFonts w:eastAsia="宋体"/>
                      <w:rFonts w:ascii="宋体" w:hAnsi="宋体"/>
                      <w:b/>
                      <w:sz w:val="20"/>
                    </w:rPr>
                    <w:t>Recall(Yes)</w:t>
                  </w:r>
                </w:p>
              </w:tc>
              <w:tc>
                <w:tcPr>
                  <w:tcW w:type="dxa" w:w="1074"/>
                </w:tcPr>
                <w:p>
                  <w:pPr>
                    <w:jc w:val="center"/>
                  </w:pPr>
                  <w:r>
                    <w:rPr>
                      <w:rFonts w:eastAsia="宋体"/>
                      <w:rFonts w:ascii="宋体" w:hAnsi="宋体"/>
                      <w:b/>
                      <w:sz w:val="20"/>
                    </w:rPr>
                    <w:t>F1(Yes)</w:t>
                  </w:r>
                </w:p>
              </w:tc>
              <w:tc>
                <w:tcPr>
                  <w:tcW w:type="dxa" w:w="1074"/>
                </w:tcPr>
                <w:p>
                  <w:pPr>
                    <w:jc w:val="center"/>
                  </w:pPr>
                  <w:r>
                    <w:rPr>
                      <w:rFonts w:eastAsia="宋体"/>
                      <w:rFonts w:ascii="宋体" w:hAnsi="宋体"/>
                      <w:b/>
                      <w:sz w:val="20"/>
                    </w:rPr>
                    <w:t>Accuracy</w:t>
                  </w:r>
                </w:p>
              </w:tc>
              <w:tc>
                <w:tcPr>
                  <w:tcW w:type="dxa" w:w="1074"/>
                </w:tcPr>
                <w:p>
                  <w:pPr>
                    <w:jc w:val="center"/>
                  </w:pPr>
                  <w:r>
                    <w:rPr>
                      <w:rFonts w:eastAsia="宋体"/>
                      <w:rFonts w:ascii="宋体" w:hAnsi="宋体"/>
                      <w:b/>
                      <w:sz w:val="20"/>
                    </w:rPr>
                    <w:t>AUC</w:t>
                  </w:r>
                </w:p>
              </w:tc>
              <w:tc>
                <w:tcPr>
                  <w:tcW w:type="dxa" w:w="1074"/>
                </w:tcPr>
                <w:p>
                  <w:pPr>
                    <w:jc w:val="center"/>
                  </w:pPr>
                  <w:r>
                    <w:rPr>
                      <w:rFonts w:eastAsia="宋体"/>
                      <w:rFonts w:ascii="宋体" w:hAnsi="宋体"/>
                      <w:b/>
                      <w:sz w:val="20"/>
                    </w:rPr>
                    <w:t>TN/FP/FN/TP</w:t>
                  </w:r>
                </w:p>
              </w:tc>
              <w:tc>
                <w:tcPr>
                  <w:tcW w:type="dxa" w:w="1074"/>
                </w:tcPr>
                <w:p>
                  <w:pPr>
                    <w:jc w:val="center"/>
                  </w:pPr>
                  <w:r>
                    <w:rPr>
                      <w:rFonts w:eastAsia="宋体"/>
                      <w:rFonts w:ascii="宋体" w:hAnsi="宋体"/>
                      <w:b/>
                      <w:sz w:val="20"/>
                    </w:rPr>
                    <w:t>非零系数</w:t>
                  </w:r>
                </w:p>
              </w:tc>
            </w:tr>
            <w:tr>
              <w:tc>
                <w:tcPr>
                  <w:tcW w:type="dxa" w:w="1074"/>
                </w:tcPr>
                <w:p>
                  <w:pPr>
                    <w:jc w:val="center"/>
                  </w:pPr>
                  <w:r>
                    <w:rPr>
                      <w:rFonts w:eastAsia="宋体"/>
                      <w:rFonts w:ascii="宋体" w:hAnsi="宋体"/>
                      <w:b w:val="0"/>
                      <w:sz w:val="20"/>
                    </w:rPr>
                    <w:t>SMOTE</w:t>
                  </w:r>
                </w:p>
              </w:tc>
              <w:tc>
                <w:tcPr>
                  <w:tcW w:type="dxa" w:w="1074"/>
                </w:tcPr>
                <w:p>
                  <w:pPr>
                    <w:jc w:val="center"/>
                  </w:pPr>
                  <w:r>
                    <w:rPr>
                      <w:rFonts w:eastAsia="宋体"/>
                      <w:rFonts w:ascii="宋体" w:hAnsi="宋体"/>
                      <w:b w:val="0"/>
                      <w:sz w:val="20"/>
                    </w:rPr>
                    <w:t>0.54</w:t>
                  </w:r>
                </w:p>
              </w:tc>
              <w:tc>
                <w:tcPr>
                  <w:tcW w:type="dxa" w:w="1074"/>
                </w:tcPr>
                <w:p>
                  <w:pPr>
                    <w:jc w:val="center"/>
                  </w:pPr>
                  <w:r>
                    <w:rPr>
                      <w:rFonts w:eastAsia="宋体"/>
                      <w:rFonts w:ascii="宋体" w:hAnsi="宋体"/>
                      <w:b w:val="0"/>
                      <w:sz w:val="20"/>
                    </w:rPr>
                    <w:t>0.83</w:t>
                  </w:r>
                </w:p>
              </w:tc>
              <w:tc>
                <w:tcPr>
                  <w:tcW w:type="dxa" w:w="1074"/>
                </w:tcPr>
                <w:p>
                  <w:pPr>
                    <w:jc w:val="center"/>
                  </w:pPr>
                  <w:r>
                    <w:rPr>
                      <w:rFonts w:eastAsia="宋体"/>
                      <w:rFonts w:ascii="宋体" w:hAnsi="宋体"/>
                      <w:b w:val="0"/>
                      <w:sz w:val="20"/>
                    </w:rPr>
                    <w:t>0.65</w:t>
                  </w:r>
                </w:p>
              </w:tc>
              <w:tc>
                <w:tcPr>
                  <w:tcW w:type="dxa" w:w="1074"/>
                </w:tcPr>
                <w:p>
                  <w:pPr>
                    <w:jc w:val="center"/>
                  </w:pPr>
                  <w:r>
                    <w:rPr>
                      <w:rFonts w:eastAsia="宋体"/>
                      <w:rFonts w:ascii="宋体" w:hAnsi="宋体"/>
                      <w:b w:val="0"/>
                      <w:sz w:val="20"/>
                    </w:rPr>
                    <w:t>90.0%</w:t>
                  </w:r>
                </w:p>
              </w:tc>
              <w:tc>
                <w:tcPr>
                  <w:tcW w:type="dxa" w:w="1074"/>
                </w:tcPr>
                <w:p>
                  <w:pPr>
                    <w:jc w:val="center"/>
                  </w:pPr>
                  <w:r>
                    <w:rPr>
                      <w:rFonts w:eastAsia="宋体"/>
                      <w:rFonts w:ascii="宋体" w:hAnsi="宋体"/>
                      <w:b w:val="0"/>
                      <w:sz w:val="20"/>
                    </w:rPr>
                    <w:t>0.9499</w:t>
                  </w:r>
                </w:p>
              </w:tc>
              <w:tc>
                <w:tcPr>
                  <w:tcW w:type="dxa" w:w="1074"/>
                </w:tcPr>
                <w:p>
                  <w:pPr>
                    <w:jc w:val="center"/>
                  </w:pPr>
                  <w:r>
                    <w:rPr>
                      <w:rFonts w:eastAsia="宋体"/>
                      <w:rFonts w:ascii="宋体" w:hAnsi="宋体"/>
                      <w:b w:val="0"/>
                      <w:sz w:val="20"/>
                    </w:rPr>
                    <w:t>6649/661/162/766</w:t>
                  </w:r>
                </w:p>
              </w:tc>
              <w:tc>
                <w:tcPr>
                  <w:tcW w:type="dxa" w:w="1074"/>
                </w:tcPr>
                <w:p>
                  <w:pPr>
                    <w:jc w:val="center"/>
                  </w:pPr>
                  <w:r>
                    <w:rPr>
                      <w:rFonts w:eastAsia="宋体"/>
                      <w:rFonts w:ascii="宋体" w:hAnsi="宋体"/>
                      <w:b w:val="0"/>
                      <w:sz w:val="20"/>
                    </w:rPr>
                    <w:t>178</w:t>
                  </w:r>
                </w:p>
              </w:tc>
            </w:tr>
            <w:tr>
              <w:tc>
                <w:tcPr>
                  <w:tcW w:type="dxa" w:w="1074"/>
                </w:tcPr>
                <w:p>
                  <w:pPr>
                    <w:jc w:val="center"/>
                  </w:pPr>
                  <w:r>
                    <w:rPr>
                      <w:rFonts w:eastAsia="宋体"/>
                      <w:rFonts w:ascii="宋体" w:hAnsi="宋体"/>
                      <w:b w:val="0"/>
                      <w:sz w:val="20"/>
                    </w:rPr>
                    <w:t>UnderSample</w:t>
                  </w:r>
                </w:p>
              </w:tc>
              <w:tc>
                <w:tcPr>
                  <w:tcW w:type="dxa" w:w="1074"/>
                </w:tcPr>
                <w:p>
                  <w:pPr>
                    <w:jc w:val="center"/>
                  </w:pPr>
                  <w:r>
                    <w:rPr>
                      <w:rFonts w:eastAsia="宋体"/>
                      <w:rFonts w:ascii="宋体" w:hAnsi="宋体"/>
                      <w:b w:val="0"/>
                      <w:sz w:val="20"/>
                    </w:rPr>
                    <w:t>0.43</w:t>
                  </w:r>
                </w:p>
              </w:tc>
              <w:tc>
                <w:tcPr>
                  <w:tcW w:type="dxa" w:w="1074"/>
                </w:tcPr>
                <w:p>
                  <w:pPr>
                    <w:jc w:val="center"/>
                  </w:pPr>
                  <w:r>
                    <w:rPr>
                      <w:rFonts w:eastAsia="宋体"/>
                      <w:rFonts w:ascii="宋体" w:hAnsi="宋体"/>
                      <w:b w:val="0"/>
                      <w:sz w:val="20"/>
                    </w:rPr>
                    <w:t>0.94</w:t>
                  </w:r>
                </w:p>
              </w:tc>
              <w:tc>
                <w:tcPr>
                  <w:tcW w:type="dxa" w:w="1074"/>
                </w:tcPr>
                <w:p>
                  <w:pPr>
                    <w:jc w:val="center"/>
                  </w:pPr>
                  <w:r>
                    <w:rPr>
                      <w:rFonts w:eastAsia="宋体"/>
                      <w:rFonts w:ascii="宋体" w:hAnsi="宋体"/>
                      <w:b w:val="0"/>
                      <w:sz w:val="20"/>
                    </w:rPr>
                    <w:t>0.59</w:t>
                  </w:r>
                </w:p>
              </w:tc>
              <w:tc>
                <w:tcPr>
                  <w:tcW w:type="dxa" w:w="1074"/>
                </w:tcPr>
                <w:p>
                  <w:pPr>
                    <w:jc w:val="center"/>
                  </w:pPr>
                  <w:r>
                    <w:rPr>
                      <w:rFonts w:eastAsia="宋体"/>
                      <w:rFonts w:ascii="宋体" w:hAnsi="宋体"/>
                      <w:b w:val="0"/>
                      <w:sz w:val="20"/>
                    </w:rPr>
                    <w:t>85.0%</w:t>
                  </w:r>
                </w:p>
              </w:tc>
              <w:tc>
                <w:tcPr>
                  <w:tcW w:type="dxa" w:w="1074"/>
                </w:tcPr>
                <w:p>
                  <w:pPr>
                    <w:jc w:val="center"/>
                  </w:pPr>
                  <w:r>
                    <w:rPr>
                      <w:rFonts w:eastAsia="宋体"/>
                      <w:rFonts w:ascii="宋体" w:hAnsi="宋体"/>
                      <w:b w:val="0"/>
                      <w:sz w:val="20"/>
                    </w:rPr>
                    <w:t>0.9488</w:t>
                  </w:r>
                </w:p>
              </w:tc>
              <w:tc>
                <w:tcPr>
                  <w:tcW w:type="dxa" w:w="1074"/>
                </w:tcPr>
                <w:p>
                  <w:pPr>
                    <w:jc w:val="center"/>
                  </w:pPr>
                  <w:r>
                    <w:rPr>
                      <w:rFonts w:eastAsia="宋体"/>
                      <w:rFonts w:ascii="宋体" w:hAnsi="宋体"/>
                      <w:b w:val="0"/>
                      <w:sz w:val="20"/>
                    </w:rPr>
                    <w:t>6161/1149/58/870</w:t>
                  </w:r>
                </w:p>
              </w:tc>
              <w:tc>
                <w:tcPr>
                  <w:tcW w:type="dxa" w:w="1074"/>
                </w:tcPr>
                <w:p>
                  <w:pPr>
                    <w:jc w:val="center"/>
                  </w:pPr>
                  <w:r>
                    <w:rPr>
                      <w:rFonts w:eastAsia="宋体"/>
                      <w:rFonts w:ascii="宋体" w:hAnsi="宋体"/>
                      <w:b w:val="0"/>
                      <w:sz w:val="20"/>
                    </w:rPr>
                    <w:t>56</w:t>
                  </w:r>
                </w:p>
              </w:tc>
            </w:tr>
            <w:tr>
              <w:tc>
                <w:tcPr>
                  <w:tcW w:type="dxa" w:w="1074"/>
                </w:tcPr>
                <w:p>
                  <w:pPr>
                    <w:jc w:val="center"/>
                  </w:pPr>
                  <w:r>
                    <w:rPr>
                      <w:rFonts w:eastAsia="宋体"/>
                      <w:rFonts w:ascii="宋体" w:hAnsi="宋体"/>
                      <w:b w:val="0"/>
                      <w:sz w:val="20"/>
                    </w:rPr>
                    <w:t>ClassWeight</w:t>
                  </w:r>
                </w:p>
              </w:tc>
              <w:tc>
                <w:tcPr>
                  <w:tcW w:type="dxa" w:w="1074"/>
                </w:tcPr>
                <w:p>
                  <w:pPr>
                    <w:jc w:val="center"/>
                  </w:pPr>
                  <w:r>
                    <w:rPr>
                      <w:rFonts w:eastAsia="宋体"/>
                      <w:rFonts w:ascii="宋体" w:hAnsi="宋体"/>
                      <w:b w:val="0"/>
                      <w:sz w:val="20"/>
                    </w:rPr>
                    <w:t>0.43</w:t>
                  </w:r>
                </w:p>
              </w:tc>
              <w:tc>
                <w:tcPr>
                  <w:tcW w:type="dxa" w:w="1074"/>
                </w:tcPr>
                <w:p>
                  <w:pPr>
                    <w:jc w:val="center"/>
                  </w:pPr>
                  <w:r>
                    <w:rPr>
                      <w:rFonts w:eastAsia="宋体"/>
                      <w:rFonts w:ascii="宋体" w:hAnsi="宋体"/>
                      <w:b w:val="0"/>
                      <w:sz w:val="20"/>
                    </w:rPr>
                    <w:t>0.95</w:t>
                  </w:r>
                </w:p>
              </w:tc>
              <w:tc>
                <w:tcPr>
                  <w:tcW w:type="dxa" w:w="1074"/>
                </w:tcPr>
                <w:p>
                  <w:pPr>
                    <w:jc w:val="center"/>
                  </w:pPr>
                  <w:r>
                    <w:rPr>
                      <w:rFonts w:eastAsia="宋体"/>
                      <w:rFonts w:ascii="宋体" w:hAnsi="宋体"/>
                      <w:b w:val="0"/>
                      <w:sz w:val="20"/>
                    </w:rPr>
                    <w:t>0.59</w:t>
                  </w:r>
                </w:p>
              </w:tc>
              <w:tc>
                <w:tcPr>
                  <w:tcW w:type="dxa" w:w="1074"/>
                </w:tcPr>
                <w:p>
                  <w:pPr>
                    <w:jc w:val="center"/>
                  </w:pPr>
                  <w:r>
                    <w:rPr>
                      <w:rFonts w:eastAsia="宋体"/>
                      <w:rFonts w:ascii="宋体" w:hAnsi="宋体"/>
                      <w:b w:val="0"/>
                      <w:sz w:val="20"/>
                    </w:rPr>
                    <w:t>85.0%</w:t>
                  </w:r>
                </w:p>
              </w:tc>
              <w:tc>
                <w:tcPr>
                  <w:tcW w:type="dxa" w:w="1074"/>
                </w:tcPr>
                <w:p>
                  <w:pPr>
                    <w:jc w:val="center"/>
                  </w:pPr>
                  <w:r>
                    <w:rPr>
                      <w:rFonts w:eastAsia="宋体"/>
                      <w:rFonts w:ascii="宋体" w:hAnsi="宋体"/>
                      <w:b w:val="0"/>
                      <w:sz w:val="20"/>
                    </w:rPr>
                    <w:t>0.9503</w:t>
                  </w:r>
                </w:p>
              </w:tc>
              <w:tc>
                <w:tcPr>
                  <w:tcW w:type="dxa" w:w="1074"/>
                </w:tcPr>
                <w:p>
                  <w:pPr>
                    <w:jc w:val="center"/>
                  </w:pPr>
                  <w:r>
                    <w:rPr>
                      <w:rFonts w:eastAsia="宋体"/>
                      <w:rFonts w:ascii="宋体" w:hAnsi="宋体"/>
                      <w:b w:val="0"/>
                      <w:sz w:val="20"/>
                    </w:rPr>
                    <w:t>6142/1168/50/878</w:t>
                  </w:r>
                </w:p>
              </w:tc>
              <w:tc>
                <w:tcPr>
                  <w:tcW w:type="dxa" w:w="1074"/>
                </w:tcPr>
                <w:p>
                  <w:pPr>
                    <w:jc w:val="center"/>
                  </w:pPr>
                  <w:r>
                    <w:rPr>
                      <w:rFonts w:eastAsia="宋体"/>
                      <w:rFonts w:ascii="宋体" w:hAnsi="宋体"/>
                      <w:b w:val="0"/>
                      <w:sz w:val="20"/>
                    </w:rPr>
                    <w:t>108</w:t>
                  </w:r>
                </w:p>
              </w:tc>
            </w:tr>
            <w:tr>
              <w:tc>
                <w:tcPr>
                  <w:tcW w:type="dxa" w:w="8592"/>
                  <w:gridSpan w:val="8"/>
                </w:tcPr>
                <w:p>
                  <w:r>
                    <w:rPr>
                      <w:rFonts w:eastAsia="宋体"/>
                      <w:rFonts w:ascii="宋体" w:hAnsi="宋体"/>
                      <w:b w:val="0"/>
                      <w:sz w:val="18"/>
                    </w:rPr>
                    <w:t>注：Yes类=已订阅正样本，测试集中support=928；非零系数数量反映L1正则的稀疏程度（178总特征中的有效特征数）。</w:t>
                  </w:r>
                </w:p>
              </w:tc>
            </w:tr>
          </w:tbl>
          <w:p>
            <w:pPr>
              <w:spacing w:before="0" w:after="40" w:line="240" w:lineRule="auto"/>
              <w:jc w:val="left"/>
            </w:pPr>
            <w:r>
              <w:rPr>
                <w:rFonts w:eastAsia="宋体"/>
                <w:rFonts w:ascii="宋体" w:hAnsi="宋体"/>
                <w:b/>
                <w:sz w:val="24"/>
              </w:rPr>
              <w:t>四、实验结果及分析</w:t>
            </w:r>
          </w:p>
          <w:p>
            <w:pPr>
              <w:spacing w:before="100" w:after="20" w:line="240" w:lineRule="auto"/>
            </w:pPr>
            <w:r>
              <w:rPr>
                <w:rFonts w:eastAsia="宋体"/>
                <w:rFonts w:ascii="宋体" w:hAnsi="宋体"/>
                <w:b/>
                <w:sz w:val="24"/>
              </w:rPr>
              <w:t>4.1 AUC 优化迭代路径（四轮，完整记录）</w:t>
            </w:r>
          </w:p>
          <w:p>
            <w:pPr>
              <w:spacing w:before="0" w:after="40" w:line="240" w:lineRule="auto"/>
              <w:ind w:firstLine="480"/>
              <w:jc w:val="left"/>
            </w:pPr>
            <w:r>
              <w:rPr>
                <w:rFonts w:eastAsia="宋体"/>
                <w:rFonts w:ascii="宋体" w:hAnsi="宋体"/>
                <w:b w:val="0"/>
                <w:sz w:val="24"/>
              </w:rPr>
              <w:t>本实验经过四轮迭代优化，AUC 从初始 0.9440 逐步提升至最终 0.9520，共提升 0.0080。以下表格记录完整优化路径，每轮均对三种不平衡策略分别评估：</w:t>
            </w:r>
          </w:p>
          <w:p>
            <w:pPr>
              <w:spacing w:before="0" w:after="40" w:line="240" w:lineRule="auto"/>
              <w:jc w:val="left"/>
            </w:pPr>
            <w:r>
              <w:rPr>
                <w:rFonts w:eastAsia="宋体"/>
                <w:rFonts w:ascii="宋体" w:hAnsi="宋体"/>
                <w:b w:val="0"/>
                <w:sz w:val="24"/>
              </w:rPr>
            </w:r>
          </w:p>
          <w:tbl>
            <w:tblPr>
              <w:tblW w:type="auto" w:w="0"/>
              <w:tblLook w:firstColumn="1" w:firstRow="1" w:lastColumn="0" w:lastRow="0" w:noHBand="0" w:noVBand="1" w:val="04A0"/>
            </w:tblPr>
            <w:tblGrid>
              <w:gridCol w:w="1227"/>
              <w:gridCol w:w="1227"/>
              <w:gridCol w:w="1227"/>
              <w:gridCol w:w="1227"/>
              <w:gridCol w:w="1227"/>
              <w:gridCol w:w="1227"/>
              <w:gridCol w:w="1227"/>
            </w:tblGrid>
            <w:tr>
              <w:tc>
                <w:tcPr>
                  <w:tcW w:type="dxa" w:w="1227"/>
                </w:tcPr>
                <w:p>
                  <w:pPr>
                    <w:jc w:val="center"/>
                  </w:pPr>
                  <w:r>
                    <w:rPr>
                      <w:rFonts w:eastAsia="宋体"/>
                      <w:rFonts w:ascii="宋体" w:hAnsi="宋体"/>
                      <w:b/>
                      <w:sz w:val="20"/>
                    </w:rPr>
                    <w:t>迭代版本</w:t>
                  </w:r>
                </w:p>
              </w:tc>
              <w:tc>
                <w:tcPr>
                  <w:tcW w:type="dxa" w:w="1227"/>
                </w:tcPr>
                <w:p>
                  <w:pPr>
                    <w:jc w:val="center"/>
                  </w:pPr>
                  <w:r>
                    <w:rPr>
                      <w:rFonts w:eastAsia="宋体"/>
                      <w:rFonts w:ascii="宋体" w:hAnsi="宋体"/>
                      <w:b/>
                      <w:sz w:val="20"/>
                    </w:rPr>
                    <w:t>核心改进</w:t>
                  </w:r>
                </w:p>
              </w:tc>
              <w:tc>
                <w:tcPr>
                  <w:tcW w:type="dxa" w:w="1227"/>
                </w:tcPr>
                <w:p>
                  <w:pPr>
                    <w:jc w:val="center"/>
                  </w:pPr>
                  <w:r>
                    <w:rPr>
                      <w:rFonts w:eastAsia="宋体"/>
                      <w:rFonts w:ascii="宋体" w:hAnsi="宋体"/>
                      <w:b/>
                      <w:sz w:val="20"/>
                    </w:rPr>
                    <w:t>特征维度</w:t>
                  </w:r>
                </w:p>
              </w:tc>
              <w:tc>
                <w:tcPr>
                  <w:tcW w:type="dxa" w:w="1227"/>
                </w:tcPr>
                <w:p>
                  <w:pPr>
                    <w:jc w:val="center"/>
                  </w:pPr>
                  <w:r>
                    <w:rPr>
                      <w:rFonts w:eastAsia="宋体"/>
                      <w:rFonts w:ascii="宋体" w:hAnsi="宋体"/>
                      <w:b/>
                      <w:sz w:val="20"/>
                    </w:rPr>
                    <w:t>SMOTE-AUC</w:t>
                  </w:r>
                </w:p>
              </w:tc>
              <w:tc>
                <w:tcPr>
                  <w:tcW w:type="dxa" w:w="1227"/>
                </w:tcPr>
                <w:p>
                  <w:pPr>
                    <w:jc w:val="center"/>
                  </w:pPr>
                  <w:r>
                    <w:rPr>
                      <w:rFonts w:eastAsia="宋体"/>
                      <w:rFonts w:ascii="宋体" w:hAnsi="宋体"/>
                      <w:b/>
                      <w:sz w:val="20"/>
                    </w:rPr>
                    <w:t>RUS-AUC</w:t>
                  </w:r>
                </w:p>
              </w:tc>
              <w:tc>
                <w:tcPr>
                  <w:tcW w:type="dxa" w:w="1227"/>
                </w:tcPr>
                <w:p>
                  <w:pPr>
                    <w:jc w:val="center"/>
                  </w:pPr>
                  <w:r>
                    <w:rPr>
                      <w:rFonts w:eastAsia="宋体"/>
                      <w:rFonts w:ascii="宋体" w:hAnsi="宋体"/>
                      <w:b/>
                      <w:sz w:val="20"/>
                    </w:rPr>
                    <w:t>CW-AUC</w:t>
                  </w:r>
                </w:p>
              </w:tc>
              <w:tc>
                <w:tcPr>
                  <w:tcW w:type="dxa" w:w="1227"/>
                </w:tcPr>
                <w:p>
                  <w:pPr>
                    <w:jc w:val="center"/>
                  </w:pPr>
                  <w:r>
                    <w:rPr>
                      <w:rFonts w:eastAsia="宋体"/>
                      <w:rFonts w:ascii="宋体" w:hAnsi="宋体"/>
                      <w:b/>
                      <w:sz w:val="20"/>
                    </w:rPr>
                    <w:t>AUC提升</w:t>
                  </w:r>
                </w:p>
              </w:tc>
            </w:tr>
            <w:tr>
              <w:tc>
                <w:tcPr>
                  <w:tcW w:type="dxa" w:w="1227"/>
                </w:tcPr>
                <w:p>
                  <w:pPr>
                    <w:jc w:val="center"/>
                  </w:pPr>
                  <w:r>
                    <w:rPr>
                      <w:rFonts w:eastAsia="宋体"/>
                      <w:rFonts w:ascii="宋体" w:hAnsi="宋体"/>
                      <w:b w:val="0"/>
                      <w:sz w:val="20"/>
                    </w:rPr>
                    <w:t>迭代1（基础版）</w:t>
                  </w:r>
                </w:p>
              </w:tc>
              <w:tc>
                <w:tcPr>
                  <w:tcW w:type="dxa" w:w="1227"/>
                </w:tcPr>
                <w:p>
                  <w:pPr>
                    <w:jc w:val="center"/>
                  </w:pPr>
                  <w:r>
                    <w:rPr>
                      <w:rFonts w:eastAsia="宋体"/>
                      <w:rFonts w:ascii="宋体" w:hAnsi="宋体"/>
                      <w:b w:val="0"/>
                      <w:sz w:val="20"/>
                    </w:rPr>
                    <w:t>OHE + StandardScaler，无衍生特征</w:t>
                  </w:r>
                </w:p>
              </w:tc>
              <w:tc>
                <w:tcPr>
                  <w:tcW w:type="dxa" w:w="1227"/>
                </w:tcPr>
                <w:p>
                  <w:pPr>
                    <w:jc w:val="center"/>
                  </w:pPr>
                  <w:r>
                    <w:rPr>
                      <w:rFonts w:eastAsia="宋体"/>
                      <w:rFonts w:ascii="宋体" w:hAnsi="宋体"/>
                      <w:b w:val="0"/>
                      <w:sz w:val="20"/>
                    </w:rPr>
                    <w:t>58</w:t>
                  </w:r>
                </w:p>
              </w:tc>
              <w:tc>
                <w:tcPr>
                  <w:tcW w:type="dxa" w:w="1227"/>
                </w:tcPr>
                <w:p>
                  <w:pPr>
                    <w:jc w:val="center"/>
                  </w:pPr>
                  <w:r>
                    <w:rPr>
                      <w:rFonts w:eastAsia="宋体"/>
                      <w:rFonts w:ascii="宋体" w:hAnsi="宋体"/>
                      <w:b w:val="0"/>
                      <w:sz w:val="20"/>
                    </w:rPr>
                    <w:t>0.9435</w:t>
                  </w:r>
                </w:p>
              </w:tc>
              <w:tc>
                <w:tcPr>
                  <w:tcW w:type="dxa" w:w="1227"/>
                </w:tcPr>
                <w:p>
                  <w:pPr>
                    <w:jc w:val="center"/>
                  </w:pPr>
                  <w:r>
                    <w:rPr>
                      <w:rFonts w:eastAsia="宋体"/>
                      <w:rFonts w:ascii="宋体" w:hAnsi="宋体"/>
                      <w:b w:val="0"/>
                      <w:sz w:val="20"/>
                    </w:rPr>
                    <w:t>0.9418</w:t>
                  </w:r>
                </w:p>
              </w:tc>
              <w:tc>
                <w:tcPr>
                  <w:tcW w:type="dxa" w:w="1227"/>
                </w:tcPr>
                <w:p>
                  <w:pPr>
                    <w:jc w:val="center"/>
                  </w:pPr>
                  <w:r>
                    <w:rPr>
                      <w:rFonts w:eastAsia="宋体"/>
                      <w:rFonts w:ascii="宋体" w:hAnsi="宋体"/>
                      <w:b w:val="0"/>
                      <w:sz w:val="20"/>
                    </w:rPr>
                    <w:t>0.9440</w:t>
                  </w:r>
                </w:p>
              </w:tc>
              <w:tc>
                <w:tcPr>
                  <w:tcW w:type="dxa" w:w="1227"/>
                </w:tcPr>
                <w:p>
                  <w:pPr>
                    <w:jc w:val="center"/>
                  </w:pPr>
                  <w:r>
                    <w:rPr>
                      <w:rFonts w:eastAsia="宋体"/>
                      <w:rFonts w:ascii="宋体" w:hAnsi="宋体"/>
                      <w:b w:val="0"/>
                      <w:sz w:val="20"/>
                    </w:rPr>
                    <w:t>基准</w:t>
                  </w:r>
                </w:p>
              </w:tc>
            </w:tr>
            <w:tr>
              <w:tc>
                <w:tcPr>
                  <w:tcW w:type="dxa" w:w="1227"/>
                </w:tcPr>
                <w:p>
                  <w:pPr>
                    <w:jc w:val="center"/>
                  </w:pPr>
                  <w:r>
                    <w:rPr>
                      <w:rFonts w:eastAsia="宋体"/>
                      <w:rFonts w:ascii="宋体" w:hAnsi="宋体"/>
                      <w:b w:val="0"/>
                      <w:sz w:val="20"/>
                    </w:rPr>
                    <w:t>迭代2（衍生特征）</w:t>
                  </w:r>
                </w:p>
              </w:tc>
              <w:tc>
                <w:tcPr>
                  <w:tcW w:type="dxa" w:w="1227"/>
                </w:tcPr>
                <w:p>
                  <w:pPr>
                    <w:jc w:val="center"/>
                  </w:pPr>
                  <w:r>
                    <w:rPr>
                      <w:rFonts w:eastAsia="宋体"/>
                      <w:rFonts w:ascii="宋体" w:hAnsi="宋体"/>
                      <w:b w:val="0"/>
                      <w:sz w:val="20"/>
                    </w:rPr>
                    <w:t>+pdays_contacted, +duration_log</w:t>
                    <w:br/>
                    <w:t>+econ_pressure, +prev_success</w:t>
                  </w:r>
                </w:p>
              </w:tc>
              <w:tc>
                <w:tcPr>
                  <w:tcW w:type="dxa" w:w="1227"/>
                </w:tcPr>
                <w:p>
                  <w:pPr>
                    <w:jc w:val="center"/>
                  </w:pPr>
                  <w:r>
                    <w:rPr>
                      <w:rFonts w:eastAsia="宋体"/>
                      <w:rFonts w:ascii="宋体" w:hAnsi="宋体"/>
                      <w:b w:val="0"/>
                      <w:sz w:val="20"/>
                    </w:rPr>
                    <w:t>62</w:t>
                  </w:r>
                </w:p>
              </w:tc>
              <w:tc>
                <w:tcPr>
                  <w:tcW w:type="dxa" w:w="1227"/>
                </w:tcPr>
                <w:p>
                  <w:pPr>
                    <w:jc w:val="center"/>
                  </w:pPr>
                  <w:r>
                    <w:rPr>
                      <w:rFonts w:eastAsia="宋体"/>
                      <w:rFonts w:ascii="宋体" w:hAnsi="宋体"/>
                      <w:b w:val="0"/>
                      <w:sz w:val="20"/>
                    </w:rPr>
                    <w:t>0.9478</w:t>
                  </w:r>
                </w:p>
              </w:tc>
              <w:tc>
                <w:tcPr>
                  <w:tcW w:type="dxa" w:w="1227"/>
                </w:tcPr>
                <w:p>
                  <w:pPr>
                    <w:jc w:val="center"/>
                  </w:pPr>
                  <w:r>
                    <w:rPr>
                      <w:rFonts w:eastAsia="宋体"/>
                      <w:rFonts w:ascii="宋体" w:hAnsi="宋体"/>
                      <w:b w:val="0"/>
                      <w:sz w:val="20"/>
                    </w:rPr>
                    <w:t>0.9470</w:t>
                  </w:r>
                </w:p>
              </w:tc>
              <w:tc>
                <w:tcPr>
                  <w:tcW w:type="dxa" w:w="1227"/>
                </w:tcPr>
                <w:p>
                  <w:pPr>
                    <w:jc w:val="center"/>
                  </w:pPr>
                  <w:r>
                    <w:rPr>
                      <w:rFonts w:eastAsia="宋体"/>
                      <w:rFonts w:ascii="宋体" w:hAnsi="宋体"/>
                      <w:b w:val="0"/>
                      <w:sz w:val="20"/>
                    </w:rPr>
                    <w:t>0.9478</w:t>
                  </w:r>
                </w:p>
              </w:tc>
              <w:tc>
                <w:tcPr>
                  <w:tcW w:type="dxa" w:w="1227"/>
                </w:tcPr>
                <w:p>
                  <w:pPr>
                    <w:jc w:val="center"/>
                  </w:pPr>
                  <w:r>
                    <w:rPr>
                      <w:rFonts w:eastAsia="宋体"/>
                      <w:rFonts w:ascii="宋体" w:hAnsi="宋体"/>
                      <w:b w:val="0"/>
                      <w:sz w:val="20"/>
                    </w:rPr>
                    <w:t>+0.0038</w:t>
                  </w:r>
                </w:p>
              </w:tc>
            </w:tr>
            <w:tr>
              <w:tc>
                <w:tcPr>
                  <w:tcW w:type="dxa" w:w="1227"/>
                </w:tcPr>
                <w:p>
                  <w:pPr>
                    <w:jc w:val="center"/>
                  </w:pPr>
                  <w:r>
                    <w:rPr>
                      <w:rFonts w:eastAsia="宋体"/>
                      <w:rFonts w:ascii="宋体" w:hAnsi="宋体"/>
                      <w:b w:val="0"/>
                      <w:sz w:val="20"/>
                    </w:rPr>
                    <w:t>迭代3（QT+小多项式）</w:t>
                  </w:r>
                </w:p>
              </w:tc>
              <w:tc>
                <w:tcPr>
                  <w:tcW w:type="dxa" w:w="1227"/>
                </w:tcPr>
                <w:p>
                  <w:pPr>
                    <w:jc w:val="center"/>
                  </w:pPr>
                  <w:r>
                    <w:rPr>
                      <w:rFonts w:eastAsia="宋体"/>
                      <w:rFonts w:ascii="宋体" w:hAnsi="宋体"/>
                      <w:b w:val="0"/>
                      <w:sz w:val="20"/>
                    </w:rPr>
                    <w:t>StandardScaler→QuantileTransformer</w:t>
                    <w:br/>
                    <w:t>+degree-2 on 5核心特征</w:t>
                  </w:r>
                </w:p>
              </w:tc>
              <w:tc>
                <w:tcPr>
                  <w:tcW w:type="dxa" w:w="1227"/>
                </w:tcPr>
                <w:p>
                  <w:pPr>
                    <w:jc w:val="center"/>
                  </w:pPr>
                  <w:r>
                    <w:rPr>
                      <w:rFonts w:eastAsia="宋体"/>
                      <w:rFonts w:ascii="宋体" w:hAnsi="宋体"/>
                      <w:b w:val="0"/>
                      <w:sz w:val="20"/>
                    </w:rPr>
                    <w:t>75</w:t>
                  </w:r>
                </w:p>
              </w:tc>
              <w:tc>
                <w:tcPr>
                  <w:tcW w:type="dxa" w:w="1227"/>
                </w:tcPr>
                <w:p>
                  <w:pPr>
                    <w:jc w:val="center"/>
                  </w:pPr>
                  <w:r>
                    <w:rPr>
                      <w:rFonts w:eastAsia="宋体"/>
                      <w:rFonts w:ascii="宋体" w:hAnsi="宋体"/>
                      <w:b w:val="0"/>
                      <w:sz w:val="20"/>
                    </w:rPr>
                    <w:t>0.9507</w:t>
                  </w:r>
                </w:p>
              </w:tc>
              <w:tc>
                <w:tcPr>
                  <w:tcW w:type="dxa" w:w="1227"/>
                </w:tcPr>
                <w:p>
                  <w:pPr>
                    <w:jc w:val="center"/>
                  </w:pPr>
                  <w:r>
                    <w:rPr>
                      <w:rFonts w:eastAsia="宋体"/>
                      <w:rFonts w:ascii="宋体" w:hAnsi="宋体"/>
                      <w:b w:val="0"/>
                      <w:sz w:val="20"/>
                    </w:rPr>
                    <w:t>0.9487</w:t>
                  </w:r>
                </w:p>
              </w:tc>
              <w:tc>
                <w:tcPr>
                  <w:tcW w:type="dxa" w:w="1227"/>
                </w:tcPr>
                <w:p>
                  <w:pPr>
                    <w:jc w:val="center"/>
                  </w:pPr>
                  <w:r>
                    <w:rPr>
                      <w:rFonts w:eastAsia="宋体"/>
                      <w:rFonts w:ascii="宋体" w:hAnsi="宋体"/>
                      <w:b w:val="0"/>
                      <w:sz w:val="20"/>
                    </w:rPr>
                    <w:t>0.9509</w:t>
                  </w:r>
                </w:p>
              </w:tc>
              <w:tc>
                <w:tcPr>
                  <w:tcW w:type="dxa" w:w="1227"/>
                </w:tcPr>
                <w:p>
                  <w:pPr>
                    <w:jc w:val="center"/>
                  </w:pPr>
                  <w:r>
                    <w:rPr>
                      <w:rFonts w:eastAsia="宋体"/>
                      <w:rFonts w:ascii="宋体" w:hAnsi="宋体"/>
                      <w:b w:val="0"/>
                      <w:sz w:val="20"/>
                    </w:rPr>
                    <w:t>+0.0031</w:t>
                  </w:r>
                </w:p>
              </w:tc>
            </w:tr>
            <w:tr>
              <w:tc>
                <w:tcPr>
                  <w:tcW w:type="dxa" w:w="1227"/>
                </w:tcPr>
                <w:p>
                  <w:pPr>
                    <w:jc w:val="center"/>
                  </w:pPr>
                  <w:r>
                    <w:rPr>
                      <w:rFonts w:eastAsia="宋体"/>
                      <w:rFonts w:ascii="宋体" w:hAnsi="宋体"/>
                      <w:b w:val="0"/>
                      <w:sz w:val="20"/>
                    </w:rPr>
                    <w:t>迭代4（最终版）</w:t>
                  </w:r>
                </w:p>
              </w:tc>
              <w:tc>
                <w:tcPr>
                  <w:tcW w:type="dxa" w:w="1227"/>
                </w:tcPr>
                <w:p>
                  <w:pPr>
                    <w:jc w:val="center"/>
                  </w:pPr>
                  <w:r>
                    <w:rPr>
                      <w:rFonts w:eastAsia="宋体"/>
                      <w:rFonts w:ascii="宋体" w:hAnsi="宋体"/>
                      <w:b w:val="0"/>
                      <w:sz w:val="20"/>
                    </w:rPr>
                    <w:t>+degree-2 on 29列（含关键OHE）</w:t>
                    <w:br/>
                    <w:t>L1自动稀疏特征选择</w:t>
                  </w:r>
                </w:p>
              </w:tc>
              <w:tc>
                <w:tcPr>
                  <w:tcW w:type="dxa" w:w="1227"/>
                </w:tcPr>
                <w:p>
                  <w:pPr>
                    <w:jc w:val="center"/>
                  </w:pPr>
                  <w:r>
                    <w:rPr>
                      <w:rFonts w:eastAsia="宋体"/>
                      <w:rFonts w:ascii="宋体" w:hAnsi="宋体"/>
                      <w:b w:val="0"/>
                      <w:sz w:val="20"/>
                    </w:rPr>
                    <w:t>495</w:t>
                  </w:r>
                </w:p>
              </w:tc>
              <w:tc>
                <w:tcPr>
                  <w:tcW w:type="dxa" w:w="1227"/>
                </w:tcPr>
                <w:p>
                  <w:pPr>
                    <w:jc w:val="center"/>
                  </w:pPr>
                  <w:r>
                    <w:rPr>
                      <w:rFonts w:eastAsia="宋体"/>
                      <w:rFonts w:ascii="宋体" w:hAnsi="宋体"/>
                      <w:b w:val="0"/>
                      <w:sz w:val="20"/>
                    </w:rPr>
                    <w:t>0.9500</w:t>
                  </w:r>
                </w:p>
              </w:tc>
              <w:tc>
                <w:tcPr>
                  <w:tcW w:type="dxa" w:w="1227"/>
                </w:tcPr>
                <w:p>
                  <w:pPr>
                    <w:jc w:val="center"/>
                  </w:pPr>
                  <w:r>
                    <w:rPr>
                      <w:rFonts w:eastAsia="宋体"/>
                      <w:rFonts w:ascii="宋体" w:hAnsi="宋体"/>
                      <w:b w:val="0"/>
                      <w:sz w:val="20"/>
                    </w:rPr>
                    <w:t>0.9502</w:t>
                  </w:r>
                </w:p>
              </w:tc>
              <w:tc>
                <w:tcPr>
                  <w:tcW w:type="dxa" w:w="1227"/>
                </w:tcPr>
                <w:p>
                  <w:pPr>
                    <w:jc w:val="center"/>
                  </w:pPr>
                  <w:r>
                    <w:rPr>
                      <w:rFonts w:eastAsia="宋体"/>
                      <w:rFonts w:ascii="宋体" w:hAnsi="宋体"/>
                      <w:b w:val="0"/>
                      <w:sz w:val="20"/>
                    </w:rPr>
                    <w:t>0.9520</w:t>
                  </w:r>
                </w:p>
              </w:tc>
              <w:tc>
                <w:tcPr>
                  <w:tcW w:type="dxa" w:w="1227"/>
                </w:tcPr>
                <w:p>
                  <w:pPr>
                    <w:jc w:val="center"/>
                  </w:pPr>
                  <w:r>
                    <w:rPr>
                      <w:rFonts w:eastAsia="宋体"/>
                      <w:rFonts w:ascii="宋体" w:hAnsi="宋体"/>
                      <w:b w:val="0"/>
                      <w:sz w:val="20"/>
                    </w:rPr>
                    <w:t>+0.0011</w:t>
                  </w:r>
                </w:p>
              </w:tc>
            </w:tr>
            <w:tr>
              <w:tc>
                <w:tcPr>
                  <w:tcW w:type="dxa" w:w="8589"/>
                  <w:gridSpan w:val="7"/>
                </w:tcPr>
                <w:p>
                  <w:r>
                    <w:rPr>
                      <w:rFonts w:eastAsia="宋体"/>
                      <w:rFonts w:ascii="宋体" w:hAnsi="宋体"/>
                      <w:b w:val="0"/>
                      <w:sz w:val="18"/>
                    </w:rPr>
                    <w:t>注：QT=QuantileTransformer；RUS=RandomUnderSampler；CW=class_weight=balanced；迭代3的SMOTE数据集从40933→40933维度更大但AUC略优于迭代2。</w:t>
                  </w:r>
                </w:p>
              </w:tc>
            </w:tr>
          </w:tbl>
          <w:p/>
          <w:p>
            <w:pPr>
              <w:spacing w:before="0" w:after="40" w:line="240" w:lineRule="auto"/>
              <w:jc w:val="left"/>
            </w:pPr>
            <w:r>
              <w:rPr>
                <w:rFonts w:eastAsia="宋体"/>
                <w:rFonts w:ascii="宋体" w:hAnsi="宋体"/>
                <w:b w:val="0"/>
                <w:sz w:val="24"/>
              </w:rPr>
            </w:r>
          </w:p>
          <w:p>
            <w:pPr>
              <w:spacing w:before="0" w:after="40" w:line="240" w:lineRule="auto"/>
              <w:ind w:firstLine="480"/>
              <w:jc w:val="left"/>
            </w:pPr>
            <w:r>
              <w:rPr>
                <w:rFonts w:eastAsia="宋体"/>
                <w:rFonts w:ascii="宋体" w:hAnsi="宋体"/>
                <w:b w:val="0"/>
                <w:sz w:val="24"/>
              </w:rPr>
              <w:t>优化路径分析：迭代2的衍生特征工程贡献最大（+0.0038），核心原因是 pdays_contacted 二值化消除了 999 大数值对标准化的干扰，duration_log 对数变换使最强预测因子的分布更适合 LR 拟合，econ_pressure 乘积项引入了手工交互信息；迭代3的 QuantileTransformer 升级贡献了 +0.0031，从根本上解决了偏斜分布问题；迭代4进一步将交互特征扩展到 OHE 列，贡献 +0.0011。</w:t>
            </w:r>
          </w:p>
          <w:p>
            <w:pPr>
              <w:spacing w:before="100" w:after="20" w:line="240" w:lineRule="auto"/>
            </w:pPr>
            <w:r>
              <w:rPr>
                <w:rFonts w:eastAsia="宋体"/>
                <w:rFonts w:ascii="宋体" w:hAnsi="宋体"/>
                <w:b/>
                <w:sz w:val="24"/>
              </w:rPr>
              <w:t>4.2 最终三模型完整性能对比（测试集，n=8,238）</w:t>
            </w:r>
          </w:p>
          <w:p>
            <w:pPr>
              <w:spacing w:before="0" w:after="40" w:line="240" w:lineRule="auto"/>
              <w:ind w:firstLine="480"/>
              <w:jc w:val="left"/>
            </w:pPr>
            <w:r>
              <w:rPr>
                <w:rFonts w:eastAsia="宋体"/>
                <w:rFonts w:ascii="宋体" w:hAnsi="宋体"/>
                <w:b w:val="0"/>
                <w:sz w:val="24"/>
              </w:rPr>
              <w:t>以下表格汇总 classification_report 中正类（订阅=1）的核心指标。classification_report 同时输出负类（未订阅=0）、macro avg 和 weighted avg，本表聚焦正类（support=928），因其是业务关注的目标群体。</w:t>
            </w:r>
          </w:p>
          <w:p>
            <w:pPr>
              <w:spacing w:before="0" w:after="40" w:line="240" w:lineRule="auto"/>
              <w:jc w:val="left"/>
            </w:pPr>
            <w:r>
              <w:rPr>
                <w:rFonts w:eastAsia="宋体"/>
                <w:rFonts w:ascii="宋体" w:hAnsi="宋体"/>
                <w:b w:val="0"/>
                <w:sz w:val="24"/>
              </w:rPr>
            </w:r>
          </w:p>
          <w:tbl>
            <w:tblPr>
              <w:tblW w:type="auto" w:w="0"/>
              <w:tblLook w:firstColumn="1" w:firstRow="1" w:lastColumn="0" w:lastRow="0" w:noHBand="0" w:noVBand="1" w:val="04A0"/>
            </w:tblPr>
            <w:tblGrid>
              <w:gridCol w:w="1074"/>
              <w:gridCol w:w="1074"/>
              <w:gridCol w:w="1074"/>
              <w:gridCol w:w="1074"/>
              <w:gridCol w:w="1074"/>
              <w:gridCol w:w="1074"/>
              <w:gridCol w:w="1074"/>
              <w:gridCol w:w="1074"/>
            </w:tblGrid>
            <w:tr>
              <w:tc>
                <w:tcPr>
                  <w:tcW w:type="dxa" w:w="1074"/>
                </w:tcPr>
                <w:p>
                  <w:pPr>
                    <w:jc w:val="center"/>
                  </w:pPr>
                  <w:r>
                    <w:rPr>
                      <w:rFonts w:eastAsia="宋体"/>
                      <w:rFonts w:ascii="宋体" w:hAnsi="宋体"/>
                      <w:b/>
                      <w:sz w:val="20"/>
                    </w:rPr>
                    <w:t>策略</w:t>
                  </w:r>
                </w:p>
              </w:tc>
              <w:tc>
                <w:tcPr>
                  <w:tcW w:type="dxa" w:w="1074"/>
                </w:tcPr>
                <w:p>
                  <w:pPr>
                    <w:jc w:val="center"/>
                  </w:pPr>
                  <w:r>
                    <w:rPr>
                      <w:rFonts w:eastAsia="宋体"/>
                      <w:rFonts w:ascii="宋体" w:hAnsi="宋体"/>
                      <w:b/>
                      <w:sz w:val="20"/>
                    </w:rPr>
                    <w:t>Precision(1)</w:t>
                  </w:r>
                </w:p>
              </w:tc>
              <w:tc>
                <w:tcPr>
                  <w:tcW w:type="dxa" w:w="1074"/>
                </w:tcPr>
                <w:p>
                  <w:pPr>
                    <w:jc w:val="center"/>
                  </w:pPr>
                  <w:r>
                    <w:rPr>
                      <w:rFonts w:eastAsia="宋体"/>
                      <w:rFonts w:ascii="宋体" w:hAnsi="宋体"/>
                      <w:b/>
                      <w:sz w:val="20"/>
                    </w:rPr>
                    <w:t>Recall(1)</w:t>
                  </w:r>
                </w:p>
              </w:tc>
              <w:tc>
                <w:tcPr>
                  <w:tcW w:type="dxa" w:w="1074"/>
                </w:tcPr>
                <w:p>
                  <w:pPr>
                    <w:jc w:val="center"/>
                  </w:pPr>
                  <w:r>
                    <w:rPr>
                      <w:rFonts w:eastAsia="宋体"/>
                      <w:rFonts w:ascii="宋体" w:hAnsi="宋体"/>
                      <w:b/>
                      <w:sz w:val="20"/>
                    </w:rPr>
                    <w:t>F1-Score(1)</w:t>
                  </w:r>
                </w:p>
              </w:tc>
              <w:tc>
                <w:tcPr>
                  <w:tcW w:type="dxa" w:w="1074"/>
                </w:tcPr>
                <w:p>
                  <w:pPr>
                    <w:jc w:val="center"/>
                  </w:pPr>
                  <w:r>
                    <w:rPr>
                      <w:rFonts w:eastAsia="宋体"/>
                      <w:rFonts w:ascii="宋体" w:hAnsi="宋体"/>
                      <w:b/>
                      <w:sz w:val="20"/>
                    </w:rPr>
                    <w:t>Accuracy</w:t>
                  </w:r>
                </w:p>
              </w:tc>
              <w:tc>
                <w:tcPr>
                  <w:tcW w:type="dxa" w:w="1074"/>
                </w:tcPr>
                <w:p>
                  <w:pPr>
                    <w:jc w:val="center"/>
                  </w:pPr>
                  <w:r>
                    <w:rPr>
                      <w:rFonts w:eastAsia="宋体"/>
                      <w:rFonts w:ascii="宋体" w:hAnsi="宋体"/>
                      <w:b/>
                      <w:sz w:val="20"/>
                    </w:rPr>
                    <w:t>AUC</w:t>
                  </w:r>
                </w:p>
              </w:tc>
              <w:tc>
                <w:tcPr>
                  <w:tcW w:type="dxa" w:w="1074"/>
                </w:tcPr>
                <w:p>
                  <w:pPr>
                    <w:jc w:val="center"/>
                  </w:pPr>
                  <w:r>
                    <w:rPr>
                      <w:rFonts w:eastAsia="宋体"/>
                      <w:rFonts w:ascii="宋体" w:hAnsi="宋体"/>
                      <w:b/>
                      <w:sz w:val="20"/>
                    </w:rPr>
                    <w:t>TN/FP/FN/TP</w:t>
                  </w:r>
                </w:p>
              </w:tc>
              <w:tc>
                <w:tcPr>
                  <w:tcW w:type="dxa" w:w="1074"/>
                </w:tcPr>
                <w:p>
                  <w:pPr>
                    <w:jc w:val="center"/>
                  </w:pPr>
                  <w:r>
                    <w:rPr>
                      <w:rFonts w:eastAsia="宋体"/>
                      <w:rFonts w:ascii="宋体" w:hAnsi="宋体"/>
                      <w:b/>
                      <w:sz w:val="20"/>
                    </w:rPr>
                    <w:t>最优参数</w:t>
                  </w:r>
                </w:p>
              </w:tc>
            </w:tr>
            <w:tr>
              <w:tc>
                <w:tcPr>
                  <w:tcW w:type="dxa" w:w="1074"/>
                </w:tcPr>
                <w:p>
                  <w:pPr>
                    <w:jc w:val="center"/>
                  </w:pPr>
                  <w:r>
                    <w:rPr>
                      <w:rFonts w:eastAsia="宋体"/>
                      <w:rFonts w:ascii="宋体" w:hAnsi="宋体"/>
                      <w:b w:val="0"/>
                      <w:sz w:val="20"/>
                    </w:rPr>
                    <w:t>LR (SMOTE)</w:t>
                  </w:r>
                </w:p>
              </w:tc>
              <w:tc>
                <w:tcPr>
                  <w:tcW w:type="dxa" w:w="1074"/>
                </w:tcPr>
                <w:p>
                  <w:pPr>
                    <w:jc w:val="center"/>
                  </w:pPr>
                  <w:r>
                    <w:rPr>
                      <w:rFonts w:eastAsia="宋体"/>
                      <w:rFonts w:ascii="宋体" w:hAnsi="宋体"/>
                      <w:b w:val="0"/>
                      <w:sz w:val="20"/>
                    </w:rPr>
                    <w:t>0.55</w:t>
                  </w:r>
                </w:p>
              </w:tc>
              <w:tc>
                <w:tcPr>
                  <w:tcW w:type="dxa" w:w="1074"/>
                </w:tcPr>
                <w:p>
                  <w:pPr>
                    <w:jc w:val="center"/>
                  </w:pPr>
                  <w:r>
                    <w:rPr>
                      <w:rFonts w:eastAsia="宋体"/>
                      <w:rFonts w:ascii="宋体" w:hAnsi="宋体"/>
                      <w:b w:val="0"/>
                      <w:sz w:val="20"/>
                    </w:rPr>
                    <w:t>0.81</w:t>
                  </w:r>
                </w:p>
              </w:tc>
              <w:tc>
                <w:tcPr>
                  <w:tcW w:type="dxa" w:w="1074"/>
                </w:tcPr>
                <w:p>
                  <w:pPr>
                    <w:jc w:val="center"/>
                  </w:pPr>
                  <w:r>
                    <w:rPr>
                      <w:rFonts w:eastAsia="宋体"/>
                      <w:rFonts w:ascii="宋体" w:hAnsi="宋体"/>
                      <w:b w:val="0"/>
                      <w:sz w:val="20"/>
                    </w:rPr>
                    <w:t>0.66</w:t>
                  </w:r>
                </w:p>
              </w:tc>
              <w:tc>
                <w:tcPr>
                  <w:tcW w:type="dxa" w:w="1074"/>
                </w:tcPr>
                <w:p>
                  <w:pPr>
                    <w:jc w:val="center"/>
                  </w:pPr>
                  <w:r>
                    <w:rPr>
                      <w:rFonts w:eastAsia="宋体"/>
                      <w:rFonts w:ascii="宋体" w:hAnsi="宋体"/>
                      <w:b w:val="0"/>
                      <w:sz w:val="20"/>
                    </w:rPr>
                    <w:t>90.3%</w:t>
                  </w:r>
                </w:p>
              </w:tc>
              <w:tc>
                <w:tcPr>
                  <w:tcW w:type="dxa" w:w="1074"/>
                </w:tcPr>
                <w:p>
                  <w:pPr>
                    <w:jc w:val="center"/>
                  </w:pPr>
                  <w:r>
                    <w:rPr>
                      <w:rFonts w:eastAsia="宋体"/>
                      <w:rFonts w:ascii="宋体" w:hAnsi="宋体"/>
                      <w:b w:val="0"/>
                      <w:sz w:val="20"/>
                    </w:rPr>
                    <w:t>0.9500</w:t>
                  </w:r>
                </w:p>
              </w:tc>
              <w:tc>
                <w:tcPr>
                  <w:tcW w:type="dxa" w:w="1074"/>
                </w:tcPr>
                <w:p>
                  <w:pPr>
                    <w:jc w:val="center"/>
                  </w:pPr>
                  <w:r>
                    <w:rPr>
                      <w:rFonts w:eastAsia="宋体"/>
                      <w:rFonts w:ascii="宋体" w:hAnsi="宋体"/>
                      <w:b w:val="0"/>
                      <w:sz w:val="20"/>
                    </w:rPr>
                    <w:t>6725/585/176/752</w:t>
                  </w:r>
                </w:p>
              </w:tc>
              <w:tc>
                <w:tcPr>
                  <w:tcW w:type="dxa" w:w="1074"/>
                </w:tcPr>
                <w:p>
                  <w:pPr>
                    <w:jc w:val="center"/>
                  </w:pPr>
                  <w:r>
                    <w:rPr>
                      <w:rFonts w:eastAsia="宋体"/>
                      <w:rFonts w:ascii="宋体" w:hAnsi="宋体"/>
                      <w:b w:val="0"/>
                      <w:sz w:val="20"/>
                    </w:rPr>
                    <w:t>C=0.05, L2</w:t>
                  </w:r>
                </w:p>
              </w:tc>
            </w:tr>
            <w:tr>
              <w:tc>
                <w:tcPr>
                  <w:tcW w:type="dxa" w:w="1074"/>
                </w:tcPr>
                <w:p>
                  <w:pPr>
                    <w:jc w:val="center"/>
                  </w:pPr>
                  <w:r>
                    <w:rPr>
                      <w:rFonts w:eastAsia="宋体"/>
                      <w:rFonts w:ascii="宋体" w:hAnsi="宋体"/>
                      <w:b w:val="0"/>
                      <w:sz w:val="20"/>
                    </w:rPr>
                    <w:t>LR (UnderSample)</w:t>
                  </w:r>
                </w:p>
              </w:tc>
              <w:tc>
                <w:tcPr>
                  <w:tcW w:type="dxa" w:w="1074"/>
                </w:tcPr>
                <w:p>
                  <w:pPr>
                    <w:jc w:val="center"/>
                  </w:pPr>
                  <w:r>
                    <w:rPr>
                      <w:rFonts w:eastAsia="宋体"/>
                      <w:rFonts w:ascii="宋体" w:hAnsi="宋体"/>
                      <w:b w:val="0"/>
                      <w:sz w:val="20"/>
                    </w:rPr>
                    <w:t>0.44</w:t>
                  </w:r>
                </w:p>
              </w:tc>
              <w:tc>
                <w:tcPr>
                  <w:tcW w:type="dxa" w:w="1074"/>
                </w:tcPr>
                <w:p>
                  <w:pPr>
                    <w:jc w:val="center"/>
                  </w:pPr>
                  <w:r>
                    <w:rPr>
                      <w:rFonts w:eastAsia="宋体"/>
                      <w:rFonts w:ascii="宋体" w:hAnsi="宋体"/>
                      <w:b w:val="0"/>
                      <w:sz w:val="20"/>
                    </w:rPr>
                    <w:t>0.93</w:t>
                  </w:r>
                </w:p>
              </w:tc>
              <w:tc>
                <w:tcPr>
                  <w:tcW w:type="dxa" w:w="1074"/>
                </w:tcPr>
                <w:p>
                  <w:pPr>
                    <w:jc w:val="center"/>
                  </w:pPr>
                  <w:r>
                    <w:rPr>
                      <w:rFonts w:eastAsia="宋体"/>
                      <w:rFonts w:ascii="宋体" w:hAnsi="宋体"/>
                      <w:b w:val="0"/>
                      <w:sz w:val="20"/>
                    </w:rPr>
                    <w:t>0.60</w:t>
                  </w:r>
                </w:p>
              </w:tc>
              <w:tc>
                <w:tcPr>
                  <w:tcW w:type="dxa" w:w="1074"/>
                </w:tcPr>
                <w:p>
                  <w:pPr>
                    <w:jc w:val="center"/>
                  </w:pPr>
                  <w:r>
                    <w:rPr>
                      <w:rFonts w:eastAsia="宋体"/>
                      <w:rFonts w:ascii="宋体" w:hAnsi="宋体"/>
                      <w:b w:val="0"/>
                      <w:sz w:val="20"/>
                    </w:rPr>
                    <w:t>85.8%</w:t>
                  </w:r>
                </w:p>
              </w:tc>
              <w:tc>
                <w:tcPr>
                  <w:tcW w:type="dxa" w:w="1074"/>
                </w:tcPr>
                <w:p>
                  <w:pPr>
                    <w:jc w:val="center"/>
                  </w:pPr>
                  <w:r>
                    <w:rPr>
                      <w:rFonts w:eastAsia="宋体"/>
                      <w:rFonts w:ascii="宋体" w:hAnsi="宋体"/>
                      <w:b w:val="0"/>
                      <w:sz w:val="20"/>
                    </w:rPr>
                    <w:t>0.9502</w:t>
                  </w:r>
                </w:p>
              </w:tc>
              <w:tc>
                <w:tcPr>
                  <w:tcW w:type="dxa" w:w="1074"/>
                </w:tcPr>
                <w:p>
                  <w:pPr>
                    <w:jc w:val="center"/>
                  </w:pPr>
                  <w:r>
                    <w:rPr>
                      <w:rFonts w:eastAsia="宋体"/>
                      <w:rFonts w:ascii="宋体" w:hAnsi="宋体"/>
                      <w:b w:val="0"/>
                      <w:sz w:val="20"/>
                    </w:rPr>
                    <w:t>6214/1096/65/863</w:t>
                  </w:r>
                </w:p>
              </w:tc>
              <w:tc>
                <w:tcPr>
                  <w:tcW w:type="dxa" w:w="1074"/>
                </w:tcPr>
                <w:p>
                  <w:pPr>
                    <w:jc w:val="center"/>
                  </w:pPr>
                  <w:r>
                    <w:rPr>
                      <w:rFonts w:eastAsia="宋体"/>
                      <w:rFonts w:ascii="宋体" w:hAnsi="宋体"/>
                      <w:b w:val="0"/>
                      <w:sz w:val="20"/>
                    </w:rPr>
                    <w:t>C=0.01, L1</w:t>
                  </w:r>
                </w:p>
              </w:tc>
            </w:tr>
            <w:tr>
              <w:tc>
                <w:tcPr>
                  <w:tcW w:type="dxa" w:w="1074"/>
                </w:tcPr>
                <w:p>
                  <w:pPr>
                    <w:jc w:val="center"/>
                  </w:pPr>
                  <w:r>
                    <w:rPr>
                      <w:rFonts w:eastAsia="宋体"/>
                      <w:rFonts w:ascii="宋体" w:hAnsi="宋体"/>
                      <w:b w:val="0"/>
                      <w:sz w:val="20"/>
                    </w:rPr>
                    <w:t>LR (ClassWeight)</w:t>
                  </w:r>
                </w:p>
              </w:tc>
              <w:tc>
                <w:tcPr>
                  <w:tcW w:type="dxa" w:w="1074"/>
                </w:tcPr>
                <w:p>
                  <w:pPr>
                    <w:jc w:val="center"/>
                  </w:pPr>
                  <w:r>
                    <w:rPr>
                      <w:rFonts w:eastAsia="宋体"/>
                      <w:rFonts w:ascii="宋体" w:hAnsi="宋体"/>
                      <w:b w:val="0"/>
                      <w:sz w:val="20"/>
                    </w:rPr>
                    <w:t>0.44</w:t>
                  </w:r>
                </w:p>
              </w:tc>
              <w:tc>
                <w:tcPr>
                  <w:tcW w:type="dxa" w:w="1074"/>
                </w:tcPr>
                <w:p>
                  <w:pPr>
                    <w:jc w:val="center"/>
                  </w:pPr>
                  <w:r>
                    <w:rPr>
                      <w:rFonts w:eastAsia="宋体"/>
                      <w:rFonts w:ascii="宋体" w:hAnsi="宋体"/>
                      <w:b w:val="0"/>
                      <w:sz w:val="20"/>
                    </w:rPr>
                    <w:t>0.94</w:t>
                  </w:r>
                </w:p>
              </w:tc>
              <w:tc>
                <w:tcPr>
                  <w:tcW w:type="dxa" w:w="1074"/>
                </w:tcPr>
                <w:p>
                  <w:pPr>
                    <w:jc w:val="center"/>
                  </w:pPr>
                  <w:r>
                    <w:rPr>
                      <w:rFonts w:eastAsia="宋体"/>
                      <w:rFonts w:ascii="宋体" w:hAnsi="宋体"/>
                      <w:b w:val="0"/>
                      <w:sz w:val="20"/>
                    </w:rPr>
                    <w:t>0.60</w:t>
                  </w:r>
                </w:p>
              </w:tc>
              <w:tc>
                <w:tcPr>
                  <w:tcW w:type="dxa" w:w="1074"/>
                </w:tcPr>
                <w:p>
                  <w:pPr>
                    <w:jc w:val="center"/>
                  </w:pPr>
                  <w:r>
                    <w:rPr>
                      <w:rFonts w:eastAsia="宋体"/>
                      <w:rFonts w:ascii="宋体" w:hAnsi="宋体"/>
                      <w:b w:val="0"/>
                      <w:sz w:val="20"/>
                    </w:rPr>
                    <w:t>85.6%</w:t>
                  </w:r>
                </w:p>
              </w:tc>
              <w:tc>
                <w:tcPr>
                  <w:tcW w:type="dxa" w:w="1074"/>
                </w:tcPr>
                <w:p>
                  <w:pPr>
                    <w:jc w:val="center"/>
                  </w:pPr>
                  <w:r>
                    <w:rPr>
                      <w:rFonts w:eastAsia="宋体"/>
                      <w:rFonts w:ascii="宋体" w:hAnsi="宋体"/>
                      <w:b w:val="0"/>
                      <w:sz w:val="20"/>
                    </w:rPr>
                    <w:t>0.9520</w:t>
                  </w:r>
                </w:p>
              </w:tc>
              <w:tc>
                <w:tcPr>
                  <w:tcW w:type="dxa" w:w="1074"/>
                </w:tcPr>
                <w:p>
                  <w:pPr>
                    <w:jc w:val="center"/>
                  </w:pPr>
                  <w:r>
                    <w:rPr>
                      <w:rFonts w:eastAsia="宋体"/>
                      <w:rFonts w:ascii="宋体" w:hAnsi="宋体"/>
                      <w:b w:val="0"/>
                      <w:sz w:val="20"/>
                    </w:rPr>
                    <w:t>6214/1096/56/872</w:t>
                  </w:r>
                </w:p>
              </w:tc>
              <w:tc>
                <w:tcPr>
                  <w:tcW w:type="dxa" w:w="1074"/>
                </w:tcPr>
                <w:p>
                  <w:pPr>
                    <w:jc w:val="center"/>
                  </w:pPr>
                  <w:r>
                    <w:rPr>
                      <w:rFonts w:eastAsia="宋体"/>
                      <w:rFonts w:ascii="宋体" w:hAnsi="宋体"/>
                      <w:b w:val="0"/>
                      <w:sz w:val="20"/>
                    </w:rPr>
                    <w:t>C=0.005, L1</w:t>
                  </w:r>
                </w:p>
              </w:tc>
            </w:tr>
            <w:tr>
              <w:tc>
                <w:tcPr>
                  <w:tcW w:type="dxa" w:w="8592"/>
                  <w:gridSpan w:val="8"/>
                </w:tcPr>
                <w:p>
                  <w:r>
                    <w:rPr>
                      <w:rFonts w:eastAsia="宋体"/>
                      <w:rFonts w:ascii="宋体" w:hAnsi="宋体"/>
                      <w:b w:val="0"/>
                      <w:sz w:val="18"/>
                    </w:rPr>
                    <w:t>注：Precision=TP/(TP+FP)；Recall=TP/(TP+FN)；F1=2PR/(P+R)；AUC 阈值无关。</w:t>
                  </w:r>
                </w:p>
              </w:tc>
            </w:tr>
          </w:tbl>
          <w:p/>
          <w:p>
            <w:pPr>
              <w:spacing w:before="0" w:after="40" w:line="240" w:lineRule="auto"/>
              <w:jc w:val="left"/>
            </w:pPr>
            <w:r>
              <w:rPr>
                <w:rFonts w:eastAsia="宋体"/>
                <w:rFonts w:ascii="宋体" w:hAnsi="宋体"/>
                <w:b w:val="0"/>
                <w:sz w:val="24"/>
              </w:rPr>
            </w:r>
          </w:p>
          <w:p>
            <w:pPr>
              <w:spacing w:before="100" w:after="20" w:line="240" w:lineRule="auto"/>
            </w:pPr>
            <w:r>
              <w:rPr>
                <w:rFonts w:eastAsia="宋体"/>
                <w:rFonts w:ascii="宋体" w:hAnsi="宋体"/>
                <w:b/>
                <w:sz w:val="24"/>
              </w:rPr>
              <w:t>4.2.1 classification_report 各指标含义解读</w:t>
            </w:r>
          </w:p>
          <w:p>
            <w:pPr>
              <w:spacing w:before="0" w:after="40" w:line="240" w:lineRule="auto"/>
              <w:ind w:firstLine="480"/>
              <w:jc w:val="left"/>
            </w:pPr>
            <w:r>
              <w:rPr>
                <w:rFonts w:eastAsia="宋体"/>
                <w:rFonts w:ascii="宋体" w:hAnsi="宋体"/>
                <w:b w:val="0"/>
                <w:sz w:val="24"/>
              </w:rPr>
              <w:t>Precision（精确率）= TP/(TP+FP)：在模型预测为"订阅"的客户中，真正订阅的占比。SMOTE 的 Precision=0.55 最高，意味着向银行推荐 100 人中有 55 人是真实意向客户，误打扰 45 人；ClassWeight/UnderSample 的 Precision=0.44，推荐 100 人中有 44 人是真实意向客户。</w:t>
            </w:r>
          </w:p>
          <w:p>
            <w:pPr>
              <w:spacing w:before="0" w:after="40" w:line="240" w:lineRule="auto"/>
              <w:ind w:firstLine="480"/>
              <w:jc w:val="left"/>
            </w:pPr>
            <w:r>
              <w:rPr>
                <w:rFonts w:eastAsia="宋体"/>
                <w:rFonts w:ascii="宋体" w:hAnsi="宋体"/>
                <w:b w:val="0"/>
                <w:sz w:val="24"/>
              </w:rPr>
              <w:t>Recall（召回率）= TP/(TP+FN)：在全部真实订阅客户中，模型成功识别的比例。ClassWeight 的 Recall=0.94 最高，意味着每 100 个真实意向客户中能找回 94 个，仅漏掉 6 个；SMOTE 的 Recall=0.81，每 100 个真实客户中漏掉 19 个。Recall 是银行营销最核心的指标。</w:t>
            </w:r>
          </w:p>
          <w:p>
            <w:pPr>
              <w:spacing w:before="0" w:after="40" w:line="240" w:lineRule="auto"/>
              <w:ind w:firstLine="480"/>
              <w:jc w:val="left"/>
            </w:pPr>
            <w:r>
              <w:rPr>
                <w:rFonts w:eastAsia="宋体"/>
                <w:rFonts w:ascii="宋体" w:hAnsi="宋体"/>
                <w:b w:val="0"/>
                <w:sz w:val="24"/>
              </w:rPr>
              <w:t>F1-Score = 2·Precision·Recall/(Precision+Recall)：Precision 和 Recall 的调和平均，是单一综合性能指标。调和平均的特性使其对两者中较低的值更敏感——SMOTE 的 F1=0.66（P、R 相对平衡），ClassWeight 的 F1=0.60（R 极高但 P 较低）。若业务同等重视精确率和召回率，选 SMOTE；若更重视召回率，选 ClassWeight。</w:t>
            </w:r>
          </w:p>
          <w:p>
            <w:pPr>
              <w:spacing w:before="0" w:after="40" w:line="240" w:lineRule="auto"/>
              <w:jc w:val="left"/>
            </w:pPr>
            <w:r>
              <w:rPr>
                <w:rFonts w:eastAsia="宋体"/>
                <w:rFonts w:ascii="宋体" w:hAnsi="宋体"/>
                <w:b w:val="0"/>
                <w:sz w:val="24"/>
              </w:rPr>
            </w:r>
          </w:p>
          <w:p>
            <w:pPr>
              <w:spacing w:before="100" w:after="20" w:line="240" w:lineRule="auto"/>
            </w:pPr>
            <w:r>
              <w:rPr>
                <w:rFonts w:eastAsia="宋体"/>
                <w:rFonts w:ascii="宋体" w:hAnsi="宋体"/>
                <w:b/>
                <w:sz w:val="24"/>
              </w:rPr>
              <w:t>4.3 评估指标深度分析</w:t>
            </w:r>
          </w:p>
          <w:p>
            <w:pPr>
              <w:spacing w:before="0" w:after="40" w:line="240" w:lineRule="auto"/>
              <w:jc w:val="left"/>
            </w:pPr>
            <w:r>
              <w:rPr>
                <w:rFonts w:eastAsia="宋体"/>
                <w:rFonts w:ascii="宋体" w:hAnsi="宋体"/>
                <w:b/>
                <w:sz w:val="24"/>
              </w:rPr>
              <w:t>（1）为何 Accuracy 不能作为核心指标</w:t>
            </w:r>
          </w:p>
          <w:p>
            <w:pPr>
              <w:spacing w:before="0" w:after="40" w:line="240" w:lineRule="auto"/>
              <w:ind w:firstLine="480"/>
              <w:jc w:val="left"/>
            </w:pPr>
            <w:r>
              <w:rPr>
                <w:rFonts w:eastAsia="宋体"/>
                <w:rFonts w:ascii="宋体" w:hAnsi="宋体"/>
                <w:b w:val="0"/>
                <w:sz w:val="24"/>
              </w:rPr>
              <w:t>若将所有测试样本预测为"未订阅"，准确率高达 88.7%，但 Recall(1)=0，银行会完全错失所有潜在订阅客户。本实验三个模型的 Accuracy 为 85.6%~90.3%，略低于"全预测负类"基准，但 Recall(1) 达到 81%~94%，才具有真实的业务捕捉价值。类别不平衡场景下，F1-Score 和 AUC 是更可靠的综合性能指标。</w:t>
            </w:r>
          </w:p>
          <w:p>
            <w:pPr>
              <w:spacing w:before="0" w:after="40" w:line="240" w:lineRule="auto"/>
              <w:jc w:val="left"/>
            </w:pPr>
            <w:r>
              <w:rPr>
                <w:rFonts w:eastAsia="宋体"/>
                <w:rFonts w:ascii="宋体" w:hAnsi="宋体"/>
                <w:b/>
                <w:sz w:val="24"/>
              </w:rPr>
              <w:t>（2）三种策略的 Precision-Recall 权衡</w:t>
            </w:r>
          </w:p>
          <w:p>
            <w:pPr>
              <w:spacing w:before="0" w:after="40" w:line="240" w:lineRule="auto"/>
              <w:ind w:firstLine="480"/>
              <w:jc w:val="left"/>
            </w:pPr>
            <w:r>
              <w:rPr>
                <w:rFonts w:eastAsia="宋体"/>
                <w:rFonts w:ascii="宋体" w:hAnsi="宋体"/>
                <w:b w:val="0"/>
                <w:sz w:val="24"/>
              </w:rPr>
              <w:t>SMOTE（P=0.55, R=0.81）：取得三者中最佳的精确-召回平衡。误报 585 人、漏报 176 人；每向银行推荐 10 位"潜在订阅客户"中有 5.5 位是真实客户，适合希望在触达率和误扰率间取平衡的营销场景。SMOTE 策略的最优 C=0.05 且选择 L2 正则，说明合成样本使数据分布更平滑，对 L2 的均匀惩罚更友好。</w:t>
            </w:r>
          </w:p>
          <w:p>
            <w:pPr>
              <w:spacing w:before="0" w:after="40" w:line="240" w:lineRule="auto"/>
              <w:ind w:firstLine="480"/>
              <w:jc w:val="left"/>
            </w:pPr>
            <w:r>
              <w:rPr>
                <w:rFonts w:eastAsia="宋体"/>
                <w:rFonts w:ascii="宋体" w:hAnsi="宋体"/>
                <w:b w:val="0"/>
                <w:sz w:val="24"/>
              </w:rPr>
              <w:t>UnderSample（P=0.44, R=0.93）：召回率极高，漏报仅 65 人（漏报率 7.0%）；但误报高达 1,096 人，每推荐 10 位中仅 4.4 位是真实客户，会造成大量无意愿客户被骚扰。训练集仅 7,424 条（丢弃了 77.5% 的多数类数据），L1 正则在此稀疏数据上表现更好。</w:t>
            </w:r>
          </w:p>
          <w:p>
            <w:pPr>
              <w:spacing w:before="0" w:after="40" w:line="240" w:lineRule="auto"/>
              <w:ind w:firstLine="480"/>
              <w:jc w:val="left"/>
            </w:pPr>
            <w:r>
              <w:rPr>
                <w:rFonts w:eastAsia="宋体"/>
                <w:rFonts w:ascii="宋体" w:hAnsi="宋体"/>
                <w:b w:val="0"/>
                <w:sz w:val="24"/>
              </w:rPr>
              <w:t>ClassWeight（P=0.44, R=0.94）：漏报最少（56人，漏报率 6.0%），且保留全部 32,950 条原始训练数据，AUC=0.9520 是三者最高，是综合性能最优的策略。最优 C=0.005（最强正则化）+ L1（稀疏选择），印证了在 495 维高维空间中，强正则化对防止过拟合至关重要。</w:t>
            </w:r>
          </w:p>
          <w:p>
            <w:pPr>
              <w:spacing w:before="0" w:after="40" w:line="240" w:lineRule="auto"/>
              <w:jc w:val="left"/>
            </w:pPr>
            <w:r>
              <w:rPr>
                <w:rFonts w:eastAsia="宋体"/>
                <w:rFonts w:ascii="宋体" w:hAnsi="宋体"/>
                <w:b/>
                <w:sz w:val="24"/>
              </w:rPr>
              <w:t>（3）超参数调优发现</w:t>
            </w:r>
          </w:p>
          <w:p>
            <w:pPr>
              <w:spacing w:before="0" w:after="40" w:line="240" w:lineRule="auto"/>
              <w:ind w:firstLine="480"/>
              <w:jc w:val="left"/>
            </w:pPr>
            <w:r>
              <w:rPr>
                <w:rFonts w:eastAsia="宋体"/>
                <w:rFonts w:ascii="宋体" w:hAnsi="宋体"/>
                <w:b w:val="0"/>
                <w:sz w:val="24"/>
              </w:rPr>
              <w:t>三种策略的最优 C 均集中在 0.005~0.05，远小于通常在低维特征集上使用的 C=1，这与 495 维高维特征空间中需要更强正则化以防止过拟合的理论预期完全一致。SMOTE 策略偏向 L2，因为合成样本使特征间相关性增强，L2 的均匀压缩更合适；而 UnderSample 和 ClassWeight 使用原始特征分布，L1 的稀疏选择能有效过滤 495 维中的噪声交互项。</w:t>
            </w:r>
          </w:p>
          <w:p>
            <w:pPr>
              <w:spacing w:before="0" w:after="40" w:line="240" w:lineRule="auto"/>
              <w:jc w:val="left"/>
            </w:pPr>
            <w:r>
              <w:rPr>
                <w:rFonts w:eastAsia="宋体"/>
                <w:rFonts w:ascii="宋体" w:hAnsi="宋体"/>
                <w:b/>
                <w:sz w:val="24"/>
              </w:rPr>
              <w:t>（4）与 GradientBoosting 的对比及 LR 性能边界</w:t>
            </w:r>
          </w:p>
          <w:p>
            <w:pPr>
              <w:spacing w:before="0" w:after="40" w:line="240" w:lineRule="auto"/>
              <w:ind w:firstLine="480"/>
              <w:jc w:val="left"/>
            </w:pPr>
            <w:r>
              <w:rPr>
                <w:rFonts w:eastAsia="宋体"/>
                <w:rFonts w:ascii="宋体" w:hAnsi="宋体"/>
                <w:b w:val="0"/>
                <w:sz w:val="24"/>
              </w:rPr>
              <w:t>为验证本实验 LR 方案是否已逼近性能上限，额外运行了 sklearn GradientBoosting（n_estimators=200, learning_rate=0.05, max_depth=4）作为基准对比：GradientBoosting AUC=0.9553，仅比本实验最佳 LR 高出 0.0033。这一结果证实：① 本实验的特征工程方案已使 LR 逼近其理论上限；② 即使是树集成方法，在此数据集上也仅能达到 0.955，数据本身的信息量决定了 AUC 的绝对上限约在 0.96 附近（与 Moro et al. 2014 原始论文一致）；③ 要在 LR 基础上进一步提升，须引入 XGBoost 等可自动学习任意阶非线性交互的梯度提升树模型。</w:t>
            </w:r>
          </w:p>
          <w:p>
            <w:pPr>
              <w:spacing w:before="100" w:after="20" w:line="240" w:lineRule="auto"/>
            </w:pPr>
            <w:r>
              <w:rPr>
                <w:rFonts w:eastAsia="宋体"/>
                <w:rFonts w:ascii="宋体" w:hAnsi="宋体"/>
                <w:b/>
                <w:sz w:val="24"/>
              </w:rPr>
              <w:t>4.4 可视化分析</w:t>
            </w:r>
          </w:p>
          <w:p>
            <w:pPr>
              <w:spacing w:before="0" w:after="40" w:line="240" w:lineRule="auto"/>
              <w:jc w:val="center"/>
            </w:pPr>
            <w:r>
              <w:rPr>
                <w:rFonts w:eastAsia="宋体"/>
                <w:rFonts w:ascii="宋体" w:hAnsi="宋体"/>
                <w:b w:val="0"/>
                <w:sz w:val="24"/>
              </w:rPr>
              <w:t>图 1  Precision / Recall / F1-Score 分组柱状图</w:t>
            </w:r>
          </w:p>
          <w:p>
            <w:pPr>
              <w:jc w:val="center"/>
            </w:pPr>
            <w:r>
              <w:drawing>
                <wp:inline xmlns:a="http://schemas.openxmlformats.org/drawingml/2006/main" xmlns:pic="http://schemas.openxmlformats.org/drawingml/2006/picture">
                  <wp:extent cx="5760000" cy="2383698"/>
                  <wp:docPr id="1" name="Picture 1"/>
                  <wp:cNvGraphicFramePr>
                    <a:graphicFrameLocks noChangeAspect="1"/>
                  </wp:cNvGraphicFramePr>
                  <a:graphic>
                    <a:graphicData uri="http://schemas.openxmlformats.org/drawingml/2006/picture">
                      <pic:pic>
                        <pic:nvPicPr>
                          <pic:cNvPr id="0" name="metrics_bar.png"/>
                          <pic:cNvPicPr/>
                        </pic:nvPicPr>
                        <pic:blipFill>
                          <a:blip r:embed="rId15"/>
                          <a:stretch>
                            <a:fillRect/>
                          </a:stretch>
                        </pic:blipFill>
                        <pic:spPr>
                          <a:xfrm>
                            <a:off x="0" y="0"/>
                            <a:ext cx="5760000" cy="2383698"/>
                          </a:xfrm>
                          <a:prstGeom prst="rect"/>
                        </pic:spPr>
                      </pic:pic>
                    </a:graphicData>
                  </a:graphic>
                </wp:inline>
              </w:drawing>
            </w:r>
          </w:p>
          <w:p>
            <w:pPr>
              <w:spacing w:before="0" w:after="40" w:line="240" w:lineRule="auto"/>
              <w:ind w:firstLine="480"/>
              <w:jc w:val="left"/>
            </w:pPr>
            <w:r>
              <w:rPr>
                <w:rFonts w:eastAsia="宋体"/>
                <w:rFonts w:ascii="宋体" w:hAnsi="宋体"/>
                <w:b w:val="0"/>
                <w:sz w:val="24"/>
              </w:rPr>
              <w:t>左图：四指标分组对比。Accuracy（准确率）三个模型差异最大（86%~90%），但在不平衡数据下参考价值有限——SMOTE 的高 Accuracy 源自其较低的误报率，而非对正类更好的识别；Recall（召回率）差异最显著：SMOTE=0.81 vs ClassWeight=0.94，相差 0.13，直接决定能找回多少真实客户；Precision（精确率）SMOTE 最高（0.55），因其误报最少；F1-Score 三者均在 0.60~0.66，SMOTE 综合最优（0.66）。</w:t>
            </w:r>
          </w:p>
          <w:p>
            <w:pPr>
              <w:spacing w:before="0" w:after="40" w:line="240" w:lineRule="auto"/>
              <w:ind w:firstLine="480"/>
              <w:jc w:val="left"/>
            </w:pPr>
            <w:r>
              <w:rPr>
                <w:rFonts w:eastAsia="宋体"/>
                <w:rFonts w:ascii="宋体" w:hAnsi="宋体"/>
                <w:b w:val="0"/>
                <w:sz w:val="24"/>
              </w:rPr>
              <w:t>右图：正类 Precision-Recall-F1 水平条形图，直观呈现权衡关系。SMOTE 和 ClassWeight/UnderSample 呈现两种截然不同的偏向：SMOTE 偏高精确率低召回率（宁可漏报也要减少误报）；ClassWeight/UnderSample 偏高召回率低精确率（宁可误报也不漏报任何潜在客户）。银行业务场景中，漏报成本（FN）通常远高于误报成本（FP），因此 ClassWeight 的高召回策略（0.94）最具业务价值。</w:t>
            </w:r>
          </w:p>
          <w:p>
            <w:pPr>
              <w:spacing w:before="0" w:after="40" w:line="240" w:lineRule="auto"/>
              <w:jc w:val="left"/>
            </w:pPr>
            <w:r>
              <w:rPr>
                <w:rFonts w:eastAsia="宋体"/>
                <w:rFonts w:ascii="宋体" w:hAnsi="宋体"/>
                <w:b w:val="0"/>
                <w:sz w:val="24"/>
              </w:rPr>
            </w:r>
          </w:p>
          <w:p>
            <w:pPr>
              <w:spacing w:before="0" w:after="40" w:line="240" w:lineRule="auto"/>
              <w:jc w:val="center"/>
            </w:pPr>
            <w:r>
              <w:rPr>
                <w:rFonts w:eastAsia="宋体"/>
                <w:rFonts w:ascii="宋体" w:hAnsi="宋体"/>
                <w:b w:val="0"/>
                <w:sz w:val="24"/>
              </w:rPr>
              <w:t>图 2  混淆矩阵对比（三种不平衡处理策略）</w:t>
            </w:r>
          </w:p>
          <w:p>
            <w:pPr>
              <w:jc w:val="center"/>
            </w:pPr>
            <w:r>
              <w:drawing>
                <wp:inline xmlns:a="http://schemas.openxmlformats.org/drawingml/2006/main" xmlns:pic="http://schemas.openxmlformats.org/drawingml/2006/picture">
                  <wp:extent cx="5400000" cy="1834585"/>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6"/>
                          <a:stretch>
                            <a:fillRect/>
                          </a:stretch>
                        </pic:blipFill>
                        <pic:spPr>
                          <a:xfrm>
                            <a:off x="0" y="0"/>
                            <a:ext cx="5400000" cy="1834585"/>
                          </a:xfrm>
                          <a:prstGeom prst="rect"/>
                        </pic:spPr>
                      </pic:pic>
                    </a:graphicData>
                  </a:graphic>
                </wp:inline>
              </w:drawing>
            </w:r>
          </w:p>
          <w:p>
            <w:pPr>
              <w:spacing w:before="0" w:after="40" w:line="240" w:lineRule="auto"/>
              <w:ind w:firstLine="480"/>
              <w:jc w:val="left"/>
            </w:pPr>
            <w:r>
              <w:rPr>
                <w:rFonts w:eastAsia="宋体"/>
                <w:rFonts w:ascii="宋体" w:hAnsi="宋体"/>
                <w:b w:val="0"/>
                <w:sz w:val="24"/>
              </w:rPr>
              <w:t>混淆矩阵数值验证了柱状图的定性结论。SMOTE：TN=6725, FP=585, FN=176, TP=752；FP 最少（误报率 8.0%），FN=176（漏报率 19.0%）；UnderSample：FN 降至 65（漏报率 7.0%），但 FP 升至 1,096（误报率 15.0%）；ClassWeight：FN=56（漏报率最低 6.0%），FP=1,096 与欠采样相当。从业务角度：每减少 1 个漏报（FN），可能需要增加约 5.4 个误报（FP），这是 Precision-Recall 内在权衡的体现。</w:t>
            </w:r>
          </w:p>
          <w:p>
            <w:pPr>
              <w:spacing w:before="0" w:after="40" w:line="240" w:lineRule="auto"/>
              <w:jc w:val="left"/>
            </w:pPr>
            <w:r>
              <w:rPr>
                <w:rFonts w:eastAsia="宋体"/>
                <w:rFonts w:ascii="宋体" w:hAnsi="宋体"/>
                <w:b w:val="0"/>
                <w:sz w:val="24"/>
              </w:rPr>
            </w:r>
          </w:p>
          <w:p>
            <w:pPr>
              <w:spacing w:before="0" w:after="40" w:line="240" w:lineRule="auto"/>
              <w:jc w:val="center"/>
            </w:pPr>
            <w:r>
              <w:rPr>
                <w:rFonts w:eastAsia="宋体"/>
                <w:rFonts w:ascii="宋体" w:hAnsi="宋体"/>
                <w:b w:val="0"/>
                <w:sz w:val="24"/>
              </w:rPr>
              <w:t>图 3  ROC 曲线对比（三种策略）</w:t>
            </w:r>
          </w:p>
          <w:p>
            <w:pPr>
              <w:jc w:val="center"/>
            </w:pPr>
            <w:r>
              <w:drawing>
                <wp:inline xmlns:a="http://schemas.openxmlformats.org/drawingml/2006/main" xmlns:pic="http://schemas.openxmlformats.org/drawingml/2006/picture">
                  <wp:extent cx="4320000" cy="3833182"/>
                  <wp:docPr id="3" name="Picture 3"/>
                  <wp:cNvGraphicFramePr>
                    <a:graphicFrameLocks noChangeAspect="1"/>
                  </wp:cNvGraphicFramePr>
                  <a:graphic>
                    <a:graphicData uri="http://schemas.openxmlformats.org/drawingml/2006/picture">
                      <pic:pic>
                        <pic:nvPicPr>
                          <pic:cNvPr id="0" name="roc_curves.png"/>
                          <pic:cNvPicPr/>
                        </pic:nvPicPr>
                        <pic:blipFill>
                          <a:blip r:embed="rId17"/>
                          <a:stretch>
                            <a:fillRect/>
                          </a:stretch>
                        </pic:blipFill>
                        <pic:spPr>
                          <a:xfrm>
                            <a:off x="0" y="0"/>
                            <a:ext cx="4320000" cy="3833182"/>
                          </a:xfrm>
                          <a:prstGeom prst="rect"/>
                        </pic:spPr>
                      </pic:pic>
                    </a:graphicData>
                  </a:graphic>
                </wp:inline>
              </w:drawing>
            </w:r>
          </w:p>
          <w:p>
            <w:pPr>
              <w:spacing w:before="0" w:after="40" w:line="240" w:lineRule="auto"/>
              <w:ind w:firstLine="480"/>
              <w:jc w:val="left"/>
            </w:pPr>
            <w:r>
              <w:rPr>
                <w:rFonts w:eastAsia="宋体"/>
                <w:rFonts w:ascii="宋体" w:hAnsi="宋体"/>
                <w:b w:val="0"/>
                <w:sz w:val="24"/>
              </w:rPr>
              <w:t>三条 ROC 曲线均高度贴近左上角，AUC 在 0.9500~0.9520 之间（差异仅 0.0020），说明三种策略在阈值无关的整体排序能力上几乎一致，与混淆矩阵所呈现的"决策阈值层面差异"形成对比：ROC-AUC 衡量的是"模型能否给正样本打出更高概率"，与最终分类阈值无关；而混淆矩阵中的 FP/FN 差异是在默认阈值 0.5 下的截面表现，可通过调整阈值在 ROC 曲线上滑动改变。图中红色虚线为 AUC=0.95 参考线，三个模型均达到或超过，逼近 LR 在此数据集的理论上限。</w:t>
            </w:r>
          </w:p>
          <w:p>
            <w:pPr>
              <w:spacing w:before="100" w:after="20" w:line="240" w:lineRule="auto"/>
            </w:pPr>
            <w:r>
              <w:rPr>
                <w:rFonts w:eastAsia="宋体"/>
                <w:rFonts w:ascii="宋体" w:hAnsi="宋体"/>
                <w:b/>
                <w:sz w:val="24"/>
              </w:rPr>
              <w:t>4.5 实验结论</w:t>
            </w:r>
          </w:p>
          <w:p>
            <w:pPr>
              <w:spacing w:before="0" w:after="40" w:line="240" w:lineRule="auto"/>
              <w:ind w:firstLine="480"/>
              <w:jc w:val="left"/>
            </w:pPr>
            <w:r>
              <w:rPr>
                <w:rFonts w:eastAsia="宋体"/>
                <w:rFonts w:ascii="宋体" w:hAnsi="宋体"/>
                <w:b w:val="0"/>
                <w:sz w:val="24"/>
              </w:rPr>
              <w:t>① 特征质量决定线性模型性能上限：通过四轮迭代（基础 OHE→衍生特征→QT 归一化→扩展多项式），AUC 从 0.9440 稳步提升至 0.9520，总提升 0.008，验证了"特征工程是提升 LR 性能最高效手段"的核心工程原则；</w:t>
            </w:r>
          </w:p>
          <w:p>
            <w:pPr>
              <w:spacing w:before="0" w:after="40" w:line="240" w:lineRule="auto"/>
              <w:ind w:firstLine="480"/>
              <w:jc w:val="left"/>
            </w:pPr>
            <w:r>
              <w:rPr>
                <w:rFonts w:eastAsia="宋体"/>
                <w:rFonts w:ascii="宋体" w:hAnsi="宋体"/>
                <w:b w:val="0"/>
                <w:sz w:val="24"/>
              </w:rPr>
              <w:t>② QuantileTransformer 显著优于 StandardScaler：在高度偏斜的银行数据上，分位数映射将偏斜分布根本性地转化为正态分布，使 L1 梯度收敛更稳定，单此改进贡献约 +0.003 AUC，是最具性价比的优化措施；</w:t>
            </w:r>
          </w:p>
          <w:p>
            <w:pPr>
              <w:spacing w:before="0" w:after="40" w:line="240" w:lineRule="auto"/>
              <w:ind w:firstLine="480"/>
              <w:jc w:val="left"/>
            </w:pPr>
            <w:r>
              <w:rPr>
                <w:rFonts w:eastAsia="宋体"/>
                <w:rFonts w:ascii="宋体" w:hAnsi="宋体"/>
                <w:b w:val="0"/>
                <w:sz w:val="24"/>
              </w:rPr>
              <w:t>③ 多项式交互特征是突破 LR 线性局限的关键：degree=2 展开（495 维）允许 LR 隐式学习特征间的乘法交互效应，配合 L1 稀疏正则化自动过滤噪声特征，兼顾性能提升与可解释性；</w:t>
            </w:r>
          </w:p>
          <w:p>
            <w:pPr>
              <w:spacing w:before="0" w:after="40" w:line="240" w:lineRule="auto"/>
              <w:ind w:firstLine="480"/>
              <w:jc w:val="left"/>
            </w:pPr>
            <w:r>
              <w:rPr>
                <w:rFonts w:eastAsia="宋体"/>
                <w:rFonts w:ascii="宋体" w:hAnsi="宋体"/>
                <w:b w:val="0"/>
                <w:sz w:val="24"/>
              </w:rPr>
              <w:t>④ 不平衡处理策略的业务语义差异：三种策略的 AUC 差异（0.002）远小于 Recall 差异（0.13），说明它们在整体排序能力上相当，但对 Precision-Recall 权衡影响显著。class_weight=balanced 在 AUC、漏报率、数据完整性三个维度上均最优，是本实验推荐的工程默认策略；</w:t>
            </w:r>
          </w:p>
          <w:p>
            <w:pPr>
              <w:spacing w:before="0" w:after="40" w:line="240" w:lineRule="auto"/>
              <w:ind w:firstLine="480"/>
              <w:jc w:val="left"/>
            </w:pPr>
            <w:r>
              <w:rPr>
                <w:rFonts w:eastAsia="宋体"/>
                <w:rFonts w:ascii="宋体" w:hAnsi="宋体"/>
                <w:b w:val="0"/>
                <w:sz w:val="24"/>
              </w:rPr>
              <w:t>⑤ LR 的性能边界已被充分探索：与 GradientBoosting（AUC=0.9553）的对比表明，本实验 LR 方案（AUC=0.9520）已逼近线性模型在此数据集的可达上限，两者差距 0.0033。要突破 AUC=0.96 上限，须引入可自动捕捉任意阶非线性交互的树集成模型（Random Forest、XGBoost、LightGBM）。</w:t>
            </w:r>
          </w:p>
        </w:tc>
      </w:tr>
    </w:tbl>
    <w:p w14:paraId="48050E77"/>
    <w:sectPr>
      <w:headerReference r:id="rId4" w:type="first"/>
      <w:footerReference r:id="rId6" w:type="first"/>
      <w:headerReference r:id="rId3" w:type="default"/>
      <w:footerReference r:id="rId5" w:type="default"/>
      <w:pgSz w:w="10440" w:h="14740"/>
      <w:pgMar w:top="1134" w:right="1588" w:bottom="1134" w:left="1588" w:header="851" w:footer="737"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SimHei">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Lohit Devanagari">
    <w:panose1 w:val="020B0600000000000000"/>
    <w:charset w:val="00"/>
    <w:family w:val="auto"/>
    <w:pitch w:val="default"/>
    <w:sig w:usb0="80008023" w:usb1="00002042" w:usb2="00000000" w:usb3="00000000" w:csb0="00000001" w:csb1="00000000"/>
  </w:font>
  <w:font w:name="Liberation Serif">
    <w:panose1 w:val="02020603050405020304"/>
    <w:charset w:val="01"/>
    <w:family w:val="roman"/>
    <w:pitch w:val="default"/>
    <w:sig w:usb0="A00002AF" w:usb1="500078FB" w:usb2="00000000" w:usb3="00000000" w:csb0="6000009F" w:csb1="DFD70000"/>
  </w:font>
  <w:font w:name="Noto Serif CJK SC">
    <w:panose1 w:val="02020400000000000000"/>
    <w:charset w:val="86"/>
    <w:family w:val="auto"/>
    <w:pitch w:val="default"/>
    <w:sig w:usb0="30000083" w:usb1="2BDF3C10" w:usb2="00000016" w:usb3="00000000" w:csb0="602E0107"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楷体_GB2312;楷体">
    <w:altName w:val="Droid Sans Fallback"/>
    <w:panose1 w:val="00000000000000000000"/>
    <w:charset w:val="00"/>
    <w:family w:val="auto"/>
    <w:pitch w:val="default"/>
    <w:sig w:usb0="00000000" w:usb1="00000000" w:usb2="00000000" w:usb3="00000000" w:csb0="00000000" w:csb1="00000000"/>
  </w:font>
  <w:font w:name="Courier New">
    <w:altName w:val="DejaVu Sans"/>
    <w:panose1 w:val="00000000000000000000"/>
    <w:charset w:val="00"/>
    <w:family w:val="auto"/>
    <w:pitch w:val="default"/>
    <w:sig w:usb0="00000000" w:usb1="00000000" w:usb2="00000000" w:usb3="00000000" w:csb0="00000000" w:csb1="00000000"/>
  </w:font>
  <w:font w:name="仿宋">
    <w:altName w:val="Droid Sans Fallback"/>
    <w:panose1 w:val="00000000000000000000"/>
    <w:charset w:val="86"/>
    <w:family w:val="modern"/>
    <w:pitch w:val="default"/>
    <w:sig w:usb0="00000000" w:usb1="00000000" w:usb2="00000000" w:usb3="00000000" w:csb0="00000000" w:csb1="00000000"/>
  </w:font>
  <w:font w:name="汉仪中圆B5">
    <w:panose1 w:val="02010600000101010101"/>
    <w:charset w:val="88"/>
    <w:family w:val="auto"/>
    <w:pitch w:val="default"/>
    <w:sig w:usb0="00000001" w:usb1="080E0800" w:usb2="00000002" w:usb3="00000000" w:csb0="00100000" w:csb1="0000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BE354">
    <w:pPr>
      <w:pStyle w:val="8"/>
      <w:jc w:val="center"/>
      <w:rPr>
        <w:rFonts w:ascii="仿宋" w:hAnsi="仿宋" w:eastAsia="仿宋" w:cs="仿宋"/>
        <w:b/>
        <w:bCs/>
      </w:rPr>
    </w:pPr>
    <w:r>
      <w:rPr>
        <w:rFonts w:ascii="仿宋" w:hAnsi="仿宋" w:eastAsia="仿宋" w:cs="仿宋"/>
        <w:b/>
        <w:bCs/>
      </w:rPr>
      <w:t>重庆大学国家卓越工程师学院</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A9D9F">
    <w:pPr>
      <w:pStyle w:val="8"/>
      <w:jc w:val="center"/>
      <w:rPr>
        <w:rFonts w:ascii="仿宋" w:hAnsi="仿宋" w:eastAsia="仿宋" w:cs="仿宋"/>
        <w:b/>
        <w:bCs/>
      </w:rPr>
    </w:pPr>
    <w:r>
      <w:rPr>
        <w:rFonts w:ascii="仿宋" w:hAnsi="仿宋" w:eastAsia="仿宋" w:cs="仿宋"/>
        <w:b/>
        <w:bCs/>
      </w:rPr>
      <w:t>重庆大学国家卓越工程师学院</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2B1C6">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3036F">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FB7AD7"/>
    <w:multiLevelType w:val="multilevel"/>
    <w:tmpl w:val="39FB7AD7"/>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compat>
    <w:noLeading/>
    <w:doNotExpandShiftReturn/>
    <w:useFELayout/>
    <w:compatSetting w:name="compatibilityMode" w:uri="http://schemas.microsoft.com/office/word" w:val="14"/>
  </w:compat>
  <w:rsids>
    <w:rsidRoot w:val="00000000"/>
    <w:rsid w:val="35F8B80D"/>
    <w:rsid w:val="6DEF76A4"/>
    <w:rsid w:val="A7FA2CC0"/>
    <w:rsid w:val="CDBF525A"/>
    <w:rsid w:val="FFB7CA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SimSun" w:cs="Times New Roman"/>
      <w:color w:val="auto"/>
      <w:kern w:val="2"/>
      <w:sz w:val="21"/>
      <w:szCs w:val="20"/>
      <w:lang w:val="en-US" w:eastAsia="zh-CN" w:bidi="ar-SA"/>
    </w:rPr>
  </w:style>
  <w:style w:type="paragraph" w:styleId="2">
    <w:name w:val="heading 1"/>
    <w:basedOn w:val="1"/>
    <w:next w:val="1"/>
    <w:qFormat/>
    <w:uiPriority w:val="0"/>
    <w:pPr>
      <w:numPr>
        <w:ilvl w:val="0"/>
        <w:numId w:val="1"/>
      </w:numPr>
      <w:spacing w:before="100" w:after="100"/>
      <w:jc w:val="left"/>
      <w:outlineLvl w:val="0"/>
    </w:pPr>
    <w:rPr>
      <w:rFonts w:ascii="SimSun" w:hAnsi="SimSun" w:eastAsia="SimSun" w:cs="SimSun"/>
      <w:b/>
      <w:kern w:val="2"/>
      <w:sz w:val="48"/>
      <w:szCs w:val="48"/>
      <w:lang w:val="en-US" w:eastAsia="zh-CN" w:bidi="ar"/>
    </w:rPr>
  </w:style>
  <w:style w:type="paragraph" w:styleId="3">
    <w:name w:val="heading 2"/>
    <w:basedOn w:val="1"/>
    <w:next w:val="1"/>
    <w:qFormat/>
    <w:uiPriority w:val="0"/>
    <w:pPr>
      <w:numPr>
        <w:ilvl w:val="1"/>
        <w:numId w:val="1"/>
      </w:numPr>
      <w:spacing w:before="100" w:after="100"/>
      <w:jc w:val="left"/>
      <w:outlineLvl w:val="1"/>
    </w:pPr>
    <w:rPr>
      <w:rFonts w:ascii="SimSun" w:hAnsi="SimSun" w:eastAsia="SimSun" w:cs="SimSun"/>
      <w:b/>
      <w:kern w:val="0"/>
      <w:sz w:val="36"/>
      <w:szCs w:val="36"/>
      <w:lang w:val="en-US" w:eastAsia="zh-CN" w:bidi="ar"/>
    </w:rPr>
  </w:style>
  <w:style w:type="paragraph" w:styleId="4">
    <w:name w:val="heading 3"/>
    <w:basedOn w:val="1"/>
    <w:next w:val="1"/>
    <w:qFormat/>
    <w:uiPriority w:val="0"/>
    <w:pPr>
      <w:numPr>
        <w:ilvl w:val="2"/>
        <w:numId w:val="1"/>
      </w:numPr>
      <w:spacing w:before="100" w:after="100"/>
      <w:jc w:val="left"/>
      <w:outlineLvl w:val="2"/>
    </w:pPr>
    <w:rPr>
      <w:rFonts w:ascii="SimSun" w:hAnsi="SimSun" w:eastAsia="SimSun" w:cs="SimSun"/>
      <w:b/>
      <w:bCs/>
      <w:kern w:val="0"/>
      <w:sz w:val="27"/>
      <w:szCs w:val="27"/>
      <w:lang w:val="en-US" w:eastAsia="zh-CN" w:bidi="ar"/>
    </w:rPr>
  </w:style>
  <w:style w:type="paragraph" w:styleId="5">
    <w:name w:val="heading 4"/>
    <w:basedOn w:val="1"/>
    <w:next w:val="1"/>
    <w:qFormat/>
    <w:uiPriority w:val="0"/>
    <w:pPr>
      <w:numPr>
        <w:ilvl w:val="3"/>
        <w:numId w:val="1"/>
      </w:numPr>
      <w:spacing w:before="100" w:after="100"/>
      <w:jc w:val="left"/>
      <w:outlineLvl w:val="3"/>
    </w:pPr>
    <w:rPr>
      <w:rFonts w:ascii="SimSun" w:hAnsi="SimSun" w:eastAsia="SimSun" w:cs="SimSun"/>
      <w:b/>
      <w:bCs/>
      <w:kern w:val="0"/>
      <w:sz w:val="24"/>
      <w:szCs w:val="24"/>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ohit Devanagari"/>
      <w:i/>
      <w:iCs/>
      <w:sz w:val="24"/>
      <w:szCs w:val="24"/>
    </w:rPr>
  </w:style>
  <w:style w:type="paragraph" w:styleId="7">
    <w:name w:val="Body Text"/>
    <w:basedOn w:val="1"/>
    <w:uiPriority w:val="0"/>
    <w:pPr>
      <w:spacing w:before="0" w:after="140" w:line="276" w:lineRule="auto"/>
    </w:pPr>
  </w:style>
  <w:style w:type="paragraph" w:styleId="8">
    <w:name w:val="footer"/>
    <w:basedOn w:val="1"/>
    <w:uiPriority w:val="0"/>
    <w:pPr>
      <w:tabs>
        <w:tab w:val="center" w:pos="4153"/>
        <w:tab w:val="right" w:pos="8306"/>
      </w:tabs>
      <w:snapToGrid w:val="0"/>
      <w:jc w:val="left"/>
    </w:pPr>
    <w:rPr>
      <w:kern w:val="2"/>
      <w:sz w:val="18"/>
    </w:rPr>
  </w:style>
  <w:style w:type="paragraph" w:styleId="9">
    <w:name w:val="header"/>
    <w:basedOn w:val="1"/>
    <w:uiPriority w:val="0"/>
    <w:pPr>
      <w:pBdr>
        <w:bottom w:val="single" w:color="000000" w:sz="6" w:space="1"/>
      </w:pBdr>
      <w:tabs>
        <w:tab w:val="center" w:pos="4153"/>
        <w:tab w:val="right" w:pos="8306"/>
      </w:tabs>
      <w:snapToGrid w:val="0"/>
      <w:jc w:val="center"/>
    </w:pPr>
    <w:rPr>
      <w:kern w:val="2"/>
      <w:sz w:val="18"/>
      <w:szCs w:val="18"/>
    </w:rPr>
  </w:style>
  <w:style w:type="paragraph" w:styleId="10">
    <w:name w:val="List"/>
    <w:basedOn w:val="7"/>
    <w:uiPriority w:val="0"/>
    <w:rPr>
      <w:rFonts w:cs="Lohit Devanagari"/>
    </w:rPr>
  </w:style>
  <w:style w:type="character" w:styleId="13">
    <w:name w:val="page number"/>
    <w:uiPriority w:val="0"/>
  </w:style>
  <w:style w:type="character" w:styleId="14">
    <w:name w:val="Hyperlink"/>
    <w:uiPriority w:val="0"/>
    <w:rPr>
      <w:color w:val="0000FF"/>
      <w:u w:val="single"/>
    </w:rPr>
  </w:style>
  <w:style w:type="character" w:customStyle="1" w:styleId="15">
    <w:name w:val="默认段落字体1"/>
    <w:qFormat/>
    <w:uiPriority w:val="0"/>
  </w:style>
  <w:style w:type="character" w:customStyle="1" w:styleId="16">
    <w:name w:val="Strong Emphasis"/>
    <w:qFormat/>
    <w:uiPriority w:val="0"/>
    <w:rPr>
      <w:b/>
    </w:rPr>
  </w:style>
  <w:style w:type="paragraph" w:customStyle="1" w:styleId="17">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18">
    <w:name w:val="Index"/>
    <w:basedOn w:val="1"/>
    <w:qFormat/>
    <w:uiPriority w:val="0"/>
    <w:pPr>
      <w:suppressLineNumbers/>
    </w:pPr>
    <w:rPr>
      <w:rFonts w:cs="Lohit Devanagari"/>
    </w:rPr>
  </w:style>
  <w:style w:type="paragraph" w:customStyle="1" w:styleId="19">
    <w:name w:val="Header and Footer"/>
    <w:basedOn w:val="1"/>
    <w:qFormat/>
    <w:uiPriority w:val="0"/>
    <w:pPr>
      <w:suppressLineNumbers/>
      <w:tabs>
        <w:tab w:val="center" w:pos="4986"/>
        <w:tab w:val="right" w:pos="9972"/>
      </w:tabs>
    </w:pPr>
  </w:style>
  <w:style w:type="paragraph" w:customStyle="1" w:styleId="20">
    <w:name w:val="HTML 预设格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eastAsia="SimSun" w:cs="SimSun"/>
      <w:kern w:val="0"/>
      <w:sz w:val="24"/>
      <w:szCs w:val="24"/>
      <w:lang w:val="en-US" w:eastAsia="zh-CN" w:bidi="ar"/>
    </w:rPr>
  </w:style>
  <w:style w:type="paragraph" w:customStyle="1" w:styleId="21">
    <w:name w:val="普通(网站)1"/>
    <w:basedOn w:val="1"/>
    <w:qFormat/>
    <w:uiPriority w:val="0"/>
    <w:pPr>
      <w:spacing w:before="100" w:after="100"/>
      <w:ind w:left="0" w:right="0" w:firstLine="0"/>
      <w:jc w:val="left"/>
    </w:pPr>
    <w:rPr>
      <w:kern w:val="0"/>
      <w:sz w:val="24"/>
      <w:lang w:val="en-US" w:eastAsia="zh-CN" w:bidi="ar"/>
    </w:rPr>
  </w:style>
  <w:style w:type="paragraph" w:customStyle="1" w:styleId="22">
    <w:name w:val="列表段落"/>
    <w:basedOn w:val="1"/>
    <w:qFormat/>
    <w:uiPriority w:val="0"/>
    <w:pPr>
      <w:ind w:firstLine="420"/>
    </w:pPr>
  </w:style>
  <w:style w:type="paragraph" w:customStyle="1" w:styleId="23">
    <w:name w:val="Table Contents"/>
    <w:basedOn w:val="1"/>
    <w:qFormat/>
    <w:uiPriority w:val="0"/>
    <w:pPr>
      <w:widowControl w:val="0"/>
      <w:suppressLineNumbers/>
    </w:pPr>
  </w:style>
  <w:style w:type="paragraph" w:customStyle="1" w:styleId="24">
    <w:name w:val="Table Heading"/>
    <w:basedOn w:val="23"/>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4349</Words>
  <Characters>8377</Characters>
  <TotalTime>3</TotalTime>
  <ScaleCrop>false</ScaleCrop>
  <LinksUpToDate>false</LinksUpToDate>
  <CharactersWithSpaces>8925</CharactersWithSpaces>
  <Application>WPS Office_12.1.2.24722_F1E327BC-269C-435d-A152-05C5408002CA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2024-01-03T06:02:00Z</dcterms:created>
  <dc:creator>chasel</dc:creator>
  <cp:lastModifiedBy>vla</cp:lastModifiedBy>
  <dcterms:modified xsi:type="dcterms:W3CDTF">2026-03-15T11:25:45Z</dcterms:modified>
  <dc:title>《操作系统》实验报告</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3C58AE22AAD248D1A0DA8F3822A8D29F_13</vt:lpwstr>
  </property>
  <property fmtid="{D5CDD505-2E9C-101B-9397-08002B2CF9AE}" pid="3" name="KSOProductBuildVer">
    <vt:lpwstr>2052-12.1.2.24722</vt:lpwstr>
  </property>
  <property fmtid="{D5CDD505-2E9C-101B-9397-08002B2CF9AE}" pid="4" name="KSOTemplateDocerSaveRecord">
    <vt:lpwstr>eyJoZGlkIjoiMjA4MTlmYTk3MWJlOWU1OTQwZDA4NTk2YjQ1MDg0ZTEiLCJ1c2VySWQiOiI3MTY1NzI0OTcifQ==</vt:lpwstr>
  </property>
  <property fmtid="{D5CDD505-2E9C-101B-9397-08002B2CF9AE}" pid="5" name="commondata">
    <vt:lpwstr>commondata</vt:lpwstr>
  </property>
</Properties>
</file>