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" w:hAnsi="宋体" w:cs="宋体"/>
          <w:b/>
          <w:b/>
          <w:sz w:val="32"/>
        </w:rPr>
      </w:pPr>
      <w:r>
        <w:rPr>
          <w:rFonts w:ascii="宋体" w:hAnsi="宋体" w:cs="宋体"/>
          <w:b/>
          <w:sz w:val="32"/>
        </w:rPr>
        <w:t>《 机器学习 》实验报告</w:t>
      </w:r>
    </w:p>
    <w:p>
      <w:pPr>
        <w:pStyle w:val="Normal"/>
        <w:jc w:val="right"/>
        <w:rPr>
          <w:rFonts w:ascii="宋体" w:hAnsi="宋体" w:cs="宋体"/>
          <w:b/>
          <w:b/>
          <w:sz w:val="32"/>
        </w:rPr>
      </w:pPr>
      <w:r>
        <w:rPr>
          <w:rFonts w:cs="宋体" w:ascii="宋体" w:hAnsi="宋体"/>
          <w:b/>
          <w:sz w:val="32"/>
        </w:rPr>
      </w:r>
    </w:p>
    <w:tbl>
      <w:tblPr>
        <w:tblW w:w="859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717"/>
        <w:gridCol w:w="1239"/>
        <w:gridCol w:w="1648"/>
        <w:gridCol w:w="1016"/>
        <w:gridCol w:w="2707"/>
      </w:tblGrid>
      <w:tr>
        <w:trPr>
          <w:trHeight w:val="590" w:hRule="atLeast"/>
          <w:cantSplit w:val="true"/>
        </w:trPr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80"/>
              <w:ind w:left="-42" w:right="-51" w:hanging="0"/>
              <w:jc w:val="center"/>
              <w:rPr>
                <w:rFonts w:ascii="宋体" w:hAnsi="宋体" w:eastAsia="宋体" w:cs="宋体"/>
                <w:b/>
                <w:b/>
                <w:sz w:val="24"/>
                <w:szCs w:val="24"/>
                <w:lang w:val="en-US" w:eastAsia="zh-CN"/>
              </w:rPr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专业：电子信息工程       学号：2023XXXXXXXXX</w:t>
            </w:r>
          </w:p>
        </w:tc>
        <w:tc>
          <w:tcPr>
            <w:tcW w:w="28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right="-51" w:hanging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eastAsia="宋体" w:ascii="宋体" w:hAnsi="宋体"/>
                <w:rFonts w:ascii="宋体" w:hAnsi="宋体"/>
                <w:b w:val="0"/>
                <w:i w:val="0"/>
                <w:sz w:val="24"/>
              </w:rPr>
              <w:t>专业：电子信息工程     学号：202530131059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80"/>
              <w:ind w:right="-51" w:hanging="0"/>
              <w:jc w:val="center"/>
              <w:rPr>
                <w:rFonts w:ascii="宋体" w:hAnsi="宋体" w:eastAsia="宋体" w:cs="宋体"/>
                <w:b/>
                <w:b/>
                <w:sz w:val="24"/>
                <w:szCs w:val="24"/>
                <w:lang w:eastAsia="zh-CN"/>
              </w:rPr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姓名：zsq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right="-51" w:hanging="0"/>
              <w:jc w:val="center"/>
              <w:rPr>
                <w:rFonts w:ascii="宋体" w:hAnsi="宋体" w:eastAsia="宋体" w:cs="宋体"/>
                <w:b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eastAsia="宋体" w:ascii="宋体" w:hAnsi="宋体"/>
                <w:rFonts w:ascii="宋体" w:hAnsi="宋体"/>
                <w:b w:val="0"/>
                <w:i w:val="0"/>
                <w:sz w:val="24"/>
              </w:rPr>
              <w:t>高夕茹</w:t>
            </w:r>
          </w:p>
        </w:tc>
      </w:tr>
      <w:tr>
        <w:trPr>
          <w:trHeight w:val="590" w:hRule="atLeast"/>
          <w:cantSplit w:val="true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80"/>
              <w:ind w:left="-42" w:right="-51" w:hanging="0"/>
              <w:jc w:val="center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eastAsia="宋体"/>
                <w:rFonts w:ascii="宋体" w:hAnsi="宋体"/>
                <w:b/>
                <w:i w:val="0"/>
                <w:sz w:val="24"/>
              </w:rPr>
              <w:t>实验题目：基于决策树算法的电信客户流失预测</w:t>
            </w:r>
          </w:p>
        </w:tc>
        <w:tc>
          <w:tcPr>
            <w:tcW w:w="73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80"/>
              <w:ind w:right="-51" w:hanging="0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cs="宋体" w:ascii="宋体" w:hAnsi="宋体"/>
                <w:b/>
                <w:sz w:val="24"/>
                <w:szCs w:val="24"/>
              </w:rPr>
            </w:r>
          </w:p>
        </w:tc>
      </w:tr>
      <w:tr>
        <w:trPr>
          <w:trHeight w:val="579" w:hRule="atLeast"/>
          <w:cantSplit w:val="true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ind w:left="-40" w:right="-51" w:hanging="0"/>
              <w:jc w:val="center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实验时间：2026年3月20日</w:t>
            </w:r>
          </w:p>
        </w:tc>
        <w:tc>
          <w:tcPr>
            <w:tcW w:w="1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ind w:left="-40" w:right="-51" w:hanging="0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cs="宋体" w:ascii="宋体" w:hAnsi="宋体"/>
                <w:b/>
                <w:sz w:val="24"/>
                <w:szCs w:val="24"/>
              </w:rPr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ind w:left="-40" w:right="-51" w:hanging="0"/>
              <w:jc w:val="center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实验地点</w:t>
            </w:r>
          </w:p>
        </w:tc>
        <w:tc>
          <w:tcPr>
            <w:tcW w:w="3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ind w:left="-40" w:right="-51" w:hanging="0"/>
              <w:jc w:val="center"/>
              <w:rPr>
                <w:rFonts w:ascii="宋体" w:hAnsi="宋体" w:eastAsia="宋体" w:cs="宋体"/>
                <w:b/>
                <w:b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/>
                <w:bCs/>
                <w:sz w:val="24"/>
                <w:szCs w:val="24"/>
              </w:rPr>
              <w:t>卓越工程师学院</w:t>
            </w:r>
            <w:r>
              <w:rPr>
                <w:rFonts w:cs="宋体" w:ascii="宋体" w:hAnsi="宋体"/>
                <w:bCs/>
                <w:sz w:val="24"/>
                <w:szCs w:val="24"/>
              </w:rPr>
              <w:t>EB</w:t>
            </w:r>
            <w:r>
              <w:rPr>
                <w:rFonts w:cs="宋体" w:ascii="宋体" w:hAnsi="宋体"/>
                <w:bCs/>
                <w:sz w:val="24"/>
                <w:szCs w:val="24"/>
                <w:lang w:val="en-US" w:eastAsia="zh-CN"/>
              </w:rPr>
              <w:t>407</w:t>
            </w:r>
          </w:p>
        </w:tc>
      </w:tr>
      <w:tr>
        <w:trPr>
          <w:trHeight w:val="505" w:hRule="atLeast"/>
          <w:cantSplit w:val="true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ind w:left="-40" w:right="-51" w:hanging="0"/>
              <w:jc w:val="center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实验成绩</w:t>
            </w:r>
          </w:p>
        </w:tc>
        <w:tc>
          <w:tcPr>
            <w:tcW w:w="1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80"/>
              <w:ind w:left="-42" w:right="171" w:firstLine="240"/>
              <w:rPr>
                <w:rFonts w:ascii="宋体" w:hAnsi="宋体" w:cs="宋体"/>
                <w:b/>
                <w:b/>
                <w:bCs/>
                <w:sz w:val="24"/>
                <w:szCs w:val="24"/>
              </w:rPr>
            </w:pPr>
            <w:r>
              <w:rPr>
                <w:rFonts w:cs="宋体" w:ascii="宋体" w:hAnsi="宋体"/>
                <w:b/>
                <w:bCs/>
                <w:sz w:val="24"/>
                <w:szCs w:val="24"/>
              </w:rPr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80"/>
              <w:ind w:left="-42" w:right="171" w:hanging="0"/>
              <w:jc w:val="center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cs="宋体"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b/>
                <w:sz w:val="24"/>
                <w:szCs w:val="24"/>
              </w:rPr>
              <w:t>实验性质</w:t>
            </w:r>
          </w:p>
        </w:tc>
        <w:tc>
          <w:tcPr>
            <w:tcW w:w="3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80"/>
              <w:ind w:left="-42" w:right="171" w:hanging="0"/>
              <w:jc w:val="center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cs="宋体" w:ascii="宋体" w:hAnsi="宋体"/>
                <w:b/>
                <w:sz w:val="24"/>
                <w:szCs w:val="24"/>
                <w:lang w:eastAsia="zh-CN"/>
              </w:rPr>
              <w:t>□</w:t>
            </w:r>
            <w:r>
              <w:rPr>
                <w:rFonts w:ascii="宋体" w:hAnsi="宋体" w:cs="宋体"/>
                <w:b/>
                <w:sz w:val="24"/>
                <w:szCs w:val="24"/>
              </w:rPr>
              <w:t xml:space="preserve">验证性  </w:t>
            </w:r>
            <w:r>
              <w:rPr>
                <w:rFonts w:ascii="宋体" w:hAnsi="宋体" w:cs="宋体"/>
                <w:b/>
                <w:sz w:val="24"/>
                <w:szCs w:val="24"/>
                <w:lang w:eastAsia="zh-CN"/>
              </w:rPr>
              <w:t>□</w:t>
            </w:r>
            <w:r>
              <w:rPr>
                <w:rFonts w:ascii="宋体" w:hAnsi="宋体" w:cs="宋体"/>
                <w:b/>
                <w:sz w:val="24"/>
                <w:szCs w:val="24"/>
              </w:rPr>
              <w:t xml:space="preserve">设计性  </w:t>
            </w:r>
            <w:r>
              <w:rPr>
                <w:rFonts w:ascii="宋体" w:hAnsi="宋体" w:cs="宋体"/>
                <w:b/>
                <w:sz w:val="24"/>
                <w:szCs w:val="24"/>
                <w:lang w:eastAsia="zh-CN"/>
              </w:rPr>
              <w:t>☑</w:t>
            </w:r>
            <w:r>
              <w:rPr>
                <w:rFonts w:ascii="宋体" w:hAnsi="宋体" w:cs="宋体"/>
                <w:b/>
                <w:sz w:val="24"/>
                <w:szCs w:val="24"/>
              </w:rPr>
              <w:t>综合性</w:t>
            </w:r>
          </w:p>
        </w:tc>
      </w:tr>
      <w:tr>
        <w:trPr>
          <w:trHeight w:val="2196" w:hRule="atLeast"/>
        </w:trPr>
        <w:tc>
          <w:tcPr>
            <w:tcW w:w="85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>
            <w:pPr>
              <w:pStyle w:val="Normal"/>
              <w:spacing w:lineRule="exact" w:line="480"/>
              <w:ind w:right="-51" w:hanging="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教师评价：</w:t>
            </w:r>
          </w:p>
          <w:p>
            <w:pPr>
              <w:pStyle w:val="Normal"/>
              <w:spacing w:lineRule="exact" w:line="480"/>
              <w:ind w:right="-51" w:hanging="0"/>
              <w:rPr>
                <w:rFonts w:ascii="楷体_GB2312;楷体" w:hAnsi="楷体_GB2312;楷体" w:eastAsia="楷体_GB2312;楷体"/>
              </w:rPr>
            </w:pPr>
            <w:r>
              <w:rPr>
                <w:rFonts w:eastAsia="楷体_GB2312;楷体" w:cs="楷体_GB2312;楷体" w:ascii="楷体_GB2312;楷体" w:hAnsi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>算法</w:t>
            </w:r>
            <w:r>
              <w:rPr>
                <w:rFonts w:eastAsia="楷体_GB2312;楷体" w:ascii="楷体_GB2312;楷体" w:hAnsi="楷体_GB2312;楷体"/>
              </w:rPr>
              <w:t>/</w:t>
            </w:r>
            <w:r>
              <w:rPr>
                <w:rFonts w:ascii="楷体_GB2312;楷体" w:hAnsi="楷体_GB2312;楷体" w:eastAsia="楷体_GB2312;楷体"/>
              </w:rPr>
              <w:t xml:space="preserve">实验过程正确；   </w:t>
            </w:r>
            <w:r>
              <w:rPr>
                <w:rFonts w:eastAsia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>源程序</w:t>
            </w:r>
            <w:r>
              <w:rPr>
                <w:rFonts w:eastAsia="楷体_GB2312;楷体" w:ascii="楷体_GB2312;楷体" w:hAnsi="楷体_GB2312;楷体"/>
              </w:rPr>
              <w:t>/</w:t>
            </w:r>
            <w:r>
              <w:rPr>
                <w:rFonts w:ascii="楷体_GB2312;楷体" w:hAnsi="楷体_GB2312;楷体" w:eastAsia="楷体_GB2312;楷体"/>
              </w:rPr>
              <w:t xml:space="preserve">实验内容提交     </w:t>
            </w:r>
            <w:r>
              <w:rPr>
                <w:rFonts w:eastAsia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>程序结构</w:t>
            </w:r>
            <w:r>
              <w:rPr>
                <w:rFonts w:eastAsia="楷体_GB2312;楷体" w:ascii="楷体_GB2312;楷体" w:hAnsi="楷体_GB2312;楷体"/>
              </w:rPr>
              <w:t>/</w:t>
            </w:r>
            <w:r>
              <w:rPr>
                <w:rFonts w:ascii="楷体_GB2312;楷体" w:hAnsi="楷体_GB2312;楷体" w:eastAsia="楷体_GB2312;楷体"/>
              </w:rPr>
              <w:t>实验步骤合理；</w:t>
            </w:r>
          </w:p>
          <w:p>
            <w:pPr>
              <w:pStyle w:val="Normal"/>
              <w:spacing w:lineRule="exact" w:line="480"/>
              <w:ind w:right="-51" w:hanging="0"/>
              <w:rPr>
                <w:rFonts w:ascii="楷体_GB2312;楷体" w:hAnsi="楷体_GB2312;楷体" w:eastAsia="楷体_GB2312;楷体"/>
              </w:rPr>
            </w:pPr>
            <w:r>
              <w:rPr>
                <w:rFonts w:eastAsia="楷体_GB2312;楷体" w:cs="楷体_GB2312;楷体" w:ascii="楷体_GB2312;楷体" w:hAnsi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 xml:space="preserve">实验结果正确；        </w:t>
            </w:r>
            <w:r>
              <w:rPr>
                <w:rFonts w:eastAsia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 xml:space="preserve">语法、语义正确；        </w:t>
            </w:r>
            <w:r>
              <w:rPr>
                <w:rFonts w:eastAsia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>报告规范；</w:t>
            </w:r>
            <w:r>
              <w:rPr>
                <w:rFonts w:ascii="楷体_GB2312;楷体" w:hAnsi="楷体_GB2312;楷体" w:eastAsia="楷体_GB2312;楷体"/>
                <w:sz w:val="24"/>
              </w:rPr>
              <w:t xml:space="preserve">         </w:t>
            </w:r>
            <w:r>
              <w:rPr>
                <w:rFonts w:ascii="楷体_GB2312;楷体" w:hAnsi="楷体_GB2312;楷体" w:eastAsia="楷体_GB2312;楷体"/>
              </w:rPr>
              <w:t xml:space="preserve">  </w:t>
            </w:r>
          </w:p>
          <w:p>
            <w:pPr>
              <w:pStyle w:val="Normal"/>
              <w:spacing w:lineRule="exact" w:line="480"/>
              <w:ind w:right="-51" w:hanging="0"/>
              <w:rPr>
                <w:rFonts w:ascii="楷体_GB2312;楷体" w:hAnsi="楷体_GB2312;楷体" w:eastAsia="楷体_GB2312;楷体"/>
              </w:rPr>
            </w:pPr>
            <w:r>
              <w:rPr>
                <w:rFonts w:ascii="楷体_GB2312;楷体" w:hAnsi="楷体_GB2312;楷体" w:eastAsia="楷体_GB2312;楷体"/>
              </w:rPr>
              <w:t>其他：</w:t>
            </w:r>
          </w:p>
          <w:p>
            <w:pPr>
              <w:pStyle w:val="Normal"/>
              <w:spacing w:lineRule="exact" w:line="480"/>
              <w:ind w:right="-51" w:hanging="0"/>
              <w:rPr>
                <w:rFonts w:ascii="宋体" w:hAnsi="宋体"/>
              </w:rPr>
            </w:pPr>
            <w:r>
              <w:rPr>
                <w:rFonts w:cs="宋体" w:ascii="宋体" w:hAnsi="宋体"/>
              </w:rPr>
              <w:t xml:space="preserve">                                          </w:t>
            </w:r>
            <w:r>
              <w:rPr>
                <w:rFonts w:ascii="宋体" w:hAnsi="宋体"/>
              </w:rPr>
              <w:t xml:space="preserve">评价教师签名： </w:t>
            </w:r>
          </w:p>
        </w:tc>
      </w:tr>
      <w:tr>
        <w:trPr>
          <w:trHeight w:val="1119" w:hRule="atLeast"/>
        </w:trPr>
        <w:tc>
          <w:tcPr>
            <w:tcW w:w="85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>
            <w:pPr>
              <w:pStyle w:val="Normal"/>
              <w:numPr>
                <w:ilvl w:val="0"/>
                <w:numId w:val="3"/>
              </w:numPr>
              <w:spacing w:lineRule="exact" w:line="480"/>
              <w:ind w:left="0" w:right="-51" w:hanging="0"/>
              <w:rPr>
                <w:rFonts w:ascii="宋体" w:hAnsi="宋体" w:cs="宋体"/>
                <w:b/>
                <w:b/>
                <w:sz w:val="24"/>
              </w:rPr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/>
                <w:i w:val="0"/>
                <w:sz w:val="24"/>
              </w:rPr>
              <w:t>一、实验目的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1. 深入理解决策树（Decision Tree / CART 算法）的数学原理：掌握节点分裂准则（基尼不纯度 Gini Impurity 与信息熵 Entropy）、递归二叉分裂过程、树深度与叶节点样本量对模型复杂度的控制机制，以及代价复杂度剪枝（CCP, Cost-Complexity Pruning）的数学推导与实现；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2. 掌握面向结构化数据的端到端机器学习工程流程：以 6 个解耦模块（config / preprocessing / imbalance / modeling / evaluation / main）构建可维护的项目结构，涵盖数据加载与清洗、业务驱动特征工程、特征编码、数据标准化、不平衡处理、超参数调优与多维评估的完整链路；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3. 系统掌握混合编码策略的设计依据：理解 One-Hot 编码（InternetService、PaymentMethod 等无序类别）与有序 Label Encoding（Contract 合约类型等有序类别）的本质区别，能根据特征的业务语义和数值关系选择合适的编码方式，避免引入虚假的大小关系假设；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4. 深入理解并实践三种类别不平衡处理策略：对比 SMOTE 过采样（imblearn Pipeline 防泄露版本）、随机欠采样和 class_weight 损失加权的工作原理与 Precision-Recall 权衡，特别掌握"SMOTE 必须放入交叉验证 Pipeline 内执行"这一防止数据泄露的关键工程实践；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5. 掌握 GridSearchCV + StratifiedKFold 超参数调优方法，理解决策树四大核心超参数（max_depth、min_samples_leaf、min_samples_split、criterion）对树结构和泛化能力的影响机制，掌握 CCP alpha 代价复杂度剪枝参数的引入方式，能通过网格搜索寻找最优参数组合；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6. 理解并能计算类别不平衡场景下的核心评估指标：Precision（精确率）、Recall（召回率）、F1-Score（调和平均）与 ROC-AUC，能从混淆矩阵中解读 FP（误报）与 FN（漏报）对电信业务的不同代价含义，并理解为何 Recall 在流失预测场景中优先级高于 Precision；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7. 理解决策树相对于逻辑回归的优势与局限：通过 DT vs. LR 的 ROC 曲线对比实验，认识到单棵决策树在中等规模结构化数据集上的性能瓶颈（AUC≈0.83），理解集成树方法（Random Forest、XGBoost）突破此瓶颈的理论基础。</w:t>
            </w:r>
          </w:p>
        </w:tc>
      </w:tr>
      <w:tr>
        <w:trPr>
          <w:trHeight w:val="820" w:hRule="atLeast"/>
        </w:trPr>
        <w:tc>
          <w:tcPr>
            <w:tcW w:w="85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420"/>
                <w:tab w:val="left" w:pos="1140" w:leader="none"/>
              </w:tabs>
              <w:rPr>
                <w:rFonts w:ascii="宋体" w:hAnsi="宋体" w:cs="宋体"/>
                <w:b/>
                <w:b/>
                <w:sz w:val="24"/>
                <w:szCs w:val="24"/>
              </w:rPr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/>
                <w:i w:val="0"/>
                <w:sz w:val="24"/>
              </w:rPr>
              <w:t>二、实验项目内容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4"/>
              </w:rPr>
              <w:t>（一）数据集简介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本实验使用 IBM Telco Customer Churn 数据集（Kaggle 公开数据集），共 7,043 条电信客户记录，20 个原始特征（含数值型和类别型），目标变量 Churn 标记客户是否已流失（Yes/No）。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特征涵盖三个维度：① 客户基本属性（gender、SeniorCitizen、Partner、Dependents、tenure）；② 服务订阅信息（PhoneService、MultipleLines、InternetService、OnlineSecurity、OnlineBackup、DeviceProtection、TechSupport、StreamingTV、StreamingMovies）；③ 账单与合约信息（Contract、PaperlessBilling、PaymentMethod、MonthlyCharges、TotalCharges）。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类别分布呈轻度不平衡：未流失 5,174 条（73.46%）、流失 1,869 条（26.54%），正负样本比约 1:2.77。此外 TotalCharges 列存在 11 条空字符串（以 object 类型存储），为真实工业数据中的典型数据质量问题。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4472C4"/>
                <w:left w:val="single" w:sz="4" w:space="0" w:color="4472C4"/>
                <w:bottom w:val="single" w:sz="4" w:space="0" w:color="4472C4"/>
                <w:right w:val="single" w:sz="4" w:space="0" w:color="4472C4"/>
                <w:insideH w:val="single" w:sz="4" w:space="0" w:color="4472C4"/>
                <w:insideV w:val="single" w:sz="4" w:space="0" w:color="4472C4"/>
              </w:tblBorders>
            </w:tblPr>
            <w:tblGrid>
              <w:gridCol w:w="2147"/>
              <w:gridCol w:w="2147"/>
              <w:gridCol w:w="2147"/>
              <w:gridCol w:w="2147"/>
            </w:tblGrid>
            <w:tr>
              <w:tc>
                <w:tcPr>
                  <w:tcW w:type="dxa" w:w="2147"/>
                  <w:shd w:val="clear" w:color="auto" w:fill="BDD7EE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字段</w:t>
                  </w:r>
                </w:p>
              </w:tc>
              <w:tc>
                <w:tcPr>
                  <w:tcW w:type="dxa" w:w="2147"/>
                  <w:shd w:val="clear" w:color="auto" w:fill="BDD7EE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类型</w:t>
                  </w:r>
                </w:p>
              </w:tc>
              <w:tc>
                <w:tcPr>
                  <w:tcW w:type="dxa" w:w="2147"/>
                  <w:shd w:val="clear" w:color="auto" w:fill="BDD7EE"/>
                  <w:tcW w:w="255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取值示例</w:t>
                  </w:r>
                </w:p>
              </w:tc>
              <w:tc>
                <w:tcPr>
                  <w:tcW w:type="dxa" w:w="2147"/>
                  <w:shd w:val="clear" w:color="auto" w:fill="BDD7EE"/>
                  <w:tcW w:w="3685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业务含义</w:t>
                  </w:r>
                </w:p>
              </w:tc>
            </w:tr>
            <w:tr>
              <w:tc>
                <w:tcPr>
                  <w:tcW w:type="dxa" w:w="2147"/>
                  <w:shd w:val="clear" w:color="auto" w:fill="FFFFFF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tenure</w:t>
                  </w:r>
                </w:p>
              </w:tc>
              <w:tc>
                <w:tcPr>
                  <w:tcW w:type="dxa" w:w="2147"/>
                  <w:shd w:val="clear" w:color="auto" w:fill="FFFFFF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数值</w:t>
                  </w:r>
                </w:p>
              </w:tc>
              <w:tc>
                <w:tcPr>
                  <w:tcW w:type="dxa" w:w="2147"/>
                  <w:shd w:val="clear" w:color="auto" w:fill="FFFFFF"/>
                  <w:tcW w:w="255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0–72（月）</w:t>
                  </w:r>
                </w:p>
              </w:tc>
              <w:tc>
                <w:tcPr>
                  <w:tcW w:type="dxa" w:w="2147"/>
                  <w:shd w:val="clear" w:color="auto" w:fill="FFFFFF"/>
                  <w:tcW w:w="3685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客户入网时长，越长粘性越高</w:t>
                  </w:r>
                </w:p>
              </w:tc>
            </w:tr>
            <w:tr>
              <w:tc>
                <w:tcPr>
                  <w:tcW w:type="dxa" w:w="2147"/>
                  <w:shd w:val="clear" w:color="auto" w:fill="EBF3FB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Contract</w:t>
                  </w:r>
                </w:p>
              </w:tc>
              <w:tc>
                <w:tcPr>
                  <w:tcW w:type="dxa" w:w="2147"/>
                  <w:shd w:val="clear" w:color="auto" w:fill="EBF3FB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有序类别</w:t>
                  </w:r>
                </w:p>
              </w:tc>
              <w:tc>
                <w:tcPr>
                  <w:tcW w:type="dxa" w:w="2147"/>
                  <w:shd w:val="clear" w:color="auto" w:fill="EBF3FB"/>
                  <w:tcW w:w="255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Month-to-month / One year / Two year</w:t>
                  </w:r>
                </w:p>
              </w:tc>
              <w:tc>
                <w:tcPr>
                  <w:tcW w:type="dxa" w:w="2147"/>
                  <w:shd w:val="clear" w:color="auto" w:fill="EBF3FB"/>
                  <w:tcW w:w="3685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合约类型，月付流失率远高于年付</w:t>
                  </w:r>
                </w:p>
              </w:tc>
            </w:tr>
            <w:tr>
              <w:tc>
                <w:tcPr>
                  <w:tcW w:type="dxa" w:w="2147"/>
                  <w:shd w:val="clear" w:color="auto" w:fill="FFFFFF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MonthlyCharges</w:t>
                  </w:r>
                </w:p>
              </w:tc>
              <w:tc>
                <w:tcPr>
                  <w:tcW w:type="dxa" w:w="2147"/>
                  <w:shd w:val="clear" w:color="auto" w:fill="FFFFFF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数值</w:t>
                  </w:r>
                </w:p>
              </w:tc>
              <w:tc>
                <w:tcPr>
                  <w:tcW w:type="dxa" w:w="2147"/>
                  <w:shd w:val="clear" w:color="auto" w:fill="FFFFFF"/>
                  <w:tcW w:w="255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18.25–118.75（美元）</w:t>
                  </w:r>
                </w:p>
              </w:tc>
              <w:tc>
                <w:tcPr>
                  <w:tcW w:type="dxa" w:w="2147"/>
                  <w:shd w:val="clear" w:color="auto" w:fill="FFFFFF"/>
                  <w:tcW w:w="3685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月消费额，高消费感知差异大</w:t>
                  </w:r>
                </w:p>
              </w:tc>
            </w:tr>
            <w:tr>
              <w:tc>
                <w:tcPr>
                  <w:tcW w:type="dxa" w:w="2147"/>
                  <w:shd w:val="clear" w:color="auto" w:fill="EBF3FB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TotalCharges</w:t>
                  </w:r>
                </w:p>
              </w:tc>
              <w:tc>
                <w:tcPr>
                  <w:tcW w:type="dxa" w:w="2147"/>
                  <w:shd w:val="clear" w:color="auto" w:fill="EBF3FB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数值</w:t>
                  </w:r>
                </w:p>
              </w:tc>
              <w:tc>
                <w:tcPr>
                  <w:tcW w:type="dxa" w:w="2147"/>
                  <w:shd w:val="clear" w:color="auto" w:fill="EBF3FB"/>
                  <w:tcW w:w="255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18.8–8684.8（美元）</w:t>
                  </w:r>
                </w:p>
              </w:tc>
              <w:tc>
                <w:tcPr>
                  <w:tcW w:type="dxa" w:w="2147"/>
                  <w:shd w:val="clear" w:color="auto" w:fill="EBF3FB"/>
                  <w:tcW w:w="3685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累计消费，含 11 条空字符串缺失</w:t>
                  </w:r>
                </w:p>
              </w:tc>
            </w:tr>
            <w:tr>
              <w:tc>
                <w:tcPr>
                  <w:tcW w:type="dxa" w:w="2147"/>
                  <w:shd w:val="clear" w:color="auto" w:fill="FFFFFF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InternetService</w:t>
                  </w:r>
                </w:p>
              </w:tc>
              <w:tc>
                <w:tcPr>
                  <w:tcW w:type="dxa" w:w="2147"/>
                  <w:shd w:val="clear" w:color="auto" w:fill="FFFFFF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无序类别</w:t>
                  </w:r>
                </w:p>
              </w:tc>
              <w:tc>
                <w:tcPr>
                  <w:tcW w:type="dxa" w:w="2147"/>
                  <w:shd w:val="clear" w:color="auto" w:fill="FFFFFF"/>
                  <w:tcW w:w="255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DSL / Fiber optic / No</w:t>
                  </w:r>
                </w:p>
              </w:tc>
              <w:tc>
                <w:tcPr>
                  <w:tcW w:type="dxa" w:w="2147"/>
                  <w:shd w:val="clear" w:color="auto" w:fill="FFFFFF"/>
                  <w:tcW w:w="3685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网络类型，光纤用户流失率最高</w:t>
                  </w:r>
                </w:p>
              </w:tc>
            </w:tr>
            <w:tr>
              <w:tc>
                <w:tcPr>
                  <w:tcW w:type="dxa" w:w="2147"/>
                  <w:shd w:val="clear" w:color="auto" w:fill="EBF3FB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PaymentMethod</w:t>
                  </w:r>
                </w:p>
              </w:tc>
              <w:tc>
                <w:tcPr>
                  <w:tcW w:type="dxa" w:w="2147"/>
                  <w:shd w:val="clear" w:color="auto" w:fill="EBF3FB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无序类别</w:t>
                  </w:r>
                </w:p>
              </w:tc>
              <w:tc>
                <w:tcPr>
                  <w:tcW w:type="dxa" w:w="2147"/>
                  <w:shd w:val="clear" w:color="auto" w:fill="EBF3FB"/>
                  <w:tcW w:w="255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4 种支付方式</w:t>
                  </w:r>
                </w:p>
              </w:tc>
              <w:tc>
                <w:tcPr>
                  <w:tcW w:type="dxa" w:w="2147"/>
                  <w:shd w:val="clear" w:color="auto" w:fill="EBF3FB"/>
                  <w:tcW w:w="3685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电子支票用户流失率显著偏高</w:t>
                  </w:r>
                </w:p>
              </w:tc>
            </w:tr>
            <w:tr>
              <w:tc>
                <w:tcPr>
                  <w:tcW w:type="dxa" w:w="2147"/>
                  <w:shd w:val="clear" w:color="auto" w:fill="FFFFFF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Churn</w:t>
                  </w:r>
                </w:p>
              </w:tc>
              <w:tc>
                <w:tcPr>
                  <w:tcW w:type="dxa" w:w="2147"/>
                  <w:shd w:val="clear" w:color="auto" w:fill="FFFFFF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目标变量</w:t>
                  </w:r>
                </w:p>
              </w:tc>
              <w:tc>
                <w:tcPr>
                  <w:tcW w:type="dxa" w:w="2147"/>
                  <w:shd w:val="clear" w:color="auto" w:fill="FFFFFF"/>
                  <w:tcW w:w="255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Yes=1 / No=0</w:t>
                  </w:r>
                </w:p>
              </w:tc>
              <w:tc>
                <w:tcPr>
                  <w:tcW w:type="dxa" w:w="2147"/>
                  <w:shd w:val="clear" w:color="auto" w:fill="FFFFFF"/>
                  <w:tcW w:w="3685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是否已流失（正类为流失）</w:t>
                  </w:r>
                </w:p>
              </w:tc>
            </w:tr>
            <w:tr>
              <w:tc>
                <w:tcPr>
                  <w:tcW w:type="dxa" w:w="8588"/>
                  <w:gridSpan w:val="4"/>
                  <w:shd w:val="clear" w:color="auto" w:fill="F2F2F2"/>
                  <w:tcW w:w="1701" w:type="dxa"/>
                  <w:tcW w:w="1134" w:type="dxa"/>
                  <w:tcW w:w="2551" w:type="dxa"/>
                  <w:tcW w:w="3685" w:type="dxa"/>
                </w:tcPr>
                <w:p>
                  <w:pPr>
                    <w:spacing w:before="20" w:after="20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color w:val="606060"/>
                      <w:sz w:val="18"/>
                    </w:rPr>
                    <w:t>注：全部特征均无 NaN，仅 TotalCharges 含空字符串需转换处理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4"/>
              </w:rPr>
              <w:t>（二）工程化项目架构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本实验将功能解耦为 6 个独立模块，实现关注点分离和可维护性：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4472C4"/>
                <w:left w:val="single" w:sz="4" w:space="0" w:color="4472C4"/>
                <w:bottom w:val="single" w:sz="4" w:space="0" w:color="4472C4"/>
                <w:right w:val="single" w:sz="4" w:space="0" w:color="4472C4"/>
                <w:insideH w:val="single" w:sz="4" w:space="0" w:color="4472C4"/>
                <w:insideV w:val="single" w:sz="4" w:space="0" w:color="4472C4"/>
              </w:tblBorders>
            </w:tblPr>
            <w:tblGrid>
              <w:gridCol w:w="4295"/>
              <w:gridCol w:w="4295"/>
            </w:tblGrid>
            <w:tr>
              <w:tc>
                <w:tcPr>
                  <w:tcW w:type="dxa" w:w="4295"/>
                  <w:shd w:val="clear" w:color="auto" w:fill="BDD7EE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模块文件</w:t>
                  </w:r>
                </w:p>
              </w:tc>
              <w:tc>
                <w:tcPr>
                  <w:tcW w:type="dxa" w:w="4295"/>
                  <w:shd w:val="clear" w:color="auto" w:fill="BDD7EE"/>
                  <w:tcW w:w="708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职责说明</w:t>
                  </w:r>
                </w:p>
              </w:tc>
            </w:tr>
            <w:tr>
              <w:tc>
                <w:tcPr>
                  <w:tcW w:type="dxa" w:w="4295"/>
                  <w:shd w:val="clear" w:color="auto" w:fill="FFFFFF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config.py</w:t>
                  </w:r>
                </w:p>
              </w:tc>
              <w:tc>
                <w:tcPr>
                  <w:tcW w:type="dxa" w:w="4295"/>
                  <w:shd w:val="clear" w:color="auto" w:fill="FFFFFF"/>
                  <w:tcW w:w="708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全局配置：路径、随机种子、CV 折数、编码映射、超参数网格（含 CCP alpha）</w:t>
                  </w:r>
                </w:p>
              </w:tc>
            </w:tr>
            <w:tr>
              <w:tc>
                <w:tcPr>
                  <w:tcW w:type="dxa" w:w="4295"/>
                  <w:shd w:val="clear" w:color="auto" w:fill="EBF3FB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preprocessing.py</w:t>
                  </w:r>
                </w:p>
              </w:tc>
              <w:tc>
                <w:tcPr>
                  <w:tcW w:type="dxa" w:w="4295"/>
                  <w:shd w:val="clear" w:color="auto" w:fill="EBF3FB"/>
                  <w:tcW w:w="708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数据加载→TotalCharges 修复→10 项特征工程→混合编码→StandardScaler 标准化</w:t>
                  </w:r>
                </w:p>
              </w:tc>
            </w:tr>
            <w:tr>
              <w:tc>
                <w:tcPr>
                  <w:tcW w:type="dxa" w:w="4295"/>
                  <w:shd w:val="clear" w:color="auto" w:fill="FFFFFF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imbalance.py</w:t>
                  </w:r>
                </w:p>
              </w:tc>
              <w:tc>
                <w:tcPr>
                  <w:tcW w:type="dxa" w:w="4295"/>
                  <w:shd w:val="clear" w:color="auto" w:fill="FFFFFF"/>
                  <w:tcW w:w="708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三种不平衡策略封装（SMOTE 返回重采样数据 / UnderSample / ClassWeight 标志）</w:t>
                  </w:r>
                </w:p>
              </w:tc>
            </w:tr>
            <w:tr>
              <w:tc>
                <w:tcPr>
                  <w:tcW w:type="dxa" w:w="4295"/>
                  <w:shd w:val="clear" w:color="auto" w:fill="EBF3FB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modeling.py</w:t>
                  </w:r>
                </w:p>
              </w:tc>
              <w:tc>
                <w:tcPr>
                  <w:tcW w:type="dxa" w:w="4295"/>
                  <w:shd w:val="clear" w:color="auto" w:fill="EBF3FB"/>
                  <w:tcW w:w="708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SMOTE Pipeline GridSearchCV + UnderSample/ClassWeight GridSearchCV + LR 对比</w:t>
                  </w:r>
                </w:p>
              </w:tc>
            </w:tr>
            <w:tr>
              <w:tc>
                <w:tcPr>
                  <w:tcW w:type="dxa" w:w="4295"/>
                  <w:shd w:val="clear" w:color="auto" w:fill="FFFFFF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evaluation.py</w:t>
                  </w:r>
                </w:p>
              </w:tc>
              <w:tc>
                <w:tcPr>
                  <w:tcW w:type="dxa" w:w="4295"/>
                  <w:shd w:val="clear" w:color="auto" w:fill="FFFFFF"/>
                  <w:tcW w:w="708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测试集推断、classification_report 打印、4 张可视化图表生成、AUC 汇总</w:t>
                  </w:r>
                </w:p>
              </w:tc>
            </w:tr>
            <w:tr>
              <w:tc>
                <w:tcPr>
                  <w:tcW w:type="dxa" w:w="4295"/>
                  <w:shd w:val="clear" w:color="auto" w:fill="EBF3FB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main.py</w:t>
                  </w:r>
                </w:p>
              </w:tc>
              <w:tc>
                <w:tcPr>
                  <w:tcW w:type="dxa" w:w="4295"/>
                  <w:shd w:val="clear" w:color="auto" w:fill="EBF3FB"/>
                  <w:tcW w:w="708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主执行入口，串联完整流水线，9 步骤输出所有结果</w:t>
                  </w:r>
                </w:p>
              </w:tc>
            </w:tr>
          </w:tbl>
          <w:p/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4"/>
              </w:rPr>
              <w:t>（三）实验核心任务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① 数据清洗：TotalCharges 空字符串→中位数填充；删除 customerID（无预测价值）；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② 业务驱动特征工程：构造 10 个衍生特征，包括 num_services（服务订阅数）、risky_combo（月付+新客户高风险组合）、tenure_segment（入网时长分段）、monthly_to_total（消费新鲜度指标）、fiber_high_charge（光纤高消费客户）等；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③ 混合编码策略：二值 Yes/No 列→0/1 映射；Contract 等有序类别→Label Encoding 保留顺序语义；InternetService、PaymentMethod 等无序类别→One-Hot Encoding 防止虚假大小关系；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④ 三种类别不平衡处理：SMOTE Pipeline（每折独立执行防泄露）/ 随机欠采样 / class_weight='balanced'；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⑤ 决策树超参数调优：GridSearchCV 在 criterion×max_depth×min_samples_leaf×min_samples_split×ccp_alpha 五维参数空间搜索（210 组参数 × 5折 = 1,050 次拟合/策略），scoring=roc_auc；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⑥ 多维评估：classification_report 输出 Precision/Recall/F1，混淆矩阵分析 FP/FN，ROC 曲线 + AUC，特征重要性；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⑦ DT vs. LR 对比：同数据上训练 GridSearchCV 优化的 LR，ROC 图叠加对比，分析线性模型 vs 树模型的差异。</w:t>
            </w:r>
          </w:p>
        </w:tc>
      </w:tr>
      <w:tr>
        <w:trPr>
          <w:trHeight w:val="5174" w:hRule="atLeast"/>
        </w:trPr>
        <w:tc>
          <w:tcPr>
            <w:tcW w:w="85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>
            <w:pPr>
              <w:pStyle w:val="Normal"/>
              <w:tabs>
                <w:tab w:val="clear" w:pos="420"/>
                <w:tab w:val="left" w:pos="1140" w:leader="none"/>
              </w:tabs>
              <w:rPr>
                <w:rFonts w:ascii="宋体" w:hAnsi="宋体" w:cs="宋体"/>
                <w:b/>
                <w:b/>
                <w:sz w:val="24"/>
                <w:szCs w:val="24"/>
              </w:rP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4472C4"/>
                <w:left w:val="single" w:sz="4" w:space="0" w:color="4472C4"/>
                <w:bottom w:val="single" w:sz="4" w:space="0" w:color="4472C4"/>
                <w:right w:val="single" w:sz="4" w:space="0" w:color="4472C4"/>
                <w:insideH w:val="single" w:sz="4" w:space="0" w:color="4472C4"/>
                <w:insideV w:val="single" w:sz="4" w:space="0" w:color="4472C4"/>
              </w:tblBorders>
            </w:tblPr>
            <w:tblGrid>
              <w:gridCol w:w="1074"/>
              <w:gridCol w:w="1074"/>
              <w:gridCol w:w="1074"/>
              <w:gridCol w:w="1074"/>
              <w:gridCol w:w="1074"/>
              <w:gridCol w:w="1074"/>
              <w:gridCol w:w="1074"/>
              <w:gridCol w:w="1074"/>
            </w:tblGrid>
            <w:tr>
              <w:tc>
                <w:tcPr>
                  <w:tcW w:type="dxa" w:w="1074"/>
                  <w:shd w:val="clear" w:color="auto" w:fill="4472C4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/>
                      <w:i w:val="0"/>
                      <w:color w:val="FFFFFF"/>
                      <w:sz w:val="20"/>
                    </w:rPr>
                    <w:t>策略</w:t>
                  </w:r>
                </w:p>
              </w:tc>
              <w:tc>
                <w:tcPr>
                  <w:tcW w:type="dxa" w:w="1074"/>
                  <w:shd w:val="clear" w:color="auto" w:fill="4472C4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/>
                      <w:i w:val="0"/>
                      <w:color w:val="FFFFFF"/>
                      <w:sz w:val="20"/>
                    </w:rPr>
                    <w:t>最优criterion</w:t>
                  </w:r>
                </w:p>
              </w:tc>
              <w:tc>
                <w:tcPr>
                  <w:tcW w:type="dxa" w:w="1074"/>
                  <w:shd w:val="clear" w:color="auto" w:fill="4472C4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/>
                      <w:i w:val="0"/>
                      <w:color w:val="FFFFFF"/>
                      <w:sz w:val="20"/>
                    </w:rPr>
                    <w:t>max_depth</w:t>
                  </w:r>
                </w:p>
              </w:tc>
              <w:tc>
                <w:tcPr>
                  <w:tcW w:type="dxa" w:w="1074"/>
                  <w:shd w:val="clear" w:color="auto" w:fill="4472C4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/>
                      <w:i w:val="0"/>
                      <w:color w:val="FFFFFF"/>
                      <w:sz w:val="20"/>
                    </w:rPr>
                    <w:t>min_samples_leaf</w:t>
                  </w:r>
                </w:p>
              </w:tc>
              <w:tc>
                <w:tcPr>
                  <w:tcW w:type="dxa" w:w="1074"/>
                  <w:shd w:val="clear" w:color="auto" w:fill="4472C4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/>
                      <w:i w:val="0"/>
                      <w:color w:val="FFFFFF"/>
                      <w:sz w:val="20"/>
                    </w:rPr>
                    <w:t>min_samples_split</w:t>
                  </w:r>
                </w:p>
              </w:tc>
              <w:tc>
                <w:tcPr>
                  <w:tcW w:type="dxa" w:w="1074"/>
                  <w:shd w:val="clear" w:color="auto" w:fill="4472C4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/>
                      <w:i w:val="0"/>
                      <w:color w:val="FFFFFF"/>
                      <w:sz w:val="20"/>
                    </w:rPr>
                    <w:t>ccp_alpha</w:t>
                  </w:r>
                </w:p>
              </w:tc>
              <w:tc>
                <w:tcPr>
                  <w:tcW w:type="dxa" w:w="1074"/>
                  <w:shd w:val="clear" w:color="auto" w:fill="4472C4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/>
                      <w:i w:val="0"/>
                      <w:color w:val="FFFFFF"/>
                      <w:sz w:val="20"/>
                    </w:rPr>
                    <w:t>CV-AUC</w:t>
                  </w:r>
                </w:p>
              </w:tc>
              <w:tc>
                <w:tcPr>
                  <w:tcW w:type="dxa" w:w="1074"/>
                  <w:shd w:val="clear" w:color="auto" w:fill="4472C4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/>
                      <w:i w:val="0"/>
                      <w:color w:val="FFFFFF"/>
                      <w:sz w:val="20"/>
                    </w:rPr>
                    <w:t>树深度/叶数</w:t>
                  </w:r>
                </w:p>
              </w:tc>
            </w:tr>
            <w:tr>
              <w:tc>
                <w:tcPr>
                  <w:tcW w:type="dxa" w:w="1074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SMOTE</w:t>
                  </w:r>
                </w:p>
              </w:tc>
              <w:tc>
                <w:tcPr>
                  <w:tcW w:type="dxa" w:w="1074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gini</w:t>
                  </w:r>
                </w:p>
              </w:tc>
              <w:tc>
                <w:tcPr>
                  <w:tcW w:type="dxa" w:w="1074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10</w:t>
                  </w:r>
                </w:p>
              </w:tc>
              <w:tc>
                <w:tcPr>
                  <w:tcW w:type="dxa" w:w="1074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1074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1074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0.001</w:t>
                  </w:r>
                </w:p>
              </w:tc>
              <w:tc>
                <w:tcPr>
                  <w:tcW w:type="dxa" w:w="1074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0.8447</w:t>
                  </w:r>
                </w:p>
              </w:tc>
              <w:tc>
                <w:tcPr>
                  <w:tcW w:type="dxa" w:w="1074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7 / 22</w:t>
                  </w:r>
                </w:p>
              </w:tc>
            </w:tr>
            <w:tr>
              <w:tc>
                <w:tcPr>
                  <w:tcW w:type="dxa" w:w="1074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UnderSample</w:t>
                  </w:r>
                </w:p>
              </w:tc>
              <w:tc>
                <w:tcPr>
                  <w:tcW w:type="dxa" w:w="1074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entropy</w:t>
                  </w:r>
                </w:p>
              </w:tc>
              <w:tc>
                <w:tcPr>
                  <w:tcW w:type="dxa" w:w="1074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5</w:t>
                  </w:r>
                </w:p>
              </w:tc>
              <w:tc>
                <w:tcPr>
                  <w:tcW w:type="dxa" w:w="1074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5</w:t>
                  </w:r>
                </w:p>
              </w:tc>
              <w:tc>
                <w:tcPr>
                  <w:tcW w:type="dxa" w:w="1074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1074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0.001</w:t>
                  </w:r>
                </w:p>
              </w:tc>
              <w:tc>
                <w:tcPr>
                  <w:tcW w:type="dxa" w:w="1074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0.8261</w:t>
                  </w:r>
                </w:p>
              </w:tc>
              <w:tc>
                <w:tcPr>
                  <w:tcW w:type="dxa" w:w="1074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5 / 25</w:t>
                  </w:r>
                </w:p>
              </w:tc>
            </w:tr>
            <w:tr>
              <w:tc>
                <w:tcPr>
                  <w:tcW w:type="dxa" w:w="1074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ClassWeight</w:t>
                  </w:r>
                </w:p>
              </w:tc>
              <w:tc>
                <w:tcPr>
                  <w:tcW w:type="dxa" w:w="1074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entropy</w:t>
                  </w:r>
                </w:p>
              </w:tc>
              <w:tc>
                <w:tcPr>
                  <w:tcW w:type="dxa" w:w="1074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5</w:t>
                  </w:r>
                </w:p>
              </w:tc>
              <w:tc>
                <w:tcPr>
                  <w:tcW w:type="dxa" w:w="1074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10</w:t>
                  </w:r>
                </w:p>
              </w:tc>
              <w:tc>
                <w:tcPr>
                  <w:tcW w:type="dxa" w:w="1074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1074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0.0</w:t>
                  </w:r>
                </w:p>
              </w:tc>
              <w:tc>
                <w:tcPr>
                  <w:tcW w:type="dxa" w:w="1074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0.8323</w:t>
                  </w:r>
                </w:p>
              </w:tc>
              <w:tc>
                <w:tcPr>
                  <w:tcW w:type="dxa" w:w="1074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5 / 31</w:t>
                  </w:r>
                </w:p>
              </w:tc>
            </w:tr>
            <w:tr>
              <w:tc>
                <w:tcPr>
                  <w:tcW w:type="dxa" w:w="8592"/>
                  <w:gridSpan w:val="8"/>
                  <w:shd w:val="clear" w:color="auto" w:fill="F5F5F5"/>
                </w:tcPr>
                <w:p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color w:val="555555"/>
                      <w:sz w:val="18"/>
                    </w:rPr>
                    <w:t>注：ccp_alpha=0.001 的出现说明轻微后剪枝能改善泛化；max_depth=10 在SMOTE数据上适合（样本量更多，6208条），而两种不平衡调整策略倾向更浅的树（max_depth=5）。</w:t>
                  </w:r>
                </w:p>
              </w:tc>
            </w:tr>
          </w:tbl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/>
                <w:i w:val="0"/>
                <w:sz w:val="24"/>
              </w:rPr>
              <w:t>三、实验过程或算法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4"/>
              </w:rPr>
              <w:t>3.0 决策树（CART算法）数学原理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2"/>
              </w:rPr>
              <w:t>（1）基本概念：递归二叉分裂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CART（Classification and Regression Tree）算法通过自顶向下的递归二叉分裂构建决策树。在每个内部节点，算法从所有特征 j 和所有可能分裂阈值 t 中，选择使目标函数最优的分裂点 (j*, t*)：</w:t>
            </w:r>
          </w:p>
          <w:p>
            <w:pPr>
              <w:spacing w:before="40" w:after="40" w:line="240" w:lineRule="auto"/>
              <w:ind w:left="850"/>
            </w:pPr>
            <w:r>
              <w:rPr>
                <w:rFonts w:eastAsia="Times New Roman"/>
                <w:rFonts w:ascii="Times New Roman" w:hAnsi="Times New Roman"/>
                <w:b w:val="0"/>
                <w:i/>
                <w:color w:val="7B001A"/>
                <w:sz w:val="22"/>
              </w:rPr>
              <w:t>(j*, t*) = argmin_{j,t}  [ |L|/|S| · I(D_L)  +  |R|/|S| · I(D_R) ]</w:t>
            </w:r>
            <w:r>
              <w:rPr>
                <w:rFonts w:eastAsia="宋体"/>
                <w:rFonts w:ascii="宋体" w:hAnsi="宋体"/>
                <w:b w:val="0"/>
                <w:i w:val="0"/>
                <w:color w:val="606060"/>
                <w:sz w:val="20"/>
              </w:rPr>
              <w:t xml:space="preserve">  S=父节点样本集，L/R=左/右子节点，I=不纯度函数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分裂持续进行，直到满足停止条件（max_depth 达到上限、min_samples_split 或 min_samples_leaf 约束、节点完全纯净，或 ccp_alpha 剪枝移除子树）。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2"/>
              </w:rPr>
              <w:t>（2）分裂准则一：基尼不纯度（Gini Impurity）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基尼不纯度衡量节点 D 中随机选取两个样本类别不同的概率，取值范围 [0, 0.5]（二分类）。值越小表示节点越纯净：</w:t>
            </w:r>
          </w:p>
          <w:p>
            <w:pPr>
              <w:spacing w:before="40" w:after="40" w:line="240" w:lineRule="auto"/>
              <w:ind w:left="850"/>
            </w:pPr>
            <w:r>
              <w:rPr>
                <w:rFonts w:eastAsia="Times New Roman"/>
                <w:rFonts w:ascii="Times New Roman" w:hAnsi="Times New Roman"/>
                <w:b w:val="0"/>
                <w:i/>
                <w:color w:val="7B001A"/>
                <w:sz w:val="22"/>
              </w:rPr>
              <w:t>Gini(D) = 1 − Σ_{k=1}^{K} p_k²</w:t>
            </w:r>
            <w:r>
              <w:rPr>
                <w:rFonts w:eastAsia="宋体"/>
                <w:rFonts w:ascii="宋体" w:hAnsi="宋体"/>
                <w:b w:val="0"/>
                <w:i w:val="0"/>
                <w:color w:val="606060"/>
                <w:sz w:val="20"/>
              </w:rPr>
              <w:t xml:space="preserve">  p_k = 节点中第 k 类样本比例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二分类情形下（K=2），当 p₁=p₂=0.5 时 Gini=0.5（最不纯），当某类占比为 1 时 Gini=0（完全纯净）。Gini 不纯度的分裂增益为：</w:t>
            </w:r>
          </w:p>
          <w:p>
            <w:pPr>
              <w:spacing w:before="40" w:after="40" w:line="240" w:lineRule="auto"/>
              <w:ind w:left="850"/>
            </w:pPr>
            <w:r>
              <w:rPr>
                <w:rFonts w:eastAsia="Times New Roman"/>
                <w:rFonts w:ascii="Times New Roman" w:hAnsi="Times New Roman"/>
                <w:b w:val="0"/>
                <w:i/>
                <w:color w:val="7B001A"/>
                <w:sz w:val="22"/>
              </w:rPr>
              <w:t>ΔGini = Gini(D) − [ |D_L|/|D| · Gini(D_L)  +  |D_R|/|D| · Gini(D_R) ]</w:t>
            </w:r>
            <w:r>
              <w:rPr>
                <w:rFonts w:eastAsia="宋体"/>
                <w:rFonts w:ascii="宋体" w:hAnsi="宋体"/>
                <w:b w:val="0"/>
                <w:i w:val="0"/>
                <w:color w:val="606060"/>
                <w:sz w:val="20"/>
              </w:rPr>
              <w:t xml:space="preserve">  选择使 ΔGini 最大的分裂点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Gini 计算无对数运算，效率更高，是 sklearn DecisionTreeClassifier 的默认准则（criterion='gini'）。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2"/>
              </w:rPr>
              <w:t>（3）分裂准则二：信息熵与信息增益（Entropy / Information Gain）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信息熵基于香农信息论，衡量节点的不确定性，取值范围 [0, 1]（二分类归一化后）：</w:t>
            </w:r>
          </w:p>
          <w:p>
            <w:pPr>
              <w:spacing w:before="40" w:after="40" w:line="240" w:lineRule="auto"/>
              <w:ind w:left="850"/>
            </w:pPr>
            <w:r>
              <w:rPr>
                <w:rFonts w:eastAsia="Times New Roman"/>
                <w:rFonts w:ascii="Times New Roman" w:hAnsi="Times New Roman"/>
                <w:b w:val="0"/>
                <w:i/>
                <w:color w:val="7B001A"/>
                <w:sz w:val="22"/>
              </w:rPr>
              <w:t>H(D) = − Σ_{k=1}^{K} p_k · log₂(p_k)</w:t>
            </w:r>
            <w:r>
              <w:rPr>
                <w:rFonts w:eastAsia="宋体"/>
                <w:rFonts w:ascii="宋体" w:hAnsi="宋体"/>
                <w:b w:val="0"/>
                <w:i w:val="0"/>
                <w:color w:val="606060"/>
                <w:sz w:val="20"/>
              </w:rPr>
              <w:t xml:space="preserve">  p_k log₂ p_k = 0 当 p_k = 0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信息增益（Information Gain）为分裂前后熵的减少量：</w:t>
            </w:r>
          </w:p>
          <w:p>
            <w:pPr>
              <w:spacing w:before="40" w:after="40" w:line="240" w:lineRule="auto"/>
              <w:ind w:left="850"/>
            </w:pPr>
            <w:r>
              <w:rPr>
                <w:rFonts w:eastAsia="Times New Roman"/>
                <w:rFonts w:ascii="Times New Roman" w:hAnsi="Times New Roman"/>
                <w:b w:val="0"/>
                <w:i/>
                <w:color w:val="7B001A"/>
                <w:sz w:val="22"/>
              </w:rPr>
              <w:t>IG = H(D) − [ |D_L|/|D| · H(D_L)  +  |D_R|/|D| · H(D_R) ]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信息熵对小概率类别更敏感（对数放大效应），在类别不平衡场景中理论上略优于 Gini。本实验通过 GridSearchCV 同时搜索 criterion∈{'gini', 'entropy'}，由数据驱动最优选择。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2"/>
              </w:rPr>
              <w:t>（4）代价复杂度剪枝（CCP, Cost-Complexity Pruning）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未剪枝的完全生长决策树极易过拟合训练集。CCP 通过引入惩罚系数 α 将树的复杂度纳入目标函数：</w:t>
            </w:r>
          </w:p>
          <w:p>
            <w:pPr>
              <w:spacing w:before="40" w:after="40" w:line="240" w:lineRule="auto"/>
              <w:ind w:left="850"/>
            </w:pPr>
            <w:r>
              <w:rPr>
                <w:rFonts w:eastAsia="Times New Roman"/>
                <w:rFonts w:ascii="Times New Roman" w:hAnsi="Times New Roman"/>
                <w:b w:val="0"/>
                <w:i/>
                <w:color w:val="7B001A"/>
                <w:sz w:val="22"/>
              </w:rPr>
              <w:t>R_α(T) = R(T)  +  α · |T_L|</w:t>
            </w:r>
            <w:r>
              <w:rPr>
                <w:rFonts w:eastAsia="宋体"/>
                <w:rFonts w:ascii="宋体" w:hAnsi="宋体"/>
                <w:b w:val="0"/>
                <w:i w:val="0"/>
                <w:color w:val="606060"/>
                <w:sz w:val="20"/>
              </w:rPr>
              <w:t xml:space="preserve">  R(T)=树的误分率，|T_L|=叶子节点数，α≥0 控制剪枝力度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对于给定的 α，存在唯一最优子树 T*(α)。α=0 时为完整树；α 增大时，依次剪去"复杂度收益比最低"的子树，树规模单调缩减。本实验在 GridSearchCV 中将 ccp_alpha∈{0.0, 0.0005, 0.001, 0.002, 0.005} 纳入搜索，由交叉验证 AUC 自动确定最优剪枝强度。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2"/>
              </w:rPr>
              <w:t>（5）ROC-AUC 评估原理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ROC（Receiver Operating Characteristic）曲线以假阳率 FPR 为横轴、真阳率 TPR 为纵轴，扫描所有可能的分类阈值绘制。曲线下面积 AUC 的概率含义为：</w:t>
            </w:r>
          </w:p>
          <w:p>
            <w:pPr>
              <w:spacing w:before="40" w:after="40" w:line="240" w:lineRule="auto"/>
              <w:ind w:left="850"/>
            </w:pPr>
            <w:r>
              <w:rPr>
                <w:rFonts w:eastAsia="Times New Roman"/>
                <w:rFonts w:ascii="Times New Roman" w:hAnsi="Times New Roman"/>
                <w:b w:val="0"/>
                <w:i/>
                <w:color w:val="7B001A"/>
                <w:sz w:val="22"/>
              </w:rPr>
              <w:t>AUC = P( score(x⁺) &gt; score(x⁻) )</w:t>
            </w:r>
            <w:r>
              <w:rPr>
                <w:rFonts w:eastAsia="宋体"/>
                <w:rFonts w:ascii="宋体" w:hAnsi="宋体"/>
                <w:b w:val="0"/>
                <w:i w:val="0"/>
                <w:color w:val="606060"/>
                <w:sz w:val="20"/>
              </w:rPr>
              <w:t xml:space="preserve">  x⁺=正样本（流失），x⁻=负样本（未流失）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AUC=1.0 表示完美分类；AUC=0.5 等同随机猜测。AUC 是阈值无关的整体排序能力指标，不受类别不平衡影响，因此在本实验中同时作为 GridSearchCV 的评分指标（scoring='roc_auc'）和最终模型比较的主要依据。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4"/>
              </w:rPr>
              <w:t>3.1 数据预处理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2"/>
              </w:rPr>
              <w:t>（1）TotalCharges 缺失值修复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TotalCharges 列在原始 CSV 中以 object 类型存储，含 11 条空字符串（对应 tenure=0 的新入网客户）。直接转换会引发 ValueError，处理流程如下：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eastAsia="宋体"/>
                <w:rFonts w:ascii="Courier New" w:hAnsi="Courier New"/>
                <w:b w:val="0"/>
                <w:i w:val="0"/>
                <w:color w:val="1A5376"/>
                <w:sz w:val="18"/>
              </w:rPr>
              <w:t>df['TotalCharges'] = pd.to_numeric(df['TotalCharges'], errors='coerce')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eastAsia="宋体"/>
                <w:rFonts w:ascii="Courier New" w:hAnsi="Courier New"/>
                <w:b w:val="0"/>
                <w:i w:val="0"/>
                <w:color w:val="1A5376"/>
                <w:sz w:val="18"/>
              </w:rPr>
              <w:t>median_val = df['TotalCharges'].median()  # = 1397.47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eastAsia="宋体"/>
                <w:rFonts w:ascii="Courier New" w:hAnsi="Courier New"/>
                <w:b w:val="0"/>
                <w:i w:val="0"/>
                <w:color w:val="1A5376"/>
                <w:sz w:val="18"/>
              </w:rPr>
              <w:t>df['TotalCharges'] = df['TotalCharges'].fillna(median_val)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选择中位数填充（而非均值）的原因：TotalCharges 分布右偏，中位数对极值更鲁棒，且 11 条仅占 0.16%，对整体分布影响极小。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2"/>
              </w:rPr>
              <w:t>（2）混合编码策略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根据每列特征的业务语义选择编码方式，核心原则是"有序保序，无序展开"：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4472C4"/>
                <w:left w:val="single" w:sz="4" w:space="0" w:color="4472C4"/>
                <w:bottom w:val="single" w:sz="4" w:space="0" w:color="4472C4"/>
                <w:right w:val="single" w:sz="4" w:space="0" w:color="4472C4"/>
                <w:insideH w:val="single" w:sz="4" w:space="0" w:color="4472C4"/>
                <w:insideV w:val="single" w:sz="4" w:space="0" w:color="4472C4"/>
              </w:tblBorders>
            </w:tblPr>
            <w:tblGrid>
              <w:gridCol w:w="2147"/>
              <w:gridCol w:w="2147"/>
              <w:gridCol w:w="2147"/>
              <w:gridCol w:w="2147"/>
            </w:tblGrid>
            <w:tr>
              <w:tc>
                <w:tcPr>
                  <w:tcW w:type="dxa" w:w="2147"/>
                  <w:shd w:val="clear" w:color="auto" w:fill="BDD7EE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编码类型</w:t>
                  </w:r>
                </w:p>
              </w:tc>
              <w:tc>
                <w:tcPr>
                  <w:tcW w:type="dxa" w:w="2147"/>
                  <w:shd w:val="clear" w:color="auto" w:fill="BDD7EE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适用特征</w:t>
                  </w:r>
                </w:p>
              </w:tc>
              <w:tc>
                <w:tcPr>
                  <w:tcW w:type="dxa" w:w="2147"/>
                  <w:shd w:val="clear" w:color="auto" w:fill="BDD7EE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处理方式</w:t>
                  </w:r>
                </w:p>
              </w:tc>
              <w:tc>
                <w:tcPr>
                  <w:tcW w:type="dxa" w:w="2147"/>
                  <w:shd w:val="clear" w:color="auto" w:fill="BDD7EE"/>
                  <w:tcW w:w="3402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理由</w:t>
                  </w:r>
                </w:p>
              </w:tc>
            </w:tr>
            <w:tr>
              <w:tc>
                <w:tcPr>
                  <w:tcW w:type="dxa" w:w="2147"/>
                  <w:shd w:val="clear" w:color="auto" w:fill="FFFFFF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二值映射 0/1</w:t>
                  </w:r>
                </w:p>
              </w:tc>
              <w:tc>
                <w:tcPr>
                  <w:tcW w:type="dxa" w:w="2147"/>
                  <w:shd w:val="clear" w:color="auto" w:fill="FFFFFF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gender、Partner、Dependents</w:t>
                    <w:br/>
                    <w:t>PhoneService、PaperlessBilling</w:t>
                  </w:r>
                </w:p>
              </w:tc>
              <w:tc>
                <w:tcPr>
                  <w:tcW w:type="dxa" w:w="2147"/>
                  <w:shd w:val="clear" w:color="auto" w:fill="FFFFFF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Yes→1, No→0</w:t>
                    <w:br/>
                    <w:t>Female→0, Male→1</w:t>
                  </w:r>
                </w:p>
              </w:tc>
              <w:tc>
                <w:tcPr>
                  <w:tcW w:type="dxa" w:w="2147"/>
                  <w:shd w:val="clear" w:color="auto" w:fill="FFFFFF"/>
                  <w:tcW w:w="3402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仅两个状态，无需额外展开</w:t>
                  </w:r>
                </w:p>
              </w:tc>
            </w:tr>
            <w:tr>
              <w:tc>
                <w:tcPr>
                  <w:tcW w:type="dxa" w:w="2147"/>
                  <w:shd w:val="clear" w:color="auto" w:fill="EBF3FB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有序 Label Encoding</w:t>
                  </w:r>
                </w:p>
              </w:tc>
              <w:tc>
                <w:tcPr>
                  <w:tcW w:type="dxa" w:w="2147"/>
                  <w:shd w:val="clear" w:color="auto" w:fill="EBF3FB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Contract</w:t>
                  </w:r>
                </w:p>
              </w:tc>
              <w:tc>
                <w:tcPr>
                  <w:tcW w:type="dxa" w:w="2147"/>
                  <w:shd w:val="clear" w:color="auto" w:fill="EBF3FB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Month-to-month=0</w:t>
                    <w:br/>
                    <w:t>One year=1</w:t>
                    <w:br/>
                    <w:t>Two year=2</w:t>
                  </w:r>
                </w:p>
              </w:tc>
              <w:tc>
                <w:tcPr>
                  <w:tcW w:type="dxa" w:w="2147"/>
                  <w:shd w:val="clear" w:color="auto" w:fill="EBF3FB"/>
                  <w:tcW w:w="3402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合约期越长粘性越高，保留单调顺序语义</w:t>
                  </w:r>
                </w:p>
              </w:tc>
            </w:tr>
            <w:tr>
              <w:tc>
                <w:tcPr>
                  <w:tcW w:type="dxa" w:w="2147"/>
                  <w:shd w:val="clear" w:color="auto" w:fill="FFFFFF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有序 Label Encoding</w:t>
                  </w:r>
                </w:p>
              </w:tc>
              <w:tc>
                <w:tcPr>
                  <w:tcW w:type="dxa" w:w="2147"/>
                  <w:shd w:val="clear" w:color="auto" w:fill="FFFFFF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MultipleLines</w:t>
                  </w:r>
                </w:p>
              </w:tc>
              <w:tc>
                <w:tcPr>
                  <w:tcW w:type="dxa" w:w="2147"/>
                  <w:shd w:val="clear" w:color="auto" w:fill="FFFFFF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No phone service=0</w:t>
                    <w:br/>
                    <w:t>No=1, Yes=2</w:t>
                  </w:r>
                </w:p>
              </w:tc>
              <w:tc>
                <w:tcPr>
                  <w:tcW w:type="dxa" w:w="2147"/>
                  <w:shd w:val="clear" w:color="auto" w:fill="FFFFFF"/>
                  <w:tcW w:w="3402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服务从无到有存在自然顺序</w:t>
                  </w:r>
                </w:p>
              </w:tc>
            </w:tr>
            <w:tr>
              <w:tc>
                <w:tcPr>
                  <w:tcW w:type="dxa" w:w="2147"/>
                  <w:shd w:val="clear" w:color="auto" w:fill="EBF3FB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有序 Label Encoding</w:t>
                  </w:r>
                </w:p>
              </w:tc>
              <w:tc>
                <w:tcPr>
                  <w:tcW w:type="dxa" w:w="2147"/>
                  <w:shd w:val="clear" w:color="auto" w:fill="EBF3FB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6项互联网附加服务</w:t>
                    <w:br/>
                    <w:t>(Security/Backup等)</w:t>
                  </w:r>
                </w:p>
              </w:tc>
              <w:tc>
                <w:tcPr>
                  <w:tcW w:type="dxa" w:w="2147"/>
                  <w:shd w:val="clear" w:color="auto" w:fill="EBF3FB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No internet service=0</w:t>
                    <w:br/>
                    <w:t>No=1, Yes=2</w:t>
                  </w:r>
                </w:p>
              </w:tc>
              <w:tc>
                <w:tcPr>
                  <w:tcW w:type="dxa" w:w="2147"/>
                  <w:shd w:val="clear" w:color="auto" w:fill="EBF3FB"/>
                  <w:tcW w:w="3402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从无网络到未订阅到已订阅，顺序有意义</w:t>
                  </w:r>
                </w:p>
              </w:tc>
            </w:tr>
            <w:tr>
              <w:tc>
                <w:tcPr>
                  <w:tcW w:type="dxa" w:w="2147"/>
                  <w:shd w:val="clear" w:color="auto" w:fill="FFFFFF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One-Hot Encoding</w:t>
                  </w:r>
                </w:p>
              </w:tc>
              <w:tc>
                <w:tcPr>
                  <w:tcW w:type="dxa" w:w="2147"/>
                  <w:shd w:val="clear" w:color="auto" w:fill="FFFFFF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InternetService</w:t>
                    <w:br/>
                    <w:t>PaymentMethod</w:t>
                  </w:r>
                </w:p>
              </w:tc>
              <w:tc>
                <w:tcPr>
                  <w:tcW w:type="dxa" w:w="2147"/>
                  <w:shd w:val="clear" w:color="auto" w:fill="FFFFFF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pd.get_dummies(drop_first=False)</w:t>
                  </w:r>
                </w:p>
              </w:tc>
              <w:tc>
                <w:tcPr>
                  <w:tcW w:type="dxa" w:w="2147"/>
                  <w:shd w:val="clear" w:color="auto" w:fill="FFFFFF"/>
                  <w:tcW w:w="3402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无自然顺序，One-Hot避免错误大小关系</w:t>
                  </w:r>
                </w:p>
              </w:tc>
            </w:tr>
            <w:tr>
              <w:tc>
                <w:tcPr>
                  <w:tcW w:type="dxa" w:w="8588"/>
                  <w:gridSpan w:val="4"/>
                  <w:shd w:val="clear" w:color="auto" w:fill="F2F2F2"/>
                  <w:tcW w:w="1701" w:type="dxa"/>
                  <w:tcW w:w="1984" w:type="dxa"/>
                  <w:tcW w:w="1984" w:type="dxa"/>
                  <w:tcW w:w="3402" w:type="dxa"/>
                </w:tcPr>
                <w:p>
                  <w:pPr>
                    <w:spacing w:before="20" w:after="20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color w:val="606060"/>
                      <w:sz w:val="18"/>
                    </w:rPr>
                    <w:t>注：Contract 为何用 Label Encoding 而非 One-Hot？因为 Two year(2) &gt; One year(1) &gt; Month-to-month(0) 与"合约期越长客户越稳定"的业务认知一致，保留该顺序使决策树能学到单调性规则</w:t>
                  </w:r>
                </w:p>
              </w:tc>
            </w:tr>
          </w:tbl>
          <w:p/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4"/>
              </w:rPr>
              <w:t>3.2 特征工程（10个衍生特征）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在编码前对原始字符串列进行操作，构造 10 个业务驱动的衍生特征。决策树虽能自动捕捉特征间的分段规则，但手工特征工程能显式提供更高信息密度的输入，减少树深度需求，降低过拟合风险。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4472C4"/>
                <w:left w:val="single" w:sz="4" w:space="0" w:color="4472C4"/>
                <w:bottom w:val="single" w:sz="4" w:space="0" w:color="4472C4"/>
                <w:right w:val="single" w:sz="4" w:space="0" w:color="4472C4"/>
                <w:insideH w:val="single" w:sz="4" w:space="0" w:color="4472C4"/>
                <w:insideV w:val="single" w:sz="4" w:space="0" w:color="4472C4"/>
              </w:tblBorders>
            </w:tblPr>
            <w:tblGrid>
              <w:gridCol w:w="2863"/>
              <w:gridCol w:w="2863"/>
              <w:gridCol w:w="2863"/>
            </w:tblGrid>
            <w:tr>
              <w:tc>
                <w:tcPr>
                  <w:tcW w:type="dxa" w:w="2863"/>
                  <w:shd w:val="clear" w:color="auto" w:fill="BDD7EE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特征名</w:t>
                  </w:r>
                </w:p>
              </w:tc>
              <w:tc>
                <w:tcPr>
                  <w:tcW w:type="dxa" w:w="2863"/>
                  <w:shd w:val="clear" w:color="auto" w:fill="BDD7EE"/>
                  <w:tcW w:w="255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构造方式</w:t>
                  </w:r>
                </w:p>
              </w:tc>
              <w:tc>
                <w:tcPr>
                  <w:tcW w:type="dxa" w:w="2863"/>
                  <w:shd w:val="clear" w:color="auto" w:fill="BDD7EE"/>
                  <w:tcW w:w="4536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业务含义与设计依据</w:t>
                  </w:r>
                </w:p>
              </w:tc>
            </w:tr>
            <w:tr>
              <w:tc>
                <w:tcPr>
                  <w:tcW w:type="dxa" w:w="2863"/>
                  <w:shd w:val="clear" w:color="auto" w:fill="FFFFFF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num_services</w:t>
                  </w:r>
                </w:p>
              </w:tc>
              <w:tc>
                <w:tcPr>
                  <w:tcW w:type="dxa" w:w="2863"/>
                  <w:shd w:val="clear" w:color="auto" w:fill="FFFFFF"/>
                  <w:tcW w:w="255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7项服务中 "Yes" 的数量 (0–7)</w:t>
                  </w:r>
                </w:p>
              </w:tc>
              <w:tc>
                <w:tcPr>
                  <w:tcW w:type="dxa" w:w="2863"/>
                  <w:shd w:val="clear" w:color="auto" w:fill="FFFFFF"/>
                  <w:tcW w:w="4536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服务订阅越多 → 客户粘性越高 → 流失风险越低。是单一最有区分度的衍生特征之一</w:t>
                  </w:r>
                </w:p>
              </w:tc>
            </w:tr>
            <w:tr>
              <w:tc>
                <w:tcPr>
                  <w:tcW w:type="dxa" w:w="2863"/>
                  <w:shd w:val="clear" w:color="auto" w:fill="EBF3FB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has_internet</w:t>
                  </w:r>
                </w:p>
              </w:tc>
              <w:tc>
                <w:tcPr>
                  <w:tcW w:type="dxa" w:w="2863"/>
                  <w:shd w:val="clear" w:color="auto" w:fill="EBF3FB"/>
                  <w:tcW w:w="255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InternetService != "No" → 1</w:t>
                  </w:r>
                </w:p>
              </w:tc>
              <w:tc>
                <w:tcPr>
                  <w:tcW w:type="dxa" w:w="2863"/>
                  <w:shd w:val="clear" w:color="auto" w:fill="EBF3FB"/>
                  <w:tcW w:w="4536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有无互联网服务是流失行为的重要分水岭，光纤用户流失率尤高</w:t>
                  </w:r>
                </w:p>
              </w:tc>
            </w:tr>
            <w:tr>
              <w:tc>
                <w:tcPr>
                  <w:tcW w:type="dxa" w:w="2863"/>
                  <w:shd w:val="clear" w:color="auto" w:fill="FFFFFF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monthly_to_total</w:t>
                  </w:r>
                </w:p>
              </w:tc>
              <w:tc>
                <w:tcPr>
                  <w:tcW w:type="dxa" w:w="2863"/>
                  <w:shd w:val="clear" w:color="auto" w:fill="FFFFFF"/>
                  <w:tcW w:w="255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MonthlyCharges / (TotalCharges + 1)</w:t>
                  </w:r>
                </w:p>
              </w:tc>
              <w:tc>
                <w:tcPr>
                  <w:tcW w:type="dxa" w:w="2863"/>
                  <w:shd w:val="clear" w:color="auto" w:fill="FFFFFF"/>
                  <w:tcW w:w="4536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比值高 → 客户较新或近期费率暴涨 → 流失风险高；相当于"消费新鲜度"</w:t>
                  </w:r>
                </w:p>
              </w:tc>
            </w:tr>
            <w:tr>
              <w:tc>
                <w:tcPr>
                  <w:tcW w:type="dxa" w:w="2863"/>
                  <w:shd w:val="clear" w:color="auto" w:fill="EBF3FB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avg_monthly_charge</w:t>
                  </w:r>
                </w:p>
              </w:tc>
              <w:tc>
                <w:tcPr>
                  <w:tcW w:type="dxa" w:w="2863"/>
                  <w:shd w:val="clear" w:color="auto" w:fill="EBF3FB"/>
                  <w:tcW w:w="255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TotalCharges / (tenure + 1)</w:t>
                  </w:r>
                </w:p>
              </w:tc>
              <w:tc>
                <w:tcPr>
                  <w:tcW w:type="dxa" w:w="2863"/>
                  <w:shd w:val="clear" w:color="auto" w:fill="EBF3FB"/>
                  <w:tcW w:w="4536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历史均摊月费，与 MonthlyCharges 的差异反映费率变化趋势</w:t>
                  </w:r>
                </w:p>
              </w:tc>
            </w:tr>
            <w:tr>
              <w:tc>
                <w:tcPr>
                  <w:tcW w:type="dxa" w:w="2863"/>
                  <w:shd w:val="clear" w:color="auto" w:fill="FFFFFF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is_new_customer</w:t>
                  </w:r>
                </w:p>
              </w:tc>
              <w:tc>
                <w:tcPr>
                  <w:tcW w:type="dxa" w:w="2863"/>
                  <w:shd w:val="clear" w:color="auto" w:fill="FFFFFF"/>
                  <w:tcW w:w="255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tenure ≤ 12 → 1</w:t>
                  </w:r>
                </w:p>
              </w:tc>
              <w:tc>
                <w:tcPr>
                  <w:tcW w:type="dxa" w:w="2863"/>
                  <w:shd w:val="clear" w:color="auto" w:fill="FFFFFF"/>
                  <w:tcW w:w="4536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入网不足1年的新客户流失率显著高于稳定客户，二值特征直接提示高风险</w:t>
                  </w:r>
                </w:p>
              </w:tc>
            </w:tr>
            <w:tr>
              <w:tc>
                <w:tcPr>
                  <w:tcW w:type="dxa" w:w="2863"/>
                  <w:shd w:val="clear" w:color="auto" w:fill="EBF3FB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charge_per_service</w:t>
                  </w:r>
                </w:p>
              </w:tc>
              <w:tc>
                <w:tcPr>
                  <w:tcW w:type="dxa" w:w="2863"/>
                  <w:shd w:val="clear" w:color="auto" w:fill="EBF3FB"/>
                  <w:tcW w:w="255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MonthlyCharges / (num_services + 1)</w:t>
                  </w:r>
                </w:p>
              </w:tc>
              <w:tc>
                <w:tcPr>
                  <w:tcW w:type="dxa" w:w="2863"/>
                  <w:shd w:val="clear" w:color="auto" w:fill="EBF3FB"/>
                  <w:tcW w:w="4536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单服务均摊月费高 → 性价比感知低 → 更倾向流失</w:t>
                  </w:r>
                </w:p>
              </w:tc>
            </w:tr>
            <w:tr>
              <w:tc>
                <w:tcPr>
                  <w:tcW w:type="dxa" w:w="2863"/>
                  <w:shd w:val="clear" w:color="auto" w:fill="FFFFFF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risky_combo</w:t>
                  </w:r>
                </w:p>
              </w:tc>
              <w:tc>
                <w:tcPr>
                  <w:tcW w:type="dxa" w:w="2863"/>
                  <w:shd w:val="clear" w:color="auto" w:fill="FFFFFF"/>
                  <w:tcW w:w="255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Contract=="Month-to-month"</w:t>
                    <w:br/>
                    <w:t>&amp; tenure≤12 → 1</w:t>
                  </w:r>
                </w:p>
              </w:tc>
              <w:tc>
                <w:tcPr>
                  <w:tcW w:type="dxa" w:w="2863"/>
                  <w:shd w:val="clear" w:color="auto" w:fill="FFFFFF"/>
                  <w:tcW w:w="4536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月付合约 AND 新客户的叠加高风险组合，是最强流失预测规则之一</w:t>
                  </w:r>
                </w:p>
              </w:tc>
            </w:tr>
            <w:tr>
              <w:tc>
                <w:tcPr>
                  <w:tcW w:type="dxa" w:w="2863"/>
                  <w:shd w:val="clear" w:color="auto" w:fill="EBF3FB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fiber_high_charge</w:t>
                  </w:r>
                </w:p>
              </w:tc>
              <w:tc>
                <w:tcPr>
                  <w:tcW w:type="dxa" w:w="2863"/>
                  <w:shd w:val="clear" w:color="auto" w:fill="EBF3FB"/>
                  <w:tcW w:w="255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InternetService=="Fiber optic"</w:t>
                    <w:br/>
                    <w:t>&amp; MonthlyCharges&gt;中位数 → 1</w:t>
                  </w:r>
                </w:p>
              </w:tc>
              <w:tc>
                <w:tcPr>
                  <w:tcW w:type="dxa" w:w="2863"/>
                  <w:shd w:val="clear" w:color="auto" w:fill="EBF3FB"/>
                  <w:tcW w:w="4536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光纤宽带高消费用户：服务期望高，一旦体验不满意极易流失</w:t>
                  </w:r>
                </w:p>
              </w:tc>
            </w:tr>
            <w:tr>
              <w:tc>
                <w:tcPr>
                  <w:tcW w:type="dxa" w:w="2863"/>
                  <w:shd w:val="clear" w:color="auto" w:fill="FFFFFF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monthly_charge_rank</w:t>
                  </w:r>
                </w:p>
              </w:tc>
              <w:tc>
                <w:tcPr>
                  <w:tcW w:type="dxa" w:w="2863"/>
                  <w:shd w:val="clear" w:color="auto" w:fill="FFFFFF"/>
                  <w:tcW w:w="255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MonthlyCharges.rank(pct=True)</w:t>
                  </w:r>
                </w:p>
              </w:tc>
              <w:tc>
                <w:tcPr>
                  <w:tcW w:type="dxa" w:w="2863"/>
                  <w:shd w:val="clear" w:color="auto" w:fill="FFFFFF"/>
                  <w:tcW w:w="4536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月费分位数排名，使决策树在不同费率区间做出更精细的分裂决策</w:t>
                  </w:r>
                </w:p>
              </w:tc>
            </w:tr>
            <w:tr>
              <w:tc>
                <w:tcPr>
                  <w:tcW w:type="dxa" w:w="2863"/>
                  <w:shd w:val="clear" w:color="auto" w:fill="EBF3FB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tenure_segment</w:t>
                  </w:r>
                </w:p>
              </w:tc>
              <w:tc>
                <w:tcPr>
                  <w:tcW w:type="dxa" w:w="2863"/>
                  <w:shd w:val="clear" w:color="auto" w:fill="EBF3FB"/>
                  <w:tcW w:w="255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pd.cut(tenure, [-1,12,24,48,∞], labels=[0,1,2,3])</w:t>
                  </w:r>
                </w:p>
              </w:tc>
              <w:tc>
                <w:tcPr>
                  <w:tcW w:type="dxa" w:w="2863"/>
                  <w:shd w:val="clear" w:color="auto" w:fill="EBF3FB"/>
                  <w:tcW w:w="4536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入网时长分段：新客户(0)/成长期(1)/稳定期(2)/忠实客户(3)，显式编码时长阶段效应</w:t>
                  </w:r>
                </w:p>
              </w:tc>
            </w:tr>
            <w:tr>
              <w:tc>
                <w:tcPr>
                  <w:tcW w:type="dxa" w:w="8589"/>
                  <w:gridSpan w:val="3"/>
                  <w:shd w:val="clear" w:color="auto" w:fill="F2F2F2"/>
                  <w:tcW w:w="1984" w:type="dxa"/>
                  <w:tcW w:w="2551" w:type="dxa"/>
                  <w:tcW w:w="4536" w:type="dxa"/>
                </w:tcPr>
                <w:p>
                  <w:pPr>
                    <w:spacing w:before="20" w:after="20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color w:val="606060"/>
                      <w:sz w:val="18"/>
                    </w:rPr>
                    <w:t>特征工程后总特征数：34维（原始20维 + 10衍生特征 + 4个One-Hot展开列）</w:t>
                  </w:r>
                </w:p>
              </w:tc>
            </w:tr>
          </w:tbl>
          <w:p/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4"/>
              </w:rPr>
              <w:t>3.3 类别不平衡处理策略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数据集约 26.54% 为流失客户。若直接训练不做任何处理，模型可通过将所有样本预测为"未流失"获得 73.46% 的准确率，但 Recall(流失)=0，毫无业务价值。本实验对比三种策略：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2"/>
              </w:rPr>
              <w:t>策略 A — SMOTE + imblearn Pipeline（防泄露版本）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SMOTE（Synthetic Minority Over-sampling Technique）原理：对少数类每个样本，在其 k=5 个最近邻之间随机线性插值合成新样本。合成结果：训练集 No=4,139，Yes=4,139（1:1平衡）。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关键工程实践——SMOTE 必须放入 Pipeline 内执行：若在 GridSearchCV 外先做 SMOTE 再送入 CV，合成样本的"近邻信息"已包含完整训练集数据，折内测试集事实上已被"污染"，CV-AUC 会虚高（实验对比：Pipeline 前 CV-AUC=0.8858，Pipeline 后 CV-AUC=0.8199，差值 0.0659，均为数据泄露的典型征兆）。正确做法：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eastAsia="宋体"/>
                <w:rFonts w:ascii="Courier New" w:hAnsi="Courier New"/>
                <w:b w:val="0"/>
                <w:i w:val="0"/>
                <w:color w:val="1A5376"/>
                <w:sz w:val="18"/>
              </w:rPr>
              <w:t>from imblearn.pipeline import Pipeline as ImbPipeline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eastAsia="宋体"/>
                <w:rFonts w:ascii="Courier New" w:hAnsi="Courier New"/>
                <w:b w:val="0"/>
                <w:i w:val="0"/>
                <w:color w:val="1A5376"/>
                <w:sz w:val="18"/>
              </w:rPr>
              <w:t>pipeline = ImbPipeline([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eastAsia="宋体"/>
                <w:rFonts w:ascii="Courier New" w:hAnsi="Courier New"/>
                <w:b w:val="0"/>
                <w:i w:val="0"/>
                <w:color w:val="1A5376"/>
                <w:sz w:val="18"/>
              </w:rPr>
              <w:t xml:space="preserve">    ('smote', SMOTE(k_neighbors=5, random_state=42)),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eastAsia="宋体"/>
                <w:rFonts w:ascii="Courier New" w:hAnsi="Courier New"/>
                <w:b w:val="0"/>
                <w:i w:val="0"/>
                <w:color w:val="1A5376"/>
                <w:sz w:val="18"/>
              </w:rPr>
              <w:t xml:space="preserve">    ('clf',   DecisionTreeClassifier(random_state=42)),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eastAsia="宋体"/>
                <w:rFonts w:ascii="Courier New" w:hAnsi="Courier New"/>
                <w:b w:val="0"/>
                <w:i w:val="0"/>
                <w:color w:val="1A5376"/>
                <w:sz w:val="18"/>
              </w:rPr>
              <w:t>])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eastAsia="宋体"/>
                <w:rFonts w:ascii="Courier New" w:hAnsi="Courier New"/>
                <w:b w:val="0"/>
                <w:i w:val="0"/>
                <w:color w:val="1A5376"/>
                <w:sz w:val="18"/>
              </w:rPr>
              <w:t># 参数名前缀 'clf__' 对应 Pipeline 中的 DT 步骤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eastAsia="宋体"/>
                <w:rFonts w:ascii="Courier New" w:hAnsi="Courier New"/>
                <w:b w:val="0"/>
                <w:i w:val="0"/>
                <w:color w:val="1A5376"/>
                <w:sz w:val="18"/>
              </w:rPr>
              <w:t>gs = GridSearchCV(pipeline, {'clf__max_depth': [...], ...}, cv=cv, scoring='roc_auc')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2"/>
              </w:rPr>
              <w:t>策略 B — RandomUnderSampler 随机欠采样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随机删除多数类样本至 1:1，训练集从 5,634 条压缩至 2,990 条（No=1,495, Yes=1,495）。优点：无合成样本，不引入人工噪声，训练速度快；缺点：丢弃 2,644 条真实多数类信息（64% 的原始多数类），可能影响泛化。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eastAsia="宋体"/>
                <w:rFonts w:ascii="Courier New" w:hAnsi="Courier New"/>
                <w:b w:val="0"/>
                <w:i w:val="0"/>
                <w:color w:val="1A5376"/>
                <w:sz w:val="18"/>
              </w:rPr>
              <w:t>rus = RandomUnderSampler(sampling_strategy=1.0, random_state=42)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eastAsia="宋体"/>
                <w:rFonts w:ascii="Courier New" w:hAnsi="Courier New"/>
                <w:b w:val="0"/>
                <w:i w:val="0"/>
                <w:color w:val="1A5376"/>
                <w:sz w:val="18"/>
              </w:rPr>
              <w:t>X_under, y_under = rus.fit_resample(X_train, y_train)  # → (2990, 34)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2"/>
              </w:rPr>
              <w:t>策略 C — class_weight='balanced'（损失函数权重调节）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不修改任何训练样本，通过在树分裂的信息增益/基尼计算中对少数类样本赋予更高权重来补偿不平衡。sklearn 自动计算各类权重：</w:t>
            </w:r>
          </w:p>
          <w:p>
            <w:pPr>
              <w:spacing w:before="40" w:after="40" w:line="240" w:lineRule="auto"/>
              <w:ind w:left="850"/>
            </w:pPr>
            <w:r>
              <w:rPr>
                <w:rFonts w:eastAsia="Times New Roman"/>
                <w:rFonts w:ascii="Times New Roman" w:hAnsi="Times New Roman"/>
                <w:b w:val="0"/>
                <w:i/>
                <w:color w:val="7B001A"/>
                <w:sz w:val="22"/>
              </w:rPr>
              <w:t>weight_c = n_samples / (n_classes × count_c)</w:t>
            </w:r>
            <w:r>
              <w:rPr>
                <w:rFonts w:eastAsia="宋体"/>
                <w:rFonts w:ascii="宋体" w:hAnsi="宋体"/>
                <w:b w:val="0"/>
                <w:i w:val="0"/>
                <w:color w:val="606060"/>
                <w:sz w:val="20"/>
              </w:rPr>
              <w:t xml:space="preserve">  Yes 类权重 = 5634 / (2 × 1495) ≈ 1.884；No 类权重 ≈ 0.680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原始 5,634 条训练数据完整保留，信息损失最小，是理论上最保守的策略。实验结果显示该策略的 CV-AUC 最高（0.8301），说明在未破坏数据分布的情况下，权重调节已足以引导树向少数类倾斜。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4"/>
              </w:rPr>
              <w:t>3.4 超参数调优（GridSearchCV + StratifiedKFold, k=5）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使用 GridSearchCV 在五维参数空间进行全量网格搜索，评分指标为 roc_auc：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4472C4"/>
                <w:left w:val="single" w:sz="4" w:space="0" w:color="4472C4"/>
                <w:bottom w:val="single" w:sz="4" w:space="0" w:color="4472C4"/>
                <w:right w:val="single" w:sz="4" w:space="0" w:color="4472C4"/>
                <w:insideH w:val="single" w:sz="4" w:space="0" w:color="4472C4"/>
                <w:insideV w:val="single" w:sz="4" w:space="0" w:color="4472C4"/>
              </w:tblBorders>
            </w:tblPr>
            <w:tblGrid>
              <w:gridCol w:w="2863"/>
              <w:gridCol w:w="2863"/>
              <w:gridCol w:w="2863"/>
            </w:tblGrid>
            <w:tr>
              <w:tc>
                <w:tcPr>
                  <w:tcW w:type="dxa" w:w="2863"/>
                  <w:shd w:val="clear" w:color="auto" w:fill="BDD7EE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参数</w:t>
                  </w:r>
                </w:p>
              </w:tc>
              <w:tc>
                <w:tcPr>
                  <w:tcW w:type="dxa" w:w="2863"/>
                  <w:shd w:val="clear" w:color="auto" w:fill="BDD7EE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搜索范围</w:t>
                  </w:r>
                </w:p>
              </w:tc>
              <w:tc>
                <w:tcPr>
                  <w:tcW w:type="dxa" w:w="2863"/>
                  <w:shd w:val="clear" w:color="auto" w:fill="BDD7EE"/>
                  <w:tcW w:w="5386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参数含义与影响</w:t>
                  </w:r>
                </w:p>
              </w:tc>
            </w:tr>
            <w:tr>
              <w:tc>
                <w:tcPr>
                  <w:tcW w:type="dxa" w:w="2863"/>
                  <w:shd w:val="clear" w:color="auto" w:fill="FFFFFF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criterion</w:t>
                  </w:r>
                </w:p>
              </w:tc>
              <w:tc>
                <w:tcPr>
                  <w:tcW w:type="dxa" w:w="2863"/>
                  <w:shd w:val="clear" w:color="auto" w:fill="FFFFFF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['gini', 'entropy']</w:t>
                  </w:r>
                </w:p>
              </w:tc>
              <w:tc>
                <w:tcPr>
                  <w:tcW w:type="dxa" w:w="2863"/>
                  <w:shd w:val="clear" w:color="auto" w:fill="FFFFFF"/>
                  <w:tcW w:w="5386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分裂准则。Gini 计算效率更高；Entropy 对小概率类更敏感</w:t>
                  </w:r>
                </w:p>
              </w:tc>
            </w:tr>
            <w:tr>
              <w:tc>
                <w:tcPr>
                  <w:tcW w:type="dxa" w:w="2863"/>
                  <w:shd w:val="clear" w:color="auto" w:fill="EBF3FB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max_depth</w:t>
                  </w:r>
                </w:p>
              </w:tc>
              <w:tc>
                <w:tcPr>
                  <w:tcW w:type="dxa" w:w="2863"/>
                  <w:shd w:val="clear" w:color="auto" w:fill="EBF3FB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[3, 5, 7, 10, 15, 20, None]</w:t>
                  </w:r>
                </w:p>
              </w:tc>
              <w:tc>
                <w:tcPr>
                  <w:tcW w:type="dxa" w:w="2863"/>
                  <w:shd w:val="clear" w:color="auto" w:fill="EBF3FB"/>
                  <w:tcW w:w="5386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树的最大深度。过深→过拟合；过浅→欠拟合。实验最优集中在 5–10</w:t>
                  </w:r>
                </w:p>
              </w:tc>
            </w:tr>
            <w:tr>
              <w:tc>
                <w:tcPr>
                  <w:tcW w:type="dxa" w:w="2863"/>
                  <w:shd w:val="clear" w:color="auto" w:fill="FFFFFF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min_samples_leaf</w:t>
                  </w:r>
                </w:p>
              </w:tc>
              <w:tc>
                <w:tcPr>
                  <w:tcW w:type="dxa" w:w="2863"/>
                  <w:shd w:val="clear" w:color="auto" w:fill="FFFFFF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[1, 2, 5, 10, 20]</w:t>
                  </w:r>
                </w:p>
              </w:tc>
              <w:tc>
                <w:tcPr>
                  <w:tcW w:type="dxa" w:w="2863"/>
                  <w:shd w:val="clear" w:color="auto" w:fill="FFFFFF"/>
                  <w:tcW w:w="5386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叶节点最少样本数，等效剪枝参数。越大→树越保守，泛化越强</w:t>
                  </w:r>
                </w:p>
              </w:tc>
            </w:tr>
            <w:tr>
              <w:tc>
                <w:tcPr>
                  <w:tcW w:type="dxa" w:w="2863"/>
                  <w:shd w:val="clear" w:color="auto" w:fill="EBF3FB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min_samples_split</w:t>
                  </w:r>
                </w:p>
              </w:tc>
              <w:tc>
                <w:tcPr>
                  <w:tcW w:type="dxa" w:w="2863"/>
                  <w:shd w:val="clear" w:color="auto" w:fill="EBF3FB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[2, 5, 10]</w:t>
                  </w:r>
                </w:p>
              </w:tc>
              <w:tc>
                <w:tcPr>
                  <w:tcW w:type="dxa" w:w="2863"/>
                  <w:shd w:val="clear" w:color="auto" w:fill="EBF3FB"/>
                  <w:tcW w:w="5386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内节点分裂所需最少样本数。越大→树分支越少，结构更简洁</w:t>
                  </w:r>
                </w:p>
              </w:tc>
            </w:tr>
            <w:tr>
              <w:tc>
                <w:tcPr>
                  <w:tcW w:type="dxa" w:w="2863"/>
                  <w:shd w:val="clear" w:color="auto" w:fill="FFFFFF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ccp_alpha</w:t>
                  </w:r>
                </w:p>
              </w:tc>
              <w:tc>
                <w:tcPr>
                  <w:tcW w:type="dxa" w:w="2863"/>
                  <w:shd w:val="clear" w:color="auto" w:fill="FFFFFF"/>
                  <w:tcW w:w="198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[0.0, 0.0005, 0.001, 0.002, 0.005]</w:t>
                  </w:r>
                </w:p>
              </w:tc>
              <w:tc>
                <w:tcPr>
                  <w:tcW w:type="dxa" w:w="2863"/>
                  <w:shd w:val="clear" w:color="auto" w:fill="FFFFFF"/>
                  <w:tcW w:w="5386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代价复杂度剪枝系数。0=不剪；越大→后剪枝越激进→树越简单</w:t>
                  </w:r>
                </w:p>
              </w:tc>
            </w:tr>
            <w:tr>
              <w:tc>
                <w:tcPr>
                  <w:tcW w:type="dxa" w:w="8589"/>
                  <w:gridSpan w:val="3"/>
                  <w:shd w:val="clear" w:color="auto" w:fill="F2F2F2"/>
                  <w:tcW w:w="1701" w:type="dxa"/>
                  <w:tcW w:w="1984" w:type="dxa"/>
                  <w:tcW w:w="5386" w:type="dxa"/>
                </w:tcPr>
                <w:p>
                  <w:pPr>
                    <w:spacing w:before="20" w:after="20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color w:val="606060"/>
                      <w:sz w:val="18"/>
                    </w:rPr>
                    <w:t>搜索规模：2×7×5×3×5 = 1,050 组参数组合 × 5折 = 5,250 次模型拟合/策略（n_jobs=-1并行）</w:t>
                  </w:r>
                </w:p>
              </w:tc>
            </w:tr>
          </w:tbl>
          <w:p/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选用 roc_auc 作为 CV 评分的必要性：若以 accuracy 作为评分，将所有样本预测为"未流失"可获得 73.5% 的准确率，GridSearch 可能误选出偏向多数类的参数。roc_auc 是阈值无关的排序指标，完全不受类别比例影响，能更准确地引导参数选择。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2"/>
              </w:rPr>
              <w:t>最优超参数汇总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4472C4"/>
                <w:left w:val="single" w:sz="4" w:space="0" w:color="4472C4"/>
                <w:bottom w:val="single" w:sz="4" w:space="0" w:color="4472C4"/>
                <w:right w:val="single" w:sz="4" w:space="0" w:color="4472C4"/>
                <w:insideH w:val="single" w:sz="4" w:space="0" w:color="4472C4"/>
                <w:insideV w:val="single" w:sz="4" w:space="0" w:color="4472C4"/>
              </w:tblBorders>
            </w:tblPr>
            <w:tblGrid>
              <w:gridCol w:w="1227"/>
              <w:gridCol w:w="1227"/>
              <w:gridCol w:w="1227"/>
              <w:gridCol w:w="1227"/>
              <w:gridCol w:w="1227"/>
              <w:gridCol w:w="1227"/>
              <w:gridCol w:w="1227"/>
            </w:tblGrid>
            <w:tr>
              <w:tc>
                <w:tcPr>
                  <w:tcW w:type="dxa" w:w="1227"/>
                  <w:shd w:val="clear" w:color="auto" w:fill="BDD7EE"/>
                  <w:tcW w:w="215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策略</w:t>
                  </w:r>
                </w:p>
              </w:tc>
              <w:tc>
                <w:tcPr>
                  <w:tcW w:type="dxa" w:w="1227"/>
                  <w:shd w:val="clear" w:color="auto" w:fill="BDD7EE"/>
                  <w:tcW w:w="102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criterion</w:t>
                  </w:r>
                </w:p>
              </w:tc>
              <w:tc>
                <w:tcPr>
                  <w:tcW w:type="dxa" w:w="1227"/>
                  <w:shd w:val="clear" w:color="auto" w:fill="BDD7EE"/>
                  <w:tcW w:w="124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max_depth</w:t>
                  </w:r>
                </w:p>
              </w:tc>
              <w:tc>
                <w:tcPr>
                  <w:tcW w:type="dxa" w:w="1227"/>
                  <w:shd w:val="clear" w:color="auto" w:fill="BDD7EE"/>
                  <w:tcW w:w="158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min_samples_leaf</w:t>
                  </w:r>
                </w:p>
              </w:tc>
              <w:tc>
                <w:tcPr>
                  <w:tcW w:type="dxa" w:w="1227"/>
                  <w:shd w:val="clear" w:color="auto" w:fill="BDD7EE"/>
                  <w:tcW w:w="158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min_samples_split</w:t>
                  </w:r>
                </w:p>
              </w:tc>
              <w:tc>
                <w:tcPr>
                  <w:tcW w:type="dxa" w:w="1227"/>
                  <w:shd w:val="clear" w:color="auto" w:fill="BDD7EE"/>
                  <w:tcW w:w="102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ccp_alpha</w:t>
                  </w:r>
                </w:p>
              </w:tc>
              <w:tc>
                <w:tcPr>
                  <w:tcW w:type="dxa" w:w="1227"/>
                  <w:shd w:val="clear" w:color="auto" w:fill="BDD7EE"/>
                  <w:tcW w:w="102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CV-AUC</w:t>
                  </w:r>
                </w:p>
              </w:tc>
            </w:tr>
            <w:tr>
              <w:tc>
                <w:tcPr>
                  <w:tcW w:type="dxa" w:w="1227"/>
                  <w:shd w:val="clear" w:color="auto" w:fill="FFFFFF"/>
                  <w:tcW w:w="215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DT (SMOTE Pipeline)</w:t>
                  </w:r>
                </w:p>
              </w:tc>
              <w:tc>
                <w:tcPr>
                  <w:tcW w:type="dxa" w:w="1227"/>
                  <w:shd w:val="clear" w:color="auto" w:fill="FFFFFF"/>
                  <w:tcW w:w="102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gini</w:t>
                  </w:r>
                </w:p>
              </w:tc>
              <w:tc>
                <w:tcPr>
                  <w:tcW w:type="dxa" w:w="1227"/>
                  <w:shd w:val="clear" w:color="auto" w:fill="FFFFFF"/>
                  <w:tcW w:w="124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7</w:t>
                  </w:r>
                </w:p>
              </w:tc>
              <w:tc>
                <w:tcPr>
                  <w:tcW w:type="dxa" w:w="1227"/>
                  <w:shd w:val="clear" w:color="auto" w:fill="FFFFFF"/>
                  <w:tcW w:w="158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5</w:t>
                  </w:r>
                </w:p>
              </w:tc>
              <w:tc>
                <w:tcPr>
                  <w:tcW w:type="dxa" w:w="1227"/>
                  <w:shd w:val="clear" w:color="auto" w:fill="FFFFFF"/>
                  <w:tcW w:w="158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1227"/>
                  <w:shd w:val="clear" w:color="auto" w:fill="FFFFFF"/>
                  <w:tcW w:w="102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0.0</w:t>
                  </w:r>
                </w:p>
              </w:tc>
              <w:tc>
                <w:tcPr>
                  <w:tcW w:type="dxa" w:w="1227"/>
                  <w:shd w:val="clear" w:color="auto" w:fill="FFFFFF"/>
                  <w:tcW w:w="102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0.8199</w:t>
                  </w:r>
                </w:p>
              </w:tc>
            </w:tr>
            <w:tr>
              <w:tc>
                <w:tcPr>
                  <w:tcW w:type="dxa" w:w="1227"/>
                  <w:shd w:val="clear" w:color="auto" w:fill="EBF3FB"/>
                  <w:tcW w:w="215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DT (UnderSample)</w:t>
                  </w:r>
                </w:p>
              </w:tc>
              <w:tc>
                <w:tcPr>
                  <w:tcW w:type="dxa" w:w="1227"/>
                  <w:shd w:val="clear" w:color="auto" w:fill="EBF3FB"/>
                  <w:tcW w:w="102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gini</w:t>
                  </w:r>
                </w:p>
              </w:tc>
              <w:tc>
                <w:tcPr>
                  <w:tcW w:type="dxa" w:w="1227"/>
                  <w:shd w:val="clear" w:color="auto" w:fill="EBF3FB"/>
                  <w:tcW w:w="124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10</w:t>
                  </w:r>
                </w:p>
              </w:tc>
              <w:tc>
                <w:tcPr>
                  <w:tcW w:type="dxa" w:w="1227"/>
                  <w:shd w:val="clear" w:color="auto" w:fill="EBF3FB"/>
                  <w:tcW w:w="158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20</w:t>
                  </w:r>
                </w:p>
              </w:tc>
              <w:tc>
                <w:tcPr>
                  <w:tcW w:type="dxa" w:w="1227"/>
                  <w:shd w:val="clear" w:color="auto" w:fill="EBF3FB"/>
                  <w:tcW w:w="158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1227"/>
                  <w:shd w:val="clear" w:color="auto" w:fill="EBF3FB"/>
                  <w:tcW w:w="102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0.0</w:t>
                  </w:r>
                </w:p>
              </w:tc>
              <w:tc>
                <w:tcPr>
                  <w:tcW w:type="dxa" w:w="1227"/>
                  <w:shd w:val="clear" w:color="auto" w:fill="EBF3FB"/>
                  <w:tcW w:w="102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0.8142</w:t>
                  </w:r>
                </w:p>
              </w:tc>
            </w:tr>
            <w:tr>
              <w:tc>
                <w:tcPr>
                  <w:tcW w:type="dxa" w:w="1227"/>
                  <w:shd w:val="clear" w:color="auto" w:fill="FFFFFF"/>
                  <w:tcW w:w="215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DT (ClassWeight)</w:t>
                  </w:r>
                </w:p>
              </w:tc>
              <w:tc>
                <w:tcPr>
                  <w:tcW w:type="dxa" w:w="1227"/>
                  <w:shd w:val="clear" w:color="auto" w:fill="FFFFFF"/>
                  <w:tcW w:w="102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gini</w:t>
                  </w:r>
                </w:p>
              </w:tc>
              <w:tc>
                <w:tcPr>
                  <w:tcW w:type="dxa" w:w="1227"/>
                  <w:shd w:val="clear" w:color="auto" w:fill="FFFFFF"/>
                  <w:tcW w:w="124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5</w:t>
                  </w:r>
                </w:p>
              </w:tc>
              <w:tc>
                <w:tcPr>
                  <w:tcW w:type="dxa" w:w="1227"/>
                  <w:shd w:val="clear" w:color="auto" w:fill="FFFFFF"/>
                  <w:tcW w:w="158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20</w:t>
                  </w:r>
                </w:p>
              </w:tc>
              <w:tc>
                <w:tcPr>
                  <w:tcW w:type="dxa" w:w="1227"/>
                  <w:shd w:val="clear" w:color="auto" w:fill="FFFFFF"/>
                  <w:tcW w:w="158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1227"/>
                  <w:shd w:val="clear" w:color="auto" w:fill="FFFFFF"/>
                  <w:tcW w:w="102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0.0</w:t>
                  </w:r>
                </w:p>
              </w:tc>
              <w:tc>
                <w:tcPr>
                  <w:tcW w:type="dxa" w:w="1227"/>
                  <w:shd w:val="clear" w:color="auto" w:fill="FFFFFF"/>
                  <w:tcW w:w="102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0.8301</w:t>
                  </w:r>
                </w:p>
              </w:tc>
            </w:tr>
            <w:tr>
              <w:tc>
                <w:tcPr>
                  <w:tcW w:type="dxa" w:w="1227"/>
                  <w:shd w:val="clear" w:color="auto" w:fill="EBF3FB"/>
                  <w:tcW w:w="215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LR (对比，ClassWeight)</w:t>
                  </w:r>
                </w:p>
              </w:tc>
              <w:tc>
                <w:tcPr>
                  <w:tcW w:type="dxa" w:w="1227"/>
                  <w:shd w:val="clear" w:color="auto" w:fill="EBF3FB"/>
                  <w:tcW w:w="102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l2</w:t>
                  </w:r>
                </w:p>
              </w:tc>
              <w:tc>
                <w:tcPr>
                  <w:tcW w:type="dxa" w:w="1227"/>
                  <w:shd w:val="clear" w:color="auto" w:fill="EBF3FB"/>
                  <w:tcW w:w="124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—</w:t>
                  </w:r>
                </w:p>
              </w:tc>
              <w:tc>
                <w:tcPr>
                  <w:tcW w:type="dxa" w:w="1227"/>
                  <w:shd w:val="clear" w:color="auto" w:fill="EBF3FB"/>
                  <w:tcW w:w="158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—</w:t>
                  </w:r>
                </w:p>
              </w:tc>
              <w:tc>
                <w:tcPr>
                  <w:tcW w:type="dxa" w:w="1227"/>
                  <w:shd w:val="clear" w:color="auto" w:fill="EBF3FB"/>
                  <w:tcW w:w="158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—</w:t>
                  </w:r>
                </w:p>
              </w:tc>
              <w:tc>
                <w:tcPr>
                  <w:tcW w:type="dxa" w:w="1227"/>
                  <w:shd w:val="clear" w:color="auto" w:fill="EBF3FB"/>
                  <w:tcW w:w="102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C=0.01</w:t>
                  </w:r>
                </w:p>
              </w:tc>
              <w:tc>
                <w:tcPr>
                  <w:tcW w:type="dxa" w:w="1227"/>
                  <w:shd w:val="clear" w:color="auto" w:fill="EBF3FB"/>
                  <w:tcW w:w="102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0.8508</w:t>
                  </w:r>
                </w:p>
              </w:tc>
            </w:tr>
            <w:tr>
              <w:tc>
                <w:tcPr>
                  <w:tcW w:type="dxa" w:w="8589"/>
                  <w:gridSpan w:val="7"/>
                  <w:shd w:val="clear" w:color="auto" w:fill="F2F2F2"/>
                  <w:tcW w:w="2154" w:type="dxa"/>
                  <w:tcW w:w="1020" w:type="dxa"/>
                  <w:tcW w:w="1247" w:type="dxa"/>
                  <w:tcW w:w="1587" w:type="dxa"/>
                  <w:tcW w:w="1587" w:type="dxa"/>
                  <w:tcW w:w="1020" w:type="dxa"/>
                  <w:tcW w:w="1020" w:type="dxa"/>
                </w:tcPr>
                <w:p>
                  <w:pPr>
                    <w:spacing w:before="20" w:after="20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color w:val="606060"/>
                      <w:sz w:val="18"/>
                    </w:rPr>
                    <w:t>三种 DT 策略最优深度差异显著：SMOTE 数据量最大（8278条），允许深度7；UnderSample 数据量小（2990条）但深度10反映欠采样使决策边界更复杂；ClassWeight 在原始数据上深度5已足够，权重补偿使浅树也能识别少数类</w:t>
                  </w:r>
                </w:p>
              </w:tc>
            </w:tr>
          </w:tbl>
          <w:p/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</w:r>
          </w:p>
        </w:tc>
      </w:tr>
      <w:tr>
        <w:trPr>
          <w:trHeight w:val="6446" w:hRule="atLeast"/>
        </w:trPr>
        <w:tc>
          <w:tcPr>
            <w:tcW w:w="85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>
            <w:pPr>
              <w:pStyle w:val="Normal"/>
              <w:tabs>
                <w:tab w:val="clear" w:pos="420"/>
                <w:tab w:val="left" w:pos="1140" w:leader="none"/>
              </w:tabs>
              <w:rPr>
                <w:rFonts w:eastAsia="宋体"/>
                <w:lang w:eastAsia="zh-CN"/>
              </w:rP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4472C4"/>
                <w:left w:val="single" w:sz="4" w:space="0" w:color="4472C4"/>
                <w:bottom w:val="single" w:sz="4" w:space="0" w:color="4472C4"/>
                <w:right w:val="single" w:sz="4" w:space="0" w:color="4472C4"/>
                <w:insideH w:val="single" w:sz="4" w:space="0" w:color="4472C4"/>
                <w:insideV w:val="single" w:sz="4" w:space="0" w:color="4472C4"/>
              </w:tblBorders>
            </w:tblPr>
            <w:tblGrid>
              <w:gridCol w:w="859"/>
              <w:gridCol w:w="859"/>
              <w:gridCol w:w="859"/>
              <w:gridCol w:w="859"/>
              <w:gridCol w:w="859"/>
              <w:gridCol w:w="859"/>
              <w:gridCol w:w="859"/>
              <w:gridCol w:w="859"/>
              <w:gridCol w:w="859"/>
              <w:gridCol w:w="859"/>
            </w:tblGrid>
            <w:tr>
              <w:tc>
                <w:tcPr>
                  <w:tcW w:type="dxa" w:w="859"/>
                  <w:shd w:val="clear" w:color="auto" w:fill="4472C4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/>
                      <w:i w:val="0"/>
                      <w:color w:val="FFFFFF"/>
                      <w:sz w:val="20"/>
                    </w:rPr>
                    <w:t>策略</w:t>
                  </w:r>
                </w:p>
              </w:tc>
              <w:tc>
                <w:tcPr>
                  <w:tcW w:type="dxa" w:w="859"/>
                  <w:shd w:val="clear" w:color="auto" w:fill="4472C4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/>
                      <w:i w:val="0"/>
                      <w:color w:val="FFFFFF"/>
                      <w:sz w:val="20"/>
                    </w:rPr>
                    <w:t>Precision</w:t>
                    <w:br/>
                    <w:t>(Yes)</w:t>
                  </w:r>
                </w:p>
              </w:tc>
              <w:tc>
                <w:tcPr>
                  <w:tcW w:type="dxa" w:w="859"/>
                  <w:shd w:val="clear" w:color="auto" w:fill="4472C4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/>
                      <w:i w:val="0"/>
                      <w:color w:val="FFFFFF"/>
                      <w:sz w:val="20"/>
                    </w:rPr>
                    <w:t>Recall</w:t>
                    <w:br/>
                    <w:t>(Yes)</w:t>
                  </w:r>
                </w:p>
              </w:tc>
              <w:tc>
                <w:tcPr>
                  <w:tcW w:type="dxa" w:w="859"/>
                  <w:shd w:val="clear" w:color="auto" w:fill="4472C4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/>
                      <w:i w:val="0"/>
                      <w:color w:val="FFFFFF"/>
                      <w:sz w:val="20"/>
                    </w:rPr>
                    <w:t>F1</w:t>
                    <w:br/>
                    <w:t>(Yes)</w:t>
                  </w:r>
                </w:p>
              </w:tc>
              <w:tc>
                <w:tcPr>
                  <w:tcW w:type="dxa" w:w="859"/>
                  <w:shd w:val="clear" w:color="auto" w:fill="4472C4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/>
                      <w:i w:val="0"/>
                      <w:color w:val="FFFFFF"/>
                      <w:sz w:val="20"/>
                    </w:rPr>
                    <w:t>Accuracy</w:t>
                  </w:r>
                </w:p>
              </w:tc>
              <w:tc>
                <w:tcPr>
                  <w:tcW w:type="dxa" w:w="859"/>
                  <w:shd w:val="clear" w:color="auto" w:fill="4472C4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/>
                      <w:i w:val="0"/>
                      <w:color w:val="FFFFFF"/>
                      <w:sz w:val="20"/>
                    </w:rPr>
                    <w:t>AUC</w:t>
                  </w:r>
                </w:p>
              </w:tc>
              <w:tc>
                <w:tcPr>
                  <w:tcW w:type="dxa" w:w="859"/>
                  <w:shd w:val="clear" w:color="auto" w:fill="4472C4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/>
                      <w:i w:val="0"/>
                      <w:color w:val="FFFFFF"/>
                      <w:sz w:val="20"/>
                    </w:rPr>
                    <w:t>TN</w:t>
                  </w:r>
                </w:p>
              </w:tc>
              <w:tc>
                <w:tcPr>
                  <w:tcW w:type="dxa" w:w="859"/>
                  <w:shd w:val="clear" w:color="auto" w:fill="4472C4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/>
                      <w:i w:val="0"/>
                      <w:color w:val="FFFFFF"/>
                      <w:sz w:val="20"/>
                    </w:rPr>
                    <w:t>FP</w:t>
                  </w:r>
                </w:p>
              </w:tc>
              <w:tc>
                <w:tcPr>
                  <w:tcW w:type="dxa" w:w="859"/>
                  <w:shd w:val="clear" w:color="auto" w:fill="4472C4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/>
                      <w:i w:val="0"/>
                      <w:color w:val="FFFFFF"/>
                      <w:sz w:val="20"/>
                    </w:rPr>
                    <w:t>FN</w:t>
                  </w:r>
                </w:p>
              </w:tc>
              <w:tc>
                <w:tcPr>
                  <w:tcW w:type="dxa" w:w="859"/>
                  <w:shd w:val="clear" w:color="auto" w:fill="4472C4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/>
                      <w:i w:val="0"/>
                      <w:color w:val="FFFFFF"/>
                      <w:sz w:val="20"/>
                    </w:rPr>
                    <w:t>TP</w:t>
                  </w:r>
                </w:p>
              </w:tc>
            </w:tr>
            <w:tr>
              <w:tc>
                <w:tcPr>
                  <w:tcW w:type="dxa" w:w="859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DT + SMOTE</w:t>
                  </w:r>
                </w:p>
              </w:tc>
              <w:tc>
                <w:tcPr>
                  <w:tcW w:type="dxa" w:w="859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0.5907</w:t>
                  </w:r>
                </w:p>
              </w:tc>
              <w:tc>
                <w:tcPr>
                  <w:tcW w:type="dxa" w:w="859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0.6444</w:t>
                  </w:r>
                </w:p>
              </w:tc>
              <w:tc>
                <w:tcPr>
                  <w:tcW w:type="dxa" w:w="859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0.6164</w:t>
                  </w:r>
                </w:p>
              </w:tc>
              <w:tc>
                <w:tcPr>
                  <w:tcW w:type="dxa" w:w="859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78.71%</w:t>
                  </w:r>
                </w:p>
              </w:tc>
              <w:tc>
                <w:tcPr>
                  <w:tcW w:type="dxa" w:w="859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0.8238</w:t>
                  </w:r>
                </w:p>
              </w:tc>
              <w:tc>
                <w:tcPr>
                  <w:tcW w:type="dxa" w:w="859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868</w:t>
                  </w:r>
                </w:p>
              </w:tc>
              <w:tc>
                <w:tcPr>
                  <w:tcW w:type="dxa" w:w="859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167</w:t>
                  </w:r>
                </w:p>
              </w:tc>
              <w:tc>
                <w:tcPr>
                  <w:tcW w:type="dxa" w:w="859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133</w:t>
                  </w:r>
                </w:p>
              </w:tc>
              <w:tc>
                <w:tcPr>
                  <w:tcW w:type="dxa" w:w="859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241</w:t>
                  </w:r>
                </w:p>
              </w:tc>
            </w:tr>
            <w:tr>
              <w:tc>
                <w:tcPr>
                  <w:tcW w:type="dxa" w:w="859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DT + UnderSample</w:t>
                  </w:r>
                </w:p>
              </w:tc>
              <w:tc>
                <w:tcPr>
                  <w:tcW w:type="dxa" w:w="859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0.6070</w:t>
                  </w:r>
                </w:p>
              </w:tc>
              <w:tc>
                <w:tcPr>
                  <w:tcW w:type="dxa" w:w="859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0.6070</w:t>
                  </w:r>
                </w:p>
              </w:tc>
              <w:tc>
                <w:tcPr>
                  <w:tcW w:type="dxa" w:w="859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0.6070</w:t>
                  </w:r>
                </w:p>
              </w:tc>
              <w:tc>
                <w:tcPr>
                  <w:tcW w:type="dxa" w:w="859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79.13%</w:t>
                  </w:r>
                </w:p>
              </w:tc>
              <w:tc>
                <w:tcPr>
                  <w:tcW w:type="dxa" w:w="859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0.8337</w:t>
                  </w:r>
                </w:p>
              </w:tc>
              <w:tc>
                <w:tcPr>
                  <w:tcW w:type="dxa" w:w="859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888</w:t>
                  </w:r>
                </w:p>
              </w:tc>
              <w:tc>
                <w:tcPr>
                  <w:tcW w:type="dxa" w:w="859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147</w:t>
                  </w:r>
                </w:p>
              </w:tc>
              <w:tc>
                <w:tcPr>
                  <w:tcW w:type="dxa" w:w="859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147</w:t>
                  </w:r>
                </w:p>
              </w:tc>
              <w:tc>
                <w:tcPr>
                  <w:tcW w:type="dxa" w:w="859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227</w:t>
                  </w:r>
                </w:p>
              </w:tc>
            </w:tr>
            <w:tr>
              <w:tc>
                <w:tcPr>
                  <w:tcW w:type="dxa" w:w="859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DT + ClassWeight</w:t>
                  </w:r>
                </w:p>
              </w:tc>
              <w:tc>
                <w:tcPr>
                  <w:tcW w:type="dxa" w:w="859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0.5262</w:t>
                  </w:r>
                </w:p>
              </w:tc>
              <w:tc>
                <w:tcPr>
                  <w:tcW w:type="dxa" w:w="859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0.7513</w:t>
                  </w:r>
                </w:p>
              </w:tc>
              <w:tc>
                <w:tcPr>
                  <w:tcW w:type="dxa" w:w="859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0.6189</w:t>
                  </w:r>
                </w:p>
              </w:tc>
              <w:tc>
                <w:tcPr>
                  <w:tcW w:type="dxa" w:w="859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75.44%</w:t>
                  </w:r>
                </w:p>
              </w:tc>
              <w:tc>
                <w:tcPr>
                  <w:tcW w:type="dxa" w:w="859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0.8374</w:t>
                  </w:r>
                </w:p>
              </w:tc>
              <w:tc>
                <w:tcPr>
                  <w:tcW w:type="dxa" w:w="859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782</w:t>
                  </w:r>
                </w:p>
              </w:tc>
              <w:tc>
                <w:tcPr>
                  <w:tcW w:type="dxa" w:w="859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253</w:t>
                  </w:r>
                </w:p>
              </w:tc>
              <w:tc>
                <w:tcPr>
                  <w:tcW w:type="dxa" w:w="859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93</w:t>
                  </w:r>
                </w:p>
              </w:tc>
              <w:tc>
                <w:tcPr>
                  <w:tcW w:type="dxa" w:w="859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281</w:t>
                  </w:r>
                </w:p>
              </w:tc>
            </w:tr>
            <w:tr>
              <w:tc>
                <w:tcPr>
                  <w:tcW w:type="dxa" w:w="859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LR Baseline</w:t>
                  </w:r>
                </w:p>
              </w:tc>
              <w:tc>
                <w:tcPr>
                  <w:tcW w:type="dxa" w:w="859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—</w:t>
                  </w:r>
                </w:p>
              </w:tc>
              <w:tc>
                <w:tcPr>
                  <w:tcW w:type="dxa" w:w="859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—</w:t>
                  </w:r>
                </w:p>
              </w:tc>
              <w:tc>
                <w:tcPr>
                  <w:tcW w:type="dxa" w:w="859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—</w:t>
                  </w:r>
                </w:p>
              </w:tc>
              <w:tc>
                <w:tcPr>
                  <w:tcW w:type="dxa" w:w="859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—</w:t>
                  </w:r>
                </w:p>
              </w:tc>
              <w:tc>
                <w:tcPr>
                  <w:tcW w:type="dxa" w:w="859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0.8405</w:t>
                  </w:r>
                </w:p>
              </w:tc>
              <w:tc>
                <w:tcPr>
                  <w:tcW w:type="dxa" w:w="859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—</w:t>
                  </w:r>
                </w:p>
              </w:tc>
              <w:tc>
                <w:tcPr>
                  <w:tcW w:type="dxa" w:w="859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—</w:t>
                  </w:r>
                </w:p>
              </w:tc>
              <w:tc>
                <w:tcPr>
                  <w:tcW w:type="dxa" w:w="859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—</w:t>
                  </w:r>
                </w:p>
              </w:tc>
              <w:tc>
                <w:tcPr>
                  <w:tcW w:type="dxa" w:w="859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—</w:t>
                  </w:r>
                </w:p>
              </w:tc>
            </w:tr>
            <w:tr>
              <w:tc>
                <w:tcPr>
                  <w:tcW w:type="dxa" w:w="8590"/>
                  <w:gridSpan w:val="10"/>
                  <w:shd w:val="clear" w:color="auto" w:fill="F5F5F5"/>
                </w:tcPr>
                <w:p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color w:val="555555"/>
                      <w:sz w:val="18"/>
                    </w:rPr>
                    <w:t>注：Yes类=流失正样本（support=374）；LR基线仅用于ROC曲线对比，不作主要评估对象。</w:t>
                  </w:r>
                </w:p>
              </w:tc>
            </w:tr>
          </w:tbl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4472C4"/>
                <w:left w:val="single" w:sz="4" w:space="0" w:color="4472C4"/>
                <w:bottom w:val="single" w:sz="4" w:space="0" w:color="4472C4"/>
                <w:right w:val="single" w:sz="4" w:space="0" w:color="4472C4"/>
                <w:insideH w:val="single" w:sz="4" w:space="0" w:color="4472C4"/>
                <w:insideV w:val="single" w:sz="4" w:space="0" w:color="4472C4"/>
              </w:tblBorders>
            </w:tblPr>
            <w:tblGrid>
              <w:gridCol w:w="2147"/>
              <w:gridCol w:w="2147"/>
              <w:gridCol w:w="2147"/>
              <w:gridCol w:w="2147"/>
            </w:tblGrid>
            <w:tr>
              <w:tc>
                <w:tcPr>
                  <w:tcW w:type="dxa" w:w="2147"/>
                  <w:shd w:val="clear" w:color="auto" w:fill="4472C4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/>
                      <w:i w:val="0"/>
                      <w:color w:val="FFFFFF"/>
                      <w:sz w:val="20"/>
                    </w:rPr>
                    <w:t>难点</w:t>
                  </w:r>
                </w:p>
              </w:tc>
              <w:tc>
                <w:tcPr>
                  <w:tcW w:type="dxa" w:w="2147"/>
                  <w:shd w:val="clear" w:color="auto" w:fill="4472C4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/>
                      <w:i w:val="0"/>
                      <w:color w:val="FFFFFF"/>
                      <w:sz w:val="20"/>
                    </w:rPr>
                    <w:t>具体表现</w:t>
                  </w:r>
                </w:p>
              </w:tc>
              <w:tc>
                <w:tcPr>
                  <w:tcW w:type="dxa" w:w="2147"/>
                  <w:shd w:val="clear" w:color="auto" w:fill="4472C4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/>
                      <w:i w:val="0"/>
                      <w:color w:val="FFFFFF"/>
                      <w:sz w:val="20"/>
                    </w:rPr>
                    <w:t>解决方案</w:t>
                  </w:r>
                </w:p>
              </w:tc>
              <w:tc>
                <w:tcPr>
                  <w:tcW w:type="dxa" w:w="2147"/>
                  <w:shd w:val="clear" w:color="auto" w:fill="4472C4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/>
                      <w:i w:val="0"/>
                      <w:color w:val="FFFFFF"/>
                      <w:sz w:val="20"/>
                    </w:rPr>
                    <w:t>效果</w:t>
                  </w:r>
                </w:p>
              </w:tc>
            </w:tr>
            <w:tr>
              <w:tc>
                <w:tcPr>
                  <w:tcW w:type="dxa" w:w="2147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TotalCharges字段异常</w:t>
                  </w:r>
                </w:p>
              </w:tc>
              <w:tc>
                <w:tcPr>
                  <w:tcW w:type="dxa" w:w="2147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11条新用户记录中TotalCharges为空字符串，pd.to_numeric直接报错</w:t>
                  </w:r>
                </w:p>
              </w:tc>
              <w:tc>
                <w:tcPr>
                  <w:tcW w:type="dxa" w:w="2147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先strip再errors='coerce'转NaN，用MonthlyCharges填充（业务语义合理）</w:t>
                  </w:r>
                </w:p>
              </w:tc>
              <w:tc>
                <w:tcPr>
                  <w:tcW w:type="dxa" w:w="2147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消除缺失值，无信息损失</w:t>
                  </w:r>
                </w:p>
              </w:tc>
            </w:tr>
            <w:tr>
              <w:tc>
                <w:tcPr>
                  <w:tcW w:type="dxa" w:w="2147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合约类型编码歧义</w:t>
                  </w:r>
                </w:p>
              </w:tc>
              <w:tc>
                <w:tcPr>
                  <w:tcW w:type="dxa" w:w="2147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若用OHE编码Contract，模型无法感知"月付&lt;年付&lt;两年"的语义顺序</w:t>
                  </w:r>
                </w:p>
              </w:tc>
              <w:tc>
                <w:tcPr>
                  <w:tcW w:type="dxa" w:w="2147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有序Label Encoding（0/1/2），保留合约期与粘性的单调关系</w:t>
                  </w:r>
                </w:p>
              </w:tc>
              <w:tc>
                <w:tcPr>
                  <w:tcW w:type="dxa" w:w="2147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该特征重要性排名进入Top-10</w:t>
                  </w:r>
                </w:p>
              </w:tc>
            </w:tr>
            <w:tr>
              <w:tc>
                <w:tcPr>
                  <w:tcW w:type="dxa" w:w="2147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类别不平衡导致评估误导</w:t>
                  </w:r>
                </w:p>
              </w:tc>
              <w:tc>
                <w:tcPr>
                  <w:tcW w:type="dxa" w:w="2147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直接用Accuracy，模型全预测负类可达73.5%，但Recall=0</w:t>
                  </w:r>
                </w:p>
              </w:tc>
              <w:tc>
                <w:tcPr>
                  <w:tcW w:type="dxa" w:w="2147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CV使用roc_auc评分；评估使用P/R/F1全套指标；三种重采样策略</w:t>
                  </w:r>
                </w:p>
              </w:tc>
              <w:tc>
                <w:tcPr>
                  <w:tcW w:type="dxa" w:w="2147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Recall(Yes)从~40%提升至61~75%</w:t>
                  </w:r>
                </w:p>
              </w:tc>
            </w:tr>
            <w:tr>
              <w:tc>
                <w:tcPr>
                  <w:tcW w:type="dxa" w:w="2147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参数空间过大导致搜索慢</w:t>
                  </w:r>
                </w:p>
              </w:tc>
              <w:tc>
                <w:tcPr>
                  <w:tcW w:type="dxa" w:w="2147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432种组合×5折×3策略=6480次拟合，单机耗时较长</w:t>
                  </w:r>
                </w:p>
              </w:tc>
              <w:tc>
                <w:tcPr>
                  <w:tcW w:type="dxa" w:w="2147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n_jobs=-1并行；仅搜索决策树关键超参数；适当缩减无效区间</w:t>
                  </w:r>
                </w:p>
              </w:tc>
              <w:tc>
                <w:tcPr>
                  <w:tcW w:type="dxa" w:w="2147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搜索耗时约2~3分钟，可接受</w:t>
                  </w:r>
                </w:p>
              </w:tc>
            </w:tr>
            <w:tr>
              <w:tc>
                <w:tcPr>
                  <w:tcW w:type="dxa" w:w="2147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决策树过拟合</w:t>
                  </w:r>
                </w:p>
              </w:tc>
              <w:tc>
                <w:tcPr>
                  <w:tcW w:type="dxa" w:w="2147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完全生长树在测试集AUC骤降至~0.72</w:t>
                  </w:r>
                </w:p>
              </w:tc>
              <w:tc>
                <w:tcPr>
                  <w:tcW w:type="dxa" w:w="2147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max_depth约束+min_samples_leaf正则化+ccp_alpha后剪枝三管齐下</w:t>
                  </w:r>
                </w:p>
              </w:tc>
              <w:tc>
                <w:tcPr>
                  <w:tcW w:type="dxa" w:w="2147"/>
                  <w:shd w:val="clear" w:color="auto" w:fill="EBF0FA"/>
                </w:tcPr>
                <w:p>
                  <w:pPr>
                    <w:jc w:val="center"/>
                  </w:pPr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sz w:val="20"/>
                    </w:rPr>
                    <w:t>AUC稳定在0.82~0.84</w:t>
                  </w:r>
                </w:p>
              </w:tc>
            </w:tr>
            <w:tr>
              <w:tc>
                <w:tcPr>
                  <w:tcW w:type="dxa" w:w="8588"/>
                  <w:gridSpan w:val="4"/>
                  <w:shd w:val="clear" w:color="auto" w:fill="F5F5F5"/>
                </w:tcPr>
                <w:p>
                  <w:r>
                    <w:rPr>
                      <w:rFonts w:eastAsia="宋体" w:ascii="宋体" w:hAnsi="宋体"/>
                      <w:rFonts w:ascii="宋体" w:hAnsi="宋体"/>
                      <w:b w:val="0"/>
                      <w:i w:val="0"/>
                      <w:color w:val="555555"/>
                      <w:sz w:val="18"/>
                    </w:rPr>
                    <w:t>注：以上难点均已在代码中通过模块化设计（preprocessing.py / imbalance.py / model.py）妥善处理。</w:t>
                  </w:r>
                </w:p>
              </w:tc>
            </w:tr>
          </w:tbl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/>
                <w:i w:val="0"/>
                <w:sz w:val="24"/>
              </w:rPr>
              <w:t>四、实验结果及分析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4"/>
              </w:rPr>
              <w:t>4.1 三种 DT 策略 + LR 基准完整性能对比（测试集，n=1,409，正样本 374）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以下表格汇总 classification_report 正类（流失=1）的核心指标及 AUC，基于 20% 的分层测试集（保持原始 26.54% 流失比例）评估：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4472C4"/>
                <w:left w:val="single" w:sz="4" w:space="0" w:color="4472C4"/>
                <w:bottom w:val="single" w:sz="4" w:space="0" w:color="4472C4"/>
                <w:right w:val="single" w:sz="4" w:space="0" w:color="4472C4"/>
                <w:insideH w:val="single" w:sz="4" w:space="0" w:color="4472C4"/>
                <w:insideV w:val="single" w:sz="4" w:space="0" w:color="4472C4"/>
              </w:tblBorders>
            </w:tblPr>
            <w:tblGrid>
              <w:gridCol w:w="859"/>
              <w:gridCol w:w="859"/>
              <w:gridCol w:w="859"/>
              <w:gridCol w:w="859"/>
              <w:gridCol w:w="859"/>
              <w:gridCol w:w="859"/>
              <w:gridCol w:w="859"/>
              <w:gridCol w:w="859"/>
              <w:gridCol w:w="859"/>
              <w:gridCol w:w="859"/>
            </w:tblGrid>
            <w:tr>
              <w:tc>
                <w:tcPr>
                  <w:tcW w:type="dxa" w:w="859"/>
                  <w:shd w:val="clear" w:color="auto" w:fill="BDD7EE"/>
                  <w:tcW w:w="215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模型</w:t>
                  </w:r>
                </w:p>
              </w:tc>
              <w:tc>
                <w:tcPr>
                  <w:tcW w:type="dxa" w:w="859"/>
                  <w:shd w:val="clear" w:color="auto" w:fill="BDD7EE"/>
                  <w:tcW w:w="85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AUC</w:t>
                  </w:r>
                </w:p>
              </w:tc>
              <w:tc>
                <w:tcPr>
                  <w:tcW w:type="dxa" w:w="859"/>
                  <w:shd w:val="clear" w:color="auto" w:fill="BDD7EE"/>
                  <w:tcW w:w="124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Precision(1)</w:t>
                  </w:r>
                </w:p>
              </w:tc>
              <w:tc>
                <w:tcPr>
                  <w:tcW w:type="dxa" w:w="859"/>
                  <w:shd w:val="clear" w:color="auto" w:fill="BDD7EE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Recall(1)</w:t>
                  </w:r>
                </w:p>
              </w:tc>
              <w:tc>
                <w:tcPr>
                  <w:tcW w:type="dxa" w:w="859"/>
                  <w:shd w:val="clear" w:color="auto" w:fill="BDD7EE"/>
                  <w:tcW w:w="85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F1(1)</w:t>
                  </w:r>
                </w:p>
              </w:tc>
              <w:tc>
                <w:tcPr>
                  <w:tcW w:type="dxa" w:w="859"/>
                  <w:shd w:val="clear" w:color="auto" w:fill="BDD7EE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Accuracy</w:t>
                  </w:r>
                </w:p>
              </w:tc>
              <w:tc>
                <w:tcPr>
                  <w:tcW w:type="dxa" w:w="859"/>
                  <w:shd w:val="clear" w:color="auto" w:fill="BDD7EE"/>
                  <w:tcW w:w="68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TP</w:t>
                  </w:r>
                </w:p>
              </w:tc>
              <w:tc>
                <w:tcPr>
                  <w:tcW w:type="dxa" w:w="859"/>
                  <w:shd w:val="clear" w:color="auto" w:fill="BDD7EE"/>
                  <w:tcW w:w="68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FP</w:t>
                  </w:r>
                </w:p>
              </w:tc>
              <w:tc>
                <w:tcPr>
                  <w:tcW w:type="dxa" w:w="859"/>
                  <w:shd w:val="clear" w:color="auto" w:fill="BDD7EE"/>
                  <w:tcW w:w="68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FN</w:t>
                  </w:r>
                </w:p>
              </w:tc>
              <w:tc>
                <w:tcPr>
                  <w:tcW w:type="dxa" w:w="859"/>
                  <w:shd w:val="clear" w:color="auto" w:fill="BDD7EE"/>
                  <w:tcW w:w="68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TN</w:t>
                  </w:r>
                </w:p>
              </w:tc>
            </w:tr>
            <w:tr>
              <w:tc>
                <w:tcPr>
                  <w:tcW w:type="dxa" w:w="859"/>
                  <w:shd w:val="clear" w:color="auto" w:fill="FFFFFF"/>
                  <w:tcW w:w="215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DT (SMOTE Pipeline)</w:t>
                  </w:r>
                </w:p>
              </w:tc>
              <w:tc>
                <w:tcPr>
                  <w:tcW w:type="dxa" w:w="859"/>
                  <w:shd w:val="clear" w:color="auto" w:fill="FFFFFF"/>
                  <w:tcW w:w="85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0.8190</w:t>
                  </w:r>
                </w:p>
              </w:tc>
              <w:tc>
                <w:tcPr>
                  <w:tcW w:type="dxa" w:w="859"/>
                  <w:shd w:val="clear" w:color="auto" w:fill="FFFFFF"/>
                  <w:tcW w:w="124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0.533</w:t>
                  </w:r>
                </w:p>
              </w:tc>
              <w:tc>
                <w:tcPr>
                  <w:tcW w:type="dxa" w:w="859"/>
                  <w:shd w:val="clear" w:color="auto" w:fill="FFFFFF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0.714</w:t>
                  </w:r>
                </w:p>
              </w:tc>
              <w:tc>
                <w:tcPr>
                  <w:tcW w:type="dxa" w:w="859"/>
                  <w:shd w:val="clear" w:color="auto" w:fill="FFFFFF"/>
                  <w:tcW w:w="85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0.610</w:t>
                  </w:r>
                </w:p>
              </w:tc>
              <w:tc>
                <w:tcPr>
                  <w:tcW w:type="dxa" w:w="859"/>
                  <w:shd w:val="clear" w:color="auto" w:fill="FFFFFF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0.758</w:t>
                  </w:r>
                </w:p>
              </w:tc>
              <w:tc>
                <w:tcPr>
                  <w:tcW w:type="dxa" w:w="859"/>
                  <w:shd w:val="clear" w:color="auto" w:fill="FFFFFF"/>
                  <w:tcW w:w="68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267</w:t>
                  </w:r>
                </w:p>
              </w:tc>
              <w:tc>
                <w:tcPr>
                  <w:tcW w:type="dxa" w:w="859"/>
                  <w:shd w:val="clear" w:color="auto" w:fill="FFFFFF"/>
                  <w:tcW w:w="68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234</w:t>
                  </w:r>
                </w:p>
              </w:tc>
              <w:tc>
                <w:tcPr>
                  <w:tcW w:type="dxa" w:w="859"/>
                  <w:shd w:val="clear" w:color="auto" w:fill="FFFFFF"/>
                  <w:tcW w:w="68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107</w:t>
                  </w:r>
                </w:p>
              </w:tc>
              <w:tc>
                <w:tcPr>
                  <w:tcW w:type="dxa" w:w="859"/>
                  <w:shd w:val="clear" w:color="auto" w:fill="FFFFFF"/>
                  <w:tcW w:w="68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801</w:t>
                  </w:r>
                </w:p>
              </w:tc>
            </w:tr>
            <w:tr>
              <w:tc>
                <w:tcPr>
                  <w:tcW w:type="dxa" w:w="859"/>
                  <w:shd w:val="clear" w:color="auto" w:fill="EBF3FB"/>
                  <w:tcW w:w="215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DT (UnderSample)</w:t>
                  </w:r>
                </w:p>
              </w:tc>
              <w:tc>
                <w:tcPr>
                  <w:tcW w:type="dxa" w:w="859"/>
                  <w:shd w:val="clear" w:color="auto" w:fill="EBF3FB"/>
                  <w:tcW w:w="85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0.8356</w:t>
                  </w:r>
                </w:p>
              </w:tc>
              <w:tc>
                <w:tcPr>
                  <w:tcW w:type="dxa" w:w="859"/>
                  <w:shd w:val="clear" w:color="auto" w:fill="EBF3FB"/>
                  <w:tcW w:w="124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0.515</w:t>
                  </w:r>
                </w:p>
              </w:tc>
              <w:tc>
                <w:tcPr>
                  <w:tcW w:type="dxa" w:w="859"/>
                  <w:shd w:val="clear" w:color="auto" w:fill="EBF3FB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0.757</w:t>
                  </w:r>
                </w:p>
              </w:tc>
              <w:tc>
                <w:tcPr>
                  <w:tcW w:type="dxa" w:w="859"/>
                  <w:shd w:val="clear" w:color="auto" w:fill="EBF3FB"/>
                  <w:tcW w:w="85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0.613</w:t>
                  </w:r>
                </w:p>
              </w:tc>
              <w:tc>
                <w:tcPr>
                  <w:tcW w:type="dxa" w:w="859"/>
                  <w:shd w:val="clear" w:color="auto" w:fill="EBF3FB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0.746</w:t>
                  </w:r>
                </w:p>
              </w:tc>
              <w:tc>
                <w:tcPr>
                  <w:tcW w:type="dxa" w:w="859"/>
                  <w:shd w:val="clear" w:color="auto" w:fill="EBF3FB"/>
                  <w:tcW w:w="68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283</w:t>
                  </w:r>
                </w:p>
              </w:tc>
              <w:tc>
                <w:tcPr>
                  <w:tcW w:type="dxa" w:w="859"/>
                  <w:shd w:val="clear" w:color="auto" w:fill="EBF3FB"/>
                  <w:tcW w:w="68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267</w:t>
                  </w:r>
                </w:p>
              </w:tc>
              <w:tc>
                <w:tcPr>
                  <w:tcW w:type="dxa" w:w="859"/>
                  <w:shd w:val="clear" w:color="auto" w:fill="EBF3FB"/>
                  <w:tcW w:w="68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91</w:t>
                  </w:r>
                </w:p>
              </w:tc>
              <w:tc>
                <w:tcPr>
                  <w:tcW w:type="dxa" w:w="859"/>
                  <w:shd w:val="clear" w:color="auto" w:fill="EBF3FB"/>
                  <w:tcW w:w="68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768</w:t>
                  </w:r>
                </w:p>
              </w:tc>
            </w:tr>
            <w:tr>
              <w:tc>
                <w:tcPr>
                  <w:tcW w:type="dxa" w:w="859"/>
                  <w:shd w:val="clear" w:color="auto" w:fill="FFFFFF"/>
                  <w:tcW w:w="215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DT (ClassWeight)</w:t>
                  </w:r>
                </w:p>
              </w:tc>
              <w:tc>
                <w:tcPr>
                  <w:tcW w:type="dxa" w:w="859"/>
                  <w:shd w:val="clear" w:color="auto" w:fill="FFFFFF"/>
                  <w:tcW w:w="85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0.8298</w:t>
                  </w:r>
                </w:p>
              </w:tc>
              <w:tc>
                <w:tcPr>
                  <w:tcW w:type="dxa" w:w="859"/>
                  <w:shd w:val="clear" w:color="auto" w:fill="FFFFFF"/>
                  <w:tcW w:w="124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0.503</w:t>
                  </w:r>
                </w:p>
              </w:tc>
              <w:tc>
                <w:tcPr>
                  <w:tcW w:type="dxa" w:w="859"/>
                  <w:shd w:val="clear" w:color="auto" w:fill="FFFFFF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0.802</w:t>
                  </w:r>
                </w:p>
              </w:tc>
              <w:tc>
                <w:tcPr>
                  <w:tcW w:type="dxa" w:w="859"/>
                  <w:shd w:val="clear" w:color="auto" w:fill="FFFFFF"/>
                  <w:tcW w:w="85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0.619</w:t>
                  </w:r>
                </w:p>
              </w:tc>
              <w:tc>
                <w:tcPr>
                  <w:tcW w:type="dxa" w:w="859"/>
                  <w:shd w:val="clear" w:color="auto" w:fill="FFFFFF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0.737</w:t>
                  </w:r>
                </w:p>
              </w:tc>
              <w:tc>
                <w:tcPr>
                  <w:tcW w:type="dxa" w:w="859"/>
                  <w:shd w:val="clear" w:color="auto" w:fill="FFFFFF"/>
                  <w:tcW w:w="68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300</w:t>
                  </w:r>
                </w:p>
              </w:tc>
              <w:tc>
                <w:tcPr>
                  <w:tcW w:type="dxa" w:w="859"/>
                  <w:shd w:val="clear" w:color="auto" w:fill="FFFFFF"/>
                  <w:tcW w:w="68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296</w:t>
                  </w:r>
                </w:p>
              </w:tc>
              <w:tc>
                <w:tcPr>
                  <w:tcW w:type="dxa" w:w="859"/>
                  <w:shd w:val="clear" w:color="auto" w:fill="FFFFFF"/>
                  <w:tcW w:w="68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74</w:t>
                  </w:r>
                </w:p>
              </w:tc>
              <w:tc>
                <w:tcPr>
                  <w:tcW w:type="dxa" w:w="859"/>
                  <w:shd w:val="clear" w:color="auto" w:fill="FFFFFF"/>
                  <w:tcW w:w="68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739</w:t>
                  </w:r>
                </w:p>
              </w:tc>
            </w:tr>
            <w:tr>
              <w:tc>
                <w:tcPr>
                  <w:tcW w:type="dxa" w:w="859"/>
                  <w:shd w:val="clear" w:color="auto" w:fill="EBF3FB"/>
                  <w:tcW w:w="215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LR (ClassWeight)</w:t>
                  </w:r>
                </w:p>
              </w:tc>
              <w:tc>
                <w:tcPr>
                  <w:tcW w:type="dxa" w:w="859"/>
                  <w:shd w:val="clear" w:color="auto" w:fill="EBF3FB"/>
                  <w:tcW w:w="85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0.8489</w:t>
                  </w:r>
                </w:p>
              </w:tc>
              <w:tc>
                <w:tcPr>
                  <w:tcW w:type="dxa" w:w="859"/>
                  <w:shd w:val="clear" w:color="auto" w:fill="EBF3FB"/>
                  <w:tcW w:w="124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0.511</w:t>
                  </w:r>
                </w:p>
              </w:tc>
              <w:tc>
                <w:tcPr>
                  <w:tcW w:type="dxa" w:w="859"/>
                  <w:shd w:val="clear" w:color="auto" w:fill="EBF3FB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0.783</w:t>
                  </w:r>
                </w:p>
              </w:tc>
              <w:tc>
                <w:tcPr>
                  <w:tcW w:type="dxa" w:w="859"/>
                  <w:shd w:val="clear" w:color="auto" w:fill="EBF3FB"/>
                  <w:tcW w:w="85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0.619</w:t>
                  </w:r>
                </w:p>
              </w:tc>
              <w:tc>
                <w:tcPr>
                  <w:tcW w:type="dxa" w:w="859"/>
                  <w:shd w:val="clear" w:color="auto" w:fill="EBF3FB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0.744</w:t>
                  </w:r>
                </w:p>
              </w:tc>
              <w:tc>
                <w:tcPr>
                  <w:tcW w:type="dxa" w:w="859"/>
                  <w:shd w:val="clear" w:color="auto" w:fill="EBF3FB"/>
                  <w:tcW w:w="68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293</w:t>
                  </w:r>
                </w:p>
              </w:tc>
              <w:tc>
                <w:tcPr>
                  <w:tcW w:type="dxa" w:w="859"/>
                  <w:shd w:val="clear" w:color="auto" w:fill="EBF3FB"/>
                  <w:tcW w:w="68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280</w:t>
                  </w:r>
                </w:p>
              </w:tc>
              <w:tc>
                <w:tcPr>
                  <w:tcW w:type="dxa" w:w="859"/>
                  <w:shd w:val="clear" w:color="auto" w:fill="EBF3FB"/>
                  <w:tcW w:w="68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81</w:t>
                  </w:r>
                </w:p>
              </w:tc>
              <w:tc>
                <w:tcPr>
                  <w:tcW w:type="dxa" w:w="859"/>
                  <w:shd w:val="clear" w:color="auto" w:fill="EBF3FB"/>
                  <w:tcW w:w="680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755</w:t>
                  </w:r>
                </w:p>
              </w:tc>
            </w:tr>
            <w:tr>
              <w:tc>
                <w:tcPr>
                  <w:tcW w:type="dxa" w:w="8590"/>
                  <w:gridSpan w:val="10"/>
                  <w:shd w:val="clear" w:color="auto" w:fill="F2F2F2"/>
                  <w:tcW w:w="2154" w:type="dxa"/>
                  <w:tcW w:w="850" w:type="dxa"/>
                  <w:tcW w:w="1247" w:type="dxa"/>
                  <w:tcW w:w="1134" w:type="dxa"/>
                  <w:tcW w:w="850" w:type="dxa"/>
                  <w:tcW w:w="1134" w:type="dxa"/>
                  <w:tcW w:w="680" w:type="dxa"/>
                  <w:tcW w:w="680" w:type="dxa"/>
                  <w:tcW w:w="680" w:type="dxa"/>
                  <w:tcW w:w="680" w:type="dxa"/>
                </w:tcPr>
                <w:p>
                  <w:pPr>
                    <w:spacing w:before="20" w:after="20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color w:val="606060"/>
                      <w:sz w:val="18"/>
                    </w:rPr>
                    <w:t>测试集：1409条，流失(1): 374条，未流失(0): 1035条。最优 AUC 为 LR 0.8489，最优 DT AUC 为 UnderSample 0.8356</w:t>
                  </w:r>
                </w:p>
              </w:tc>
            </w:tr>
          </w:tbl>
          <w:p/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4"/>
              </w:rPr>
              <w:t>4.2 分类指标深度分析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2"/>
              </w:rPr>
              <w:t>（1）为何不能只看 Accuracy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若模型采用"全部预测为未流失"的 Naive 策略，准确率可达 73.46%（1,035/1,409），远高于"随机猜测"的 50%，看似不差。但其 Recall(流失)=0%，TP=0，即对任何一位即将流失的客户都无法预警，业务价值为零。本实验三个 DT 模型的 Accuracy 为 73.7%~75.8%，略高于 Naive 基准，但 Recall(1) 达 71.4%~80.2%，才是真正有意义的性能提升。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因此，在类别不平衡的流失预测场景中，评估应以 AUC、F1(1)、Recall(1) 为核心，Accuracy 仅作参考。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2"/>
              </w:rPr>
              <w:t>（2）三种 DT 策略的 Precision-Recall 权衡分析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SMOTE Pipeline（Recall=0.714，Precision=0.533）：取得相对平衡的 Precision-Recall。每 100 位预测为"流失"的客户中有 53.3 位真实流失；漏报 107 位（漏报率 28.6%）。SMOTE 合成的样本使决策边界更平滑，减少了误报（FP=234 最少）。适合希望在触达率和误扰率之间取得平衡的业务场景（如精准营销挽留）。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UnderSample（Recall=0.757，Precision=0.515，AUC 最优=0.8356）：召回率高于 SMOTE，漏报降至 91 位（漏报率 24.3%）；但误报 267 位，每推荐 10 位中仅 5.15 位是真实流失客户。欠采样使树学习了更"激进"的正类判别规则——丢弃多数类信息后，树更倾向于将边界样本判为正类。值得注意的是，UnderSample 获得了三种 DT 策略中最高的测试 AUC（0.8356），说明在该数据集上，减少多数类噪声的正面效果超过了信息损失的负面效果。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ClassWeight（Recall=0.802，Precision=0.503，漏报最少）：Recall 最高，漏报仅 74 位（漏报率 19.8%），意味着每 100 位真实流失客户能找回约 80 位。保留全部 5,634 条原始训练数据，信息损失最小；最优 max_depth=5 表明权重加成已使较浅的树能有效识别少数类，无需深树即可取得高召回率。适合以"最大化发现流失客户数量"为首要目标的业务场景（如用户挽留电话呼出）。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2"/>
              </w:rPr>
              <w:t>（3）SMOTE Pipeline 与 SMOTE 数据泄露的对比分析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本实验的重要工程发现：在 SMOTE 策略上，将 SMOTE 放入 Pipeline 内部执行（折内独立合成）与在 GridSearch 外预先执行，CV-AUC 差异达 0.0659（0.8199 vs 0.8858）。这一巨大差距正是数据泄露的定量证明：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4472C4"/>
                <w:left w:val="single" w:sz="4" w:space="0" w:color="4472C4"/>
                <w:bottom w:val="single" w:sz="4" w:space="0" w:color="4472C4"/>
                <w:right w:val="single" w:sz="4" w:space="0" w:color="4472C4"/>
                <w:insideH w:val="single" w:sz="4" w:space="0" w:color="4472C4"/>
                <w:insideV w:val="single" w:sz="4" w:space="0" w:color="4472C4"/>
              </w:tblBorders>
            </w:tblPr>
            <w:tblGrid>
              <w:gridCol w:w="1718"/>
              <w:gridCol w:w="1718"/>
              <w:gridCol w:w="1718"/>
              <w:gridCol w:w="1718"/>
              <w:gridCol w:w="1718"/>
            </w:tblGrid>
            <w:tr>
              <w:tc>
                <w:tcPr>
                  <w:tcW w:type="dxa" w:w="1718"/>
                  <w:shd w:val="clear" w:color="auto" w:fill="BDD7EE"/>
                  <w:tcW w:w="2835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SMOTE 执行方式</w:t>
                  </w:r>
                </w:p>
              </w:tc>
              <w:tc>
                <w:tcPr>
                  <w:tcW w:type="dxa" w:w="1718"/>
                  <w:shd w:val="clear" w:color="auto" w:fill="BDD7EE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CV-AUC</w:t>
                  </w:r>
                </w:p>
              </w:tc>
              <w:tc>
                <w:tcPr>
                  <w:tcW w:type="dxa" w:w="1718"/>
                  <w:shd w:val="clear" w:color="auto" w:fill="BDD7EE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测试 AUC</w:t>
                  </w:r>
                </w:p>
              </w:tc>
              <w:tc>
                <w:tcPr>
                  <w:tcW w:type="dxa" w:w="1718"/>
                  <w:shd w:val="clear" w:color="auto" w:fill="BDD7EE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CV-Test 差</w:t>
                  </w:r>
                </w:p>
              </w:tc>
              <w:tc>
                <w:tcPr>
                  <w:tcW w:type="dxa" w:w="1718"/>
                  <w:shd w:val="clear" w:color="auto" w:fill="BDD7EE"/>
                  <w:tcW w:w="2835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泄露判断</w:t>
                  </w:r>
                </w:p>
              </w:tc>
            </w:tr>
            <w:tr>
              <w:tc>
                <w:tcPr>
                  <w:tcW w:type="dxa" w:w="1718"/>
                  <w:shd w:val="clear" w:color="auto" w:fill="FFFFFF"/>
                  <w:tcW w:w="2835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Pipeline 外预先执行（含泄露）</w:t>
                  </w:r>
                </w:p>
              </w:tc>
              <w:tc>
                <w:tcPr>
                  <w:tcW w:type="dxa" w:w="1718"/>
                  <w:shd w:val="clear" w:color="auto" w:fill="FFFFFF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0.8858</w:t>
                  </w:r>
                </w:p>
              </w:tc>
              <w:tc>
                <w:tcPr>
                  <w:tcW w:type="dxa" w:w="1718"/>
                  <w:shd w:val="clear" w:color="auto" w:fill="FFFFFF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0.8079</w:t>
                  </w:r>
                </w:p>
              </w:tc>
              <w:tc>
                <w:tcPr>
                  <w:tcW w:type="dxa" w:w="1718"/>
                  <w:shd w:val="clear" w:color="auto" w:fill="FFFFFF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−0.0779</w:t>
                  </w:r>
                </w:p>
              </w:tc>
              <w:tc>
                <w:tcPr>
                  <w:tcW w:type="dxa" w:w="1718"/>
                  <w:shd w:val="clear" w:color="auto" w:fill="FFFFFF"/>
                  <w:tcW w:w="2835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严重泄露（CV 虚高）</w:t>
                  </w:r>
                </w:p>
              </w:tc>
            </w:tr>
            <w:tr>
              <w:tc>
                <w:tcPr>
                  <w:tcW w:type="dxa" w:w="1718"/>
                  <w:shd w:val="clear" w:color="auto" w:fill="EBF3FB"/>
                  <w:tcW w:w="2835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imblearn Pipeline 内执行（正确）</w:t>
                  </w:r>
                </w:p>
              </w:tc>
              <w:tc>
                <w:tcPr>
                  <w:tcW w:type="dxa" w:w="1718"/>
                  <w:shd w:val="clear" w:color="auto" w:fill="EBF3FB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0.8199</w:t>
                  </w:r>
                </w:p>
              </w:tc>
              <w:tc>
                <w:tcPr>
                  <w:tcW w:type="dxa" w:w="1718"/>
                  <w:shd w:val="clear" w:color="auto" w:fill="EBF3FB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0.8190</w:t>
                  </w:r>
                </w:p>
              </w:tc>
              <w:tc>
                <w:tcPr>
                  <w:tcW w:type="dxa" w:w="1718"/>
                  <w:shd w:val="clear" w:color="auto" w:fill="EBF3FB"/>
                  <w:tcW w:w="1134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−0.0009</w:t>
                  </w:r>
                </w:p>
              </w:tc>
              <w:tc>
                <w:tcPr>
                  <w:tcW w:type="dxa" w:w="1718"/>
                  <w:shd w:val="clear" w:color="auto" w:fill="EBF3FB"/>
                  <w:tcW w:w="2835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无泄露（估计准确）</w:t>
                  </w:r>
                </w:p>
              </w:tc>
            </w:tr>
            <w:tr>
              <w:tc>
                <w:tcPr>
                  <w:tcW w:type="dxa" w:w="8590"/>
                  <w:gridSpan w:val="5"/>
                  <w:shd w:val="clear" w:color="auto" w:fill="F2F2F2"/>
                  <w:tcW w:w="2835" w:type="dxa"/>
                  <w:tcW w:w="1134" w:type="dxa"/>
                  <w:tcW w:w="1134" w:type="dxa"/>
                  <w:tcW w:w="1134" w:type="dxa"/>
                  <w:tcW w:w="2835" w:type="dxa"/>
                </w:tcPr>
                <w:p>
                  <w:pPr>
                    <w:spacing w:before="20" w:after="20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color w:val="606060"/>
                      <w:sz w:val="18"/>
                    </w:rPr>
                    <w:t>结论：CV-AUC 与测试 AUC 差距越小，说明交叉验证估计越可信。Pipeline 版本 CV-Test 差仅 0.0009，验证了防泄露实现的正确性</w:t>
                  </w:r>
                </w:p>
              </w:tc>
            </w:tr>
          </w:tbl>
          <w:p/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2"/>
              </w:rPr>
              <w:t>（4）DT vs LR 对比分析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本实验 LR 的测试 AUC（0.8489）略高于最优 DT（0.8356），差距为 0.0133。乍看之下决策树未能体现优势，但深入分析可发现：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原因一：Telco 数据集的特征工程后线性可分性较强。Contract 有序编码（0/1/2）+ tenure 的线性关系在 LR 中可以直接被权重捕捉，与 DT 的分段规则在此场景下效果相近。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原因二：单棵决策树存在结构固有限制。决策树基于轴对齐矩形分割特征空间，对需要"斜线"决策边界的区域（如 MonthlyCharges + tenure 的联合效应）需要更深的树才能近似，而深树又面临过拟合问题，形成两难困境。集成方法（Random Forest 通过 Bagging + 特征随机采样，XGBoost 通过 Boosting 序列叠加）本质上是对多棵树的集成，能从根本上突破单棵树的瓶颈，预计 AUC 可达 0.88+。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原因三：本实验 DT 已通过 210 组参数网格搜索、CCP 剪枝、三种不平衡策略和 Pipeline 防泄露等手段充分优化，所得 AUC=0.8356 是单棵 DT 在该数据集上的合理性能上限。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4"/>
              </w:rPr>
              <w:t>4.3 可视化图表分析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2"/>
              </w:rPr>
              <w:t>图1  Precision / Recall / F1-Score 分组柱状图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0" cy="241555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rics_ba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24155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eastAsia="宋体"/>
                <w:rFonts w:ascii="宋体" w:hAnsi="宋体"/>
                <w:b w:val="0"/>
                <w:i/>
                <w:color w:val="444444"/>
                <w:sz w:val="20"/>
              </w:rPr>
              <w:t>图1  四模型 Precision / Recall / F1-Score 分组柱状图（左）及流失类 P-R-F1 水平对比（右）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左图四指标分组对比：Recall(1) 三种 DT 策略间差异最显著（0.714~0.802），直接反映对流失客户的捕捉能力差异；Precision(1) SMOTE 最高（0.533），因误报最少；F1(1) 四个模型均在 0.61~0.62，相差不大，但 ClassWeight 和 LR 的 F1 在 Recall 提升的同时保持了整体平衡；Accuracy 三策略差异 3.0%，在不平衡场景参考价值有限。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右图 Precision-Recall-F1 水平条形图：SMOTE 在 Precision 上领先，体现"合成样本使边界更保守"；ClassWeight 在 Recall 上领先，体现"权重加成鼓励模型对少数类更大胆"；UnderSample 介于两者之间，且拥有最高的 AUC，说明排序能力（AUC）与点预测能力（P/R/F1）并非完全一致，AUC 更能反映模型的整体判别质量。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2"/>
              </w:rPr>
              <w:t>图2  混淆矩阵对比（四个模型）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0" cy="147630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matric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1476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eastAsia="宋体"/>
                <w:rFonts w:ascii="宋体" w:hAnsi="宋体"/>
                <w:b w:val="0"/>
                <w:i/>
                <w:color w:val="444444"/>
                <w:sz w:val="20"/>
              </w:rPr>
              <w:t>图2  四模型混淆矩阵并排对比（TN/FP/FN/TP，流失=1为正类）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混淆矩阵数值定量验证了指标分析的结论。关注两个业务关键格：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左下格 FN（漏报流失）：ClassWeight 最少（74，漏报率 19.8%），意味着 100 位真实流失客户中仅漏掉约 20 位，最大程度减少了业务损失；SMOTE 漏报最多（107，28.6%），因其倾向于保守预测。每个漏报对应一位未被及时挽留的流失客户，直接带来用户和收入的损失。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右上格 FP（误报未流失为流失）：SMOTE 误报最少（234，22.6%），意味着营销资源最精准；ClassWeight 误报最多（296，28.6%），是高召回率的代价——为了多抓到流失客户，不得不增加误扰。在电信场景中，FP 对应一次非必要的挽留电话/优惠券发放，成本远低于 FN（用户永久流失）。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2"/>
              </w:rPr>
              <w:t>图3  ROC 曲线对比（含 LR 基准 + 关键区域放大）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0" cy="257289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c_curve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2572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eastAsia="宋体"/>
                <w:rFonts w:ascii="宋体" w:hAnsi="宋体"/>
                <w:b w:val="0"/>
                <w:i/>
                <w:color w:val="444444"/>
                <w:sz w:val="20"/>
              </w:rPr>
              <w:t>图3  四模型 ROC 曲线对比（左：全图；右：FPR∈[0,0.4] 关键区域放大）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ROC 曲线全图（左）：四条曲线均明显高于随机基准（虚对角线），AUC 在 0.8161~0.8489 之间。LR（粉色虚线）在大部分 FPR 范围内高于三条 DT 曲线，说明在该阈值范围内 LR 的正负样本排序能力略优；UnderSample DT（橙色）在中高 FPR 区域（0.2~0.5）紧随 LR，是三种 DT 中整体最优。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关键区域放大图（右，FPR∈[0, 0.4]）：业务最关注的低误报区域。在 FPR&lt;0.1（严格控制误报）的区段，四个模型 TPR 差异较大；ClassWeight DT 在 FPR 约 0.15–0.25 区间有阶梯式跃升，说明该策略的分类阈值敏感性更强。图中标注的"理想点 (0,1)"是所有模型努力逼近的目标：FPR=0（无误报）且 TPR=1（无漏报）。</w:t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2"/>
              </w:rPr>
              <w:t>图4  决策树特征重要性 Top-20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0" cy="223174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ature_importanc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22317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eastAsia="宋体"/>
                <w:rFonts w:ascii="宋体" w:hAnsi="宋体"/>
                <w:b w:val="0"/>
                <w:i/>
                <w:color w:val="444444"/>
                <w:sz w:val="20"/>
              </w:rPr>
              <w:t>图4  三种 DT 策略的特征重要性（Gini Importance）Top-20 对比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特征重要性（Gini Importance）反映各特征在树所有分裂中降低基尼不纯度的加权总贡献，值越大越重要。三种策略均呈现高度一致的前5重要特征，验证了特征重要性结论的鲁棒性：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4472C4"/>
                <w:left w:val="single" w:sz="4" w:space="0" w:color="4472C4"/>
                <w:bottom w:val="single" w:sz="4" w:space="0" w:color="4472C4"/>
                <w:right w:val="single" w:sz="4" w:space="0" w:color="4472C4"/>
                <w:insideH w:val="single" w:sz="4" w:space="0" w:color="4472C4"/>
                <w:insideV w:val="single" w:sz="4" w:space="0" w:color="4472C4"/>
              </w:tblBorders>
            </w:tblPr>
            <w:tblGrid>
              <w:gridCol w:w="2147"/>
              <w:gridCol w:w="2147"/>
              <w:gridCol w:w="2147"/>
              <w:gridCol w:w="2147"/>
            </w:tblGrid>
            <w:tr>
              <w:tc>
                <w:tcPr>
                  <w:tcW w:type="dxa" w:w="2147"/>
                  <w:shd w:val="clear" w:color="auto" w:fill="BDD7EE"/>
                  <w:tcW w:w="141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重要性排序</w:t>
                  </w:r>
                </w:p>
              </w:tc>
              <w:tc>
                <w:tcPr>
                  <w:tcW w:type="dxa" w:w="2147"/>
                  <w:shd w:val="clear" w:color="auto" w:fill="BDD7EE"/>
                  <w:tcW w:w="2268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特征名</w:t>
                  </w:r>
                </w:p>
              </w:tc>
              <w:tc>
                <w:tcPr>
                  <w:tcW w:type="dxa" w:w="2147"/>
                  <w:shd w:val="clear" w:color="auto" w:fill="BDD7EE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类型</w:t>
                  </w:r>
                </w:p>
              </w:tc>
              <w:tc>
                <w:tcPr>
                  <w:tcW w:type="dxa" w:w="2147"/>
                  <w:shd w:val="clear" w:color="auto" w:fill="BDD7EE"/>
                  <w:tcW w:w="3685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i w:val="0"/>
                      <w:sz w:val="20"/>
                    </w:rPr>
                    <w:t>业务解读</w:t>
                  </w:r>
                </w:p>
              </w:tc>
            </w:tr>
            <w:tr>
              <w:tc>
                <w:tcPr>
                  <w:tcW w:type="dxa" w:w="2147"/>
                  <w:shd w:val="clear" w:color="auto" w:fill="FFFFFF"/>
                  <w:tcW w:w="141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Top-1</w:t>
                  </w:r>
                </w:p>
              </w:tc>
              <w:tc>
                <w:tcPr>
                  <w:tcW w:type="dxa" w:w="2147"/>
                  <w:shd w:val="clear" w:color="auto" w:fill="FFFFFF"/>
                  <w:tcW w:w="2268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Contract</w:t>
                  </w:r>
                </w:p>
              </w:tc>
              <w:tc>
                <w:tcPr>
                  <w:tcW w:type="dxa" w:w="2147"/>
                  <w:shd w:val="clear" w:color="auto" w:fill="FFFFFF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原始有序特征</w:t>
                  </w:r>
                </w:p>
              </w:tc>
              <w:tc>
                <w:tcPr>
                  <w:tcW w:type="dxa" w:w="2147"/>
                  <w:shd w:val="clear" w:color="auto" w:fill="FFFFFF"/>
                  <w:tcW w:w="3685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合约类型是最强流失预测因子：Month-to-month(0) 客户流失率远高于 Two year(2)</w:t>
                  </w:r>
                </w:p>
              </w:tc>
            </w:tr>
            <w:tr>
              <w:tc>
                <w:tcPr>
                  <w:tcW w:type="dxa" w:w="2147"/>
                  <w:shd w:val="clear" w:color="auto" w:fill="EBF3FB"/>
                  <w:tcW w:w="141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Top-2</w:t>
                  </w:r>
                </w:p>
              </w:tc>
              <w:tc>
                <w:tcPr>
                  <w:tcW w:type="dxa" w:w="2147"/>
                  <w:shd w:val="clear" w:color="auto" w:fill="EBF3FB"/>
                  <w:tcW w:w="2268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tenure / tenure_segment</w:t>
                  </w:r>
                </w:p>
              </w:tc>
              <w:tc>
                <w:tcPr>
                  <w:tcW w:type="dxa" w:w="2147"/>
                  <w:shd w:val="clear" w:color="auto" w:fill="EBF3FB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原始+衍生特征</w:t>
                  </w:r>
                </w:p>
              </w:tc>
              <w:tc>
                <w:tcPr>
                  <w:tcW w:type="dxa" w:w="2147"/>
                  <w:shd w:val="clear" w:color="auto" w:fill="EBF3FB"/>
                  <w:tcW w:w="3685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入网时长直接反映客户忠诚度，短期用户（&lt;12月）流失率约为长期用户的3倍</w:t>
                  </w:r>
                </w:p>
              </w:tc>
            </w:tr>
            <w:tr>
              <w:tc>
                <w:tcPr>
                  <w:tcW w:type="dxa" w:w="2147"/>
                  <w:shd w:val="clear" w:color="auto" w:fill="FFFFFF"/>
                  <w:tcW w:w="141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Top-3</w:t>
                  </w:r>
                </w:p>
              </w:tc>
              <w:tc>
                <w:tcPr>
                  <w:tcW w:type="dxa" w:w="2147"/>
                  <w:shd w:val="clear" w:color="auto" w:fill="FFFFFF"/>
                  <w:tcW w:w="2268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monthly_to_total</w:t>
                  </w:r>
                </w:p>
              </w:tc>
              <w:tc>
                <w:tcPr>
                  <w:tcW w:type="dxa" w:w="2147"/>
                  <w:shd w:val="clear" w:color="auto" w:fill="FFFFFF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衍生特征</w:t>
                  </w:r>
                </w:p>
              </w:tc>
              <w:tc>
                <w:tcPr>
                  <w:tcW w:type="dxa" w:w="2147"/>
                  <w:shd w:val="clear" w:color="auto" w:fill="FFFFFF"/>
                  <w:tcW w:w="3685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消费新鲜度：比值高的客户较新，价格敏感性强，流失意愿高</w:t>
                  </w:r>
                </w:p>
              </w:tc>
            </w:tr>
            <w:tr>
              <w:tc>
                <w:tcPr>
                  <w:tcW w:type="dxa" w:w="2147"/>
                  <w:shd w:val="clear" w:color="auto" w:fill="EBF3FB"/>
                  <w:tcW w:w="141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Top-4</w:t>
                  </w:r>
                </w:p>
              </w:tc>
              <w:tc>
                <w:tcPr>
                  <w:tcW w:type="dxa" w:w="2147"/>
                  <w:shd w:val="clear" w:color="auto" w:fill="EBF3FB"/>
                  <w:tcW w:w="2268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MonthlyCharges / TotalCharges</w:t>
                  </w:r>
                </w:p>
              </w:tc>
              <w:tc>
                <w:tcPr>
                  <w:tcW w:type="dxa" w:w="2147"/>
                  <w:shd w:val="clear" w:color="auto" w:fill="EBF3FB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原始数值特征</w:t>
                  </w:r>
                </w:p>
              </w:tc>
              <w:tc>
                <w:tcPr>
                  <w:tcW w:type="dxa" w:w="2147"/>
                  <w:shd w:val="clear" w:color="auto" w:fill="EBF3FB"/>
                  <w:tcW w:w="3685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高月费绝对水平和低累计消费（新客）叠加，是复合风险信号</w:t>
                  </w:r>
                </w:p>
              </w:tc>
            </w:tr>
            <w:tr>
              <w:tc>
                <w:tcPr>
                  <w:tcW w:type="dxa" w:w="2147"/>
                  <w:shd w:val="clear" w:color="auto" w:fill="FFFFFF"/>
                  <w:tcW w:w="141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Top-5</w:t>
                  </w:r>
                </w:p>
              </w:tc>
              <w:tc>
                <w:tcPr>
                  <w:tcW w:type="dxa" w:w="2147"/>
                  <w:shd w:val="clear" w:color="auto" w:fill="FFFFFF"/>
                  <w:tcW w:w="2268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InternetService_Fiber optic</w:t>
                  </w:r>
                </w:p>
              </w:tc>
              <w:tc>
                <w:tcPr>
                  <w:tcW w:type="dxa" w:w="2147"/>
                  <w:shd w:val="clear" w:color="auto" w:fill="FFFFFF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One-Hot</w:t>
                  </w:r>
                </w:p>
              </w:tc>
              <w:tc>
                <w:tcPr>
                  <w:tcW w:type="dxa" w:w="2147"/>
                  <w:shd w:val="clear" w:color="auto" w:fill="FFFFFF"/>
                  <w:tcW w:w="3685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光纤宽带用户月费高、期望高，一旦服务体验不达预期流失率最高</w:t>
                  </w:r>
                </w:p>
              </w:tc>
            </w:tr>
            <w:tr>
              <w:tc>
                <w:tcPr>
                  <w:tcW w:type="dxa" w:w="2147"/>
                  <w:shd w:val="clear" w:color="auto" w:fill="EBF3FB"/>
                  <w:tcW w:w="1417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Top-6~10</w:t>
                  </w:r>
                </w:p>
              </w:tc>
              <w:tc>
                <w:tcPr>
                  <w:tcW w:type="dxa" w:w="2147"/>
                  <w:shd w:val="clear" w:color="auto" w:fill="EBF3FB"/>
                  <w:tcW w:w="2268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num_services、risky_combo</w:t>
                    <w:br/>
                    <w:t>PaperlessBilling、is_new_customer等</w:t>
                  </w:r>
                </w:p>
              </w:tc>
              <w:tc>
                <w:tcPr>
                  <w:tcW w:type="dxa" w:w="2147"/>
                  <w:shd w:val="clear" w:color="auto" w:fill="EBF3FB"/>
                  <w:tcW w:w="1701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混合</w:t>
                  </w:r>
                </w:p>
              </w:tc>
              <w:tc>
                <w:tcPr>
                  <w:tcW w:type="dxa" w:w="2147"/>
                  <w:shd w:val="clear" w:color="auto" w:fill="EBF3FB"/>
                  <w:tcW w:w="3685" w:type="dxa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sz w:val="20"/>
                    </w:rPr>
                    <w:t>衍生特征 risky_combo 排名靠前，验证了特征工程的有效性</w:t>
                  </w:r>
                </w:p>
              </w:tc>
            </w:tr>
            <w:tr>
              <w:tc>
                <w:tcPr>
                  <w:tcW w:type="dxa" w:w="8588"/>
                  <w:gridSpan w:val="4"/>
                  <w:shd w:val="clear" w:color="auto" w:fill="F2F2F2"/>
                  <w:tcW w:w="1417" w:type="dxa"/>
                  <w:tcW w:w="2268" w:type="dxa"/>
                  <w:tcW w:w="1701" w:type="dxa"/>
                  <w:tcW w:w="3685" w:type="dxa"/>
                </w:tcPr>
                <w:p>
                  <w:pPr>
                    <w:spacing w:before="20" w:after="20"/>
                  </w:pPr>
                  <w:r>
                    <w:rPr>
                      <w:rFonts w:eastAsia="宋体"/>
                      <w:rFonts w:ascii="宋体" w:hAnsi="宋体"/>
                      <w:b w:val="0"/>
                      <w:i w:val="0"/>
                      <w:color w:val="606060"/>
                      <w:sz w:val="18"/>
                    </w:rPr>
                    <w:t>注：Gini Importance 对高基数特征略有偏差，但在本数据集中与业务认知高度吻合</w:t>
                  </w:r>
                </w:p>
              </w:tc>
            </w:tr>
          </w:tbl>
          <w:p/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</w:r>
          </w:p>
          <w:p>
            <w:pPr>
              <w:spacing w:before="120" w:after="40" w:line="240" w:lineRule="auto"/>
            </w:pPr>
            <w:r>
              <w:rPr>
                <w:rFonts w:eastAsia="宋体"/>
                <w:rFonts w:ascii="宋体" w:hAnsi="宋体"/>
                <w:b/>
                <w:i w:val="0"/>
                <w:sz w:val="24"/>
              </w:rPr>
              <w:t>4.4 实验结论与改进方向</w:t>
            </w:r>
          </w:p>
          <w:p>
            <w:pPr>
              <w:spacing w:before="0" w:after="6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① 决策树在本数据集的性能边界：经过充分特征工程（10个衍生特征）、CCP 剪枝、210组参数网格搜索和 三种不平衡策略对比，最优单棵 DT（UnderSample）测试 AUC=0.8356。该结果已逼近单棵决策树在 Telco 数据集上的合理性能上限，进一步提升需要集成方法（Random Forest、XGBoost）；</w:t>
            </w:r>
          </w:p>
          <w:p>
            <w:pPr>
              <w:spacing w:before="0" w:after="6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② 特征工程的有效性：10个衍生特征中 risky_combo、monthly_to_total 进入特征重要性 Top-10，验证了业务驱动特征工程的价值。特别是 risky_combo（月付合约+新客户组合风险）直接在原始 特征空间中显式表达了决策树需要两层分裂才能学到的规则，减少了树深度需求；</w:t>
            </w:r>
          </w:p>
          <w:p>
            <w:pPr>
              <w:spacing w:before="0" w:after="6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③ SMOTE Pipeline 防泄露的重要性：Pipeline 内部执行与外部执行的 CV-AUC 差距高达 0.0659，但测试 AUC 差异仅 0.0111，充分说明预先执行 SMOTE 导致了严重的 CV 估计虚高。这是类别不平衡处理中最容易被忽视、危害最大的数据泄露场景；</w:t>
            </w:r>
          </w:p>
          <w:p>
            <w:pPr>
              <w:spacing w:before="0" w:after="6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④ 不平衡处理策略的业务选择建议：若以最小化漏报（FN）为首要目标（如主动挽留电话外呼），推荐 ClassWeight 策略（FN=74，Recall=0.802）；若以最精准的营销为目标（控制误扰），推荐 SMOTE Pipeline 策略（FP=234，Precision=0.533）；若以最高整体排序能力为目标，推荐 UnderSample 策略（AUC=0.8356 最优）；</w:t>
            </w:r>
          </w:p>
          <w:p>
            <w:pPr>
              <w:spacing w:before="0" w:after="6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⑤ DT 与 LR 的对比认识：LR（AUC=0.8489）略高于最优 DT（0.8356），差距 0.0133。这说明在特征工程充分后，该数据集具有较强的线性可分性，LR 的简单线性边界即可取得竞争力。要突破此性能边界，建议引入 Random Forest（预估 AUC 0.87+）或 XGBoost（预估 AUC 0.89+），它们能通过集成多棵树自动捕捉 LR 和单棵 DT 均无法处理的高阶非线性交互；</w:t>
            </w:r>
          </w:p>
          <w:p>
            <w:pPr>
              <w:spacing w:before="0" w:after="6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i w:val="0"/>
                <w:sz w:val="24"/>
              </w:rPr>
              <w:t>⑥ 工程最佳实践总结：① 数据预处理需检查 object 类型的数值列（TotalCharges 案例）；② 编码策略应遵循"有序保序，无序展开"原则；③ SMOTE 必须放入 Pipeline；④ GridSearchCV 在不平衡场景下务必使用 roc_auc 而非 accuracy 评分；⑤ 特征重要性分析与业务认知交叉验证，是检验模型可靠性的有效手段。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0440" w:h="14740"/>
      <w:pgMar w:left="1588" w:right="1588" w:gutter="0" w:header="851" w:top="1134" w:footer="737" w:bottom="1134"/>
      <w:pgNumType w:start="0" w:fmt="decimal"/>
      <w:formProt w:val="false"/>
      <w:titlePg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楷体_GB2312">
    <w:altName w:val="楷体"/>
    <w:charset w:val="86"/>
    <w:family w:val="modern"/>
    <w:pitch w:val="default"/>
  </w:font>
  <w:font w:name="仿宋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仿宋" w:hAnsi="仿宋" w:eastAsia="仿宋" w:cs="仿宋"/>
        <w:b/>
        <w:b/>
        <w:bCs/>
      </w:rPr>
    </w:pPr>
    <w:r>
      <w:rPr>
        <w:rFonts w:ascii="仿宋" w:hAnsi="仿宋" w:cs="仿宋" w:eastAsia="仿宋"/>
        <w:b/>
        <w:bCs/>
      </w:rPr>
      <w:t>重庆大学国家卓越工程师学院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仿宋" w:hAnsi="仿宋" w:eastAsia="仿宋" w:cs="仿宋"/>
        <w:b/>
        <w:b/>
        <w:bCs/>
      </w:rPr>
    </w:pPr>
    <w:r>
      <w:rPr>
        <w:rFonts w:ascii="仿宋" w:hAnsi="仿宋" w:cs="仿宋" w:eastAsia="仿宋"/>
        <w:b/>
        <w:bCs/>
      </w:rPr>
      <w:t>重庆大学国家卓越工程师学院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2"/>
      <w:numFmt w:val="taiwaneseCountingThousand"/>
      <w:suff w:val="nothing"/>
      <w:lvlText w:val="%1、"/>
      <w:lvlJc w:val="left"/>
      <w:pPr>
        <w:tabs>
          <w:tab w:val="num" w:pos="0"/>
        </w:tabs>
        <w:ind w:left="0" w:hanging="0"/>
      </w:pPr>
    </w:lvl>
  </w:abstractNum>
  <w:abstractNum w:abstractNumId="3">
    <w:lvl w:ilvl="0">
      <w:start w:val="1"/>
      <w:numFmt w:val="taiwaneseCountingThousand"/>
      <w:suff w:val="nothing"/>
      <w:lvlText w:val="%1、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suff w:val="nothing"/>
      <w:lvlText w:val="%2．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suff w:val="nothing"/>
      <w:lvlText w:val="（%3）"/>
      <w:lvlJc w:val="left"/>
      <w:pPr>
        <w:tabs>
          <w:tab w:val="num" w:pos="0"/>
        </w:tabs>
        <w:ind w:left="0" w:hanging="0"/>
      </w:pPr>
    </w:lvl>
    <w:lvl w:ilvl="3">
      <w:start w:val="1"/>
      <w:numFmt w:val="decimalEnclosedCircl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suff w:val="nothing"/>
      <w:lvlText w:val="%5）"/>
      <w:lvlJc w:val="left"/>
      <w:pPr>
        <w:tabs>
          <w:tab w:val="num" w:pos="0"/>
        </w:tabs>
        <w:ind w:left="0" w:hanging="0"/>
      </w:pPr>
    </w:lvl>
    <w:lvl w:ilvl="5">
      <w:start w:val="1"/>
      <w:numFmt w:val="lowerLetter"/>
      <w:suff w:val="nothing"/>
      <w:lvlText w:val="%6．"/>
      <w:lvlJc w:val="left"/>
      <w:pPr>
        <w:tabs>
          <w:tab w:val="num" w:pos="0"/>
        </w:tabs>
        <w:ind w:left="0" w:hanging="0"/>
      </w:pPr>
    </w:lvl>
    <w:lvl w:ilvl="6">
      <w:start w:val="1"/>
      <w:numFmt w:val="lowerLetter"/>
      <w:suff w:val="nothing"/>
      <w:lvlText w:val="%7）"/>
      <w:lvlJc w:val="left"/>
      <w:pPr>
        <w:tabs>
          <w:tab w:val="num" w:pos="0"/>
        </w:tabs>
        <w:ind w:left="0" w:hanging="0"/>
      </w:pPr>
    </w:lvl>
    <w:lvl w:ilvl="7">
      <w:start w:val="1"/>
      <w:numFmt w:val="lowerRoman"/>
      <w:suff w:val="nothing"/>
      <w:lvlText w:val="%8．"/>
      <w:lvlJc w:val="left"/>
      <w:pPr>
        <w:tabs>
          <w:tab w:val="num" w:pos="0"/>
        </w:tabs>
        <w:ind w:left="0" w:hanging="0"/>
      </w:pPr>
    </w:lvl>
    <w:lvl w:ilvl="8">
      <w:start w:val="1"/>
      <w:numFmt w:val="lowerRoman"/>
      <w:suff w:val="nothing"/>
      <w:lvlText w:val="%9）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0" w:after="100"/>
      <w:jc w:val="left"/>
      <w:outlineLvl w:val="0"/>
    </w:pPr>
    <w:rPr>
      <w:rFonts w:ascii="宋体" w:hAnsi="宋体" w:eastAsia="宋体" w:cs="宋体"/>
      <w:b/>
      <w:kern w:val="2"/>
      <w:sz w:val="48"/>
      <w:szCs w:val="48"/>
      <w:lang w:val="en-US" w:eastAsia="zh-CN" w:bidi="ar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before="100" w:after="100"/>
      <w:jc w:val="left"/>
      <w:outlineLvl w:val="1"/>
    </w:pPr>
    <w:rPr>
      <w:rFonts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100" w:after="100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before="100" w:after="100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styleId="Style10">
    <w:name w:val="默认段落字体"/>
    <w:qFormat/>
    <w:rPr/>
  </w:style>
  <w:style w:type="character" w:styleId="StrongEmphasis">
    <w:name w:val="Strong Emphasis"/>
    <w:qFormat/>
    <w:rPr>
      <w:b/>
    </w:rPr>
  </w:style>
  <w:style w:type="character" w:styleId="PageNumber">
    <w:name w:val="Page Number"/>
    <w:rPr/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kern w:val="2"/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HTML">
    <w:name w:val="HTML 预设格式"/>
    <w:basedOn w:val="Normal"/>
    <w:qFormat/>
    <w:pPr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宋体" w:hAnsi="宋体" w:eastAsia="宋体" w:cs="宋体"/>
      <w:kern w:val="0"/>
      <w:sz w:val="24"/>
      <w:szCs w:val="24"/>
      <w:lang w:val="en-US" w:eastAsia="zh-CN" w:bidi="ar"/>
    </w:rPr>
  </w:style>
  <w:style w:type="paragraph" w:styleId="Style11">
    <w:name w:val="普通(网站)"/>
    <w:basedOn w:val="Normal"/>
    <w:qFormat/>
    <w:pPr>
      <w:spacing w:before="100" w:after="100"/>
      <w:ind w:left="0" w:right="0" w:hanging="0"/>
      <w:jc w:val="left"/>
    </w:pPr>
    <w:rPr>
      <w:kern w:val="0"/>
      <w:sz w:val="24"/>
      <w:lang w:val="en-US" w:eastAsia="zh-CN" w:bidi="ar"/>
    </w:rPr>
  </w:style>
  <w:style w:type="paragraph" w:styleId="Style12">
    <w:name w:val="列表段落"/>
    <w:basedOn w:val="Normal"/>
    <w:qFormat/>
    <w:pPr>
      <w:ind w:firstLine="42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2024-01-03T11:02:00Z</dcterms:created>
  <dc:creator>chasel</dc:creator>
  <dc:description/>
  <dc:language>en-US</dc:language>
  <cp:lastModifiedBy>朱康友</cp:lastModifiedBy>
  <dcterms:modified xsi:type="dcterms:W3CDTF">2026-03-09T02:33:08Z</dcterms:modified>
  <cp:revision>41</cp:revision>
  <dc:subject/>
  <dc:title>《操作系统》实验报告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3C58AE22AAD248D1A0DA8F3822A8D29F_13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eyJoZGlkIjoiMjA4MTlmYTk3MWJlOWU1OTQwZDA4NTk2YjQ1MDg0ZTEiLCJ1c2VySWQiOiI3MTY1NzI0OTcifQ==</vt:lpwstr>
  </property>
  <property fmtid="{D5CDD505-2E9C-101B-9397-08002B2CF9AE}" pid="5" name="commondata">
    <vt:lpwstr>commondata</vt:lpwstr>
  </property>
</Properties>
</file>