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A0878">
      <w:pPr>
        <w:jc w:val="center"/>
        <w:rPr>
          <w:rFonts w:ascii="SimSun" w:hAnsi="SimSun" w:cs="SimSun"/>
          <w:b/>
          <w:sz w:val="32"/>
        </w:rPr>
      </w:pPr>
      <w:r>
        <w:rPr>
          <w:rFonts w:ascii="SimSun" w:hAnsi="SimSun" w:cs="SimSun"/>
          <w:b/>
          <w:sz w:val="32"/>
        </w:rPr>
        <w:t>《 机器学习 》实验报告</w:t>
      </w:r>
    </w:p>
    <w:p w14:paraId="01896347">
      <w:pPr>
        <w:jc w:val="right"/>
        <w:rPr>
          <w:rFonts w:ascii="SimSun" w:hAnsi="SimSun" w:cs="SimSun"/>
          <w:b/>
          <w:sz w:val="32"/>
        </w:rPr>
      </w:pPr>
    </w:p>
    <w:tbl>
      <w:tblPr>
        <w:tblStyle w:val="11"/>
        <w:tblW w:w="85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547"/>
        <w:gridCol w:w="1239"/>
        <w:gridCol w:w="1648"/>
        <w:gridCol w:w="1016"/>
        <w:gridCol w:w="2707"/>
      </w:tblGrid>
      <w:tr w14:paraId="54A4B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49A606">
            <w:pPr>
              <w:spacing w:line="480" w:lineRule="exact"/>
              <w:ind w:left="-42" w:right="-51" w:firstLine="0"/>
              <w:jc w:val="center"/>
              <w:rPr>
                <w:rFonts w:ascii="SimSun" w:hAnsi="SimSun" w:eastAsia="SimSun" w:cs="SimSun"/>
                <w:b/>
                <w:sz w:val="24"/>
                <w:szCs w:val="24"/>
                <w:lang w:val="en-US" w:eastAsia="zh-CN"/>
              </w:rPr>
            </w:pPr>
            <w:r>
              <w:rPr>
                <w:rFonts w:ascii="SimSun" w:hAnsi="SimSun" w:cs="SimSun"/>
                <w:b/>
                <w:sz w:val="24"/>
                <w:szCs w:val="24"/>
                <w:lang w:val="en-US" w:eastAsia="zh-CN"/>
              </w:rPr>
              <w:t>专业,学号</w:t>
            </w:r>
          </w:p>
        </w:tc>
        <w:tc>
          <w:tcPr>
            <w:tcW w:w="28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BBC9B">
            <w:pPr>
              <w:ind w:right="-51" w:firstLine="0"/>
              <w:jc w:val="center"/>
              <w:rPr>
                <w:rFonts w:ascii="SimSun" w:hAnsi="SimSun" w:cs="SimSun"/>
                <w:bCs/>
                <w:sz w:val="24"/>
                <w:szCs w:val="24"/>
              </w:rPr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专业：电子信息工程     学号：202530131059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0470AD">
            <w:pPr>
              <w:spacing w:line="480" w:lineRule="exact"/>
              <w:ind w:right="-51" w:firstLine="0"/>
              <w:jc w:val="center"/>
              <w:rPr>
                <w:rFonts w:ascii="SimSun" w:hAnsi="SimSun" w:eastAsia="SimSun" w:cs="SimSun"/>
                <w:b/>
                <w:sz w:val="24"/>
                <w:szCs w:val="24"/>
                <w:lang w:eastAsia="zh-CN"/>
              </w:rPr>
            </w:pPr>
            <w:r>
              <w:rPr>
                <w:rFonts w:ascii="SimSun" w:hAnsi="SimSun" w:cs="SimSun"/>
                <w:b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2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E0CA28">
            <w:pPr>
              <w:snapToGrid w:val="0"/>
              <w:ind w:right="-51" w:firstLine="0"/>
              <w:jc w:val="center"/>
              <w:rPr>
                <w:rFonts w:ascii="SimSun" w:hAnsi="SimSun" w:eastAsia="SimSun" w:cs="SimSu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高夕茹</w:t>
            </w:r>
          </w:p>
        </w:tc>
      </w:tr>
      <w:tr w14:paraId="3D49E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38AC34">
            <w:pPr>
              <w:spacing w:line="480" w:lineRule="exact"/>
              <w:ind w:left="-42" w:right="-5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eastAsia="SimSun"/>
                <w:b/>
                <w:i w:val="0"/>
                <w:sz w:val="24"/>
              </w:rPr>
              <w:t>实验题目：</w:t>
            </w:r>
          </w:p>
        </w:tc>
        <w:tc>
          <w:tcPr>
            <w:tcW w:w="715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A72FA0">
            <w:pPr>
              <w:snapToGrid w:val="0"/>
              <w:spacing w:line="480" w:lineRule="exact"/>
              <w:ind w:right="-51" w:firstLine="0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eastAsia="SimSun"/>
                <w:b/>
                <w:i w:val="0"/>
                <w:sz w:val="24"/>
              </w:rPr>
              <w:t>基于决策树算法的电信客户流失预测</w:t>
            </w:r>
          </w:p>
        </w:tc>
      </w:tr>
      <w:tr w14:paraId="58740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5C6124">
            <w:pPr>
              <w:spacing w:line="400" w:lineRule="exact"/>
              <w:ind w:left="-40" w:right="-5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实验时间：</w:t>
            </w:r>
          </w:p>
        </w:tc>
        <w:tc>
          <w:tcPr>
            <w:tcW w:w="17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638BE3">
            <w:pPr>
              <w:snapToGrid w:val="0"/>
              <w:spacing w:line="400" w:lineRule="exact"/>
              <w:ind w:left="-40" w:right="-5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2026</w:t>
            </w:r>
            <w:r>
              <w:rPr>
                <w:rFonts w:hint="eastAsia" w:ascii="SimSun" w:hAnsi="SimSun" w:eastAsia="SimSun"/>
                <w:b w:val="0"/>
                <w:i w:val="0"/>
                <w:sz w:val="24"/>
                <w:lang w:val="en-US" w:eastAsia="zh-CN"/>
              </w:rPr>
              <w:t>-</w:t>
            </w:r>
            <w:r>
              <w:rPr>
                <w:rFonts w:ascii="SimSun" w:hAnsi="SimSun" w:eastAsia="SimSun"/>
                <w:b w:val="0"/>
                <w:i w:val="0"/>
                <w:sz w:val="24"/>
              </w:rPr>
              <w:t>3</w:t>
            </w:r>
            <w:r>
              <w:rPr>
                <w:rFonts w:hint="eastAsia" w:ascii="SimSun" w:hAnsi="SimSun" w:eastAsia="SimSun"/>
                <w:b w:val="0"/>
                <w:i w:val="0"/>
                <w:sz w:val="24"/>
                <w:lang w:val="en-US" w:eastAsia="zh-CN"/>
              </w:rPr>
              <w:t>-</w:t>
            </w:r>
            <w:r>
              <w:rPr>
                <w:rFonts w:ascii="SimSun" w:hAnsi="SimSun" w:eastAsia="SimSun"/>
                <w:b w:val="0"/>
                <w:i w:val="0"/>
                <w:sz w:val="24"/>
              </w:rPr>
              <w:t>20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850636">
            <w:pPr>
              <w:spacing w:line="400" w:lineRule="exact"/>
              <w:ind w:left="-40" w:right="-5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cs="SimSun"/>
                <w:b/>
                <w:sz w:val="24"/>
                <w:szCs w:val="24"/>
              </w:rPr>
              <w:t>实验地点</w:t>
            </w:r>
          </w:p>
        </w:tc>
        <w:tc>
          <w:tcPr>
            <w:tcW w:w="37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B6157">
            <w:pPr>
              <w:spacing w:line="400" w:lineRule="exact"/>
              <w:ind w:left="-40" w:right="-51" w:firstLine="0"/>
              <w:jc w:val="center"/>
              <w:rPr>
                <w:rFonts w:hint="default" w:ascii="SimSun" w:hAnsi="SimSun" w:eastAsia="SimSun" w:cs="SimSun"/>
                <w:b/>
                <w:sz w:val="24"/>
                <w:szCs w:val="24"/>
                <w:lang w:val="en-US" w:eastAsia="zh-CN"/>
              </w:rPr>
            </w:pPr>
            <w:r>
              <w:rPr>
                <w:rFonts w:ascii="SimSun" w:hAnsi="SimSun" w:cs="SimSun"/>
                <w:bCs/>
                <w:sz w:val="24"/>
                <w:szCs w:val="24"/>
              </w:rPr>
              <w:t>卓越工程师学院</w:t>
            </w:r>
            <w:r>
              <w:rPr>
                <w:rFonts w:hint="eastAsia" w:ascii="SimSun" w:hAnsi="SimSun" w:cs="SimSun"/>
                <w:bCs/>
                <w:sz w:val="24"/>
                <w:szCs w:val="24"/>
                <w:lang w:val="en-US" w:eastAsia="zh-CN"/>
              </w:rPr>
              <w:t>C-301</w:t>
            </w:r>
            <w:bookmarkStart w:id="0" w:name="_GoBack"/>
            <w:bookmarkEnd w:id="0"/>
          </w:p>
        </w:tc>
      </w:tr>
      <w:tr w14:paraId="2840E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DC33FA">
            <w:pPr>
              <w:spacing w:line="400" w:lineRule="exact"/>
              <w:ind w:left="-40" w:right="-5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cs="SimSun"/>
                <w:b/>
                <w:sz w:val="24"/>
                <w:szCs w:val="24"/>
              </w:rPr>
              <w:t>实验成绩</w:t>
            </w:r>
          </w:p>
        </w:tc>
        <w:tc>
          <w:tcPr>
            <w:tcW w:w="17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6F608A">
            <w:pPr>
              <w:snapToGrid w:val="0"/>
              <w:spacing w:line="480" w:lineRule="exact"/>
              <w:ind w:left="-42" w:right="171" w:firstLine="240"/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1D47FA">
            <w:pPr>
              <w:spacing w:line="480" w:lineRule="exact"/>
              <w:ind w:left="-42" w:right="17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cs="SimSun"/>
                <w:b/>
                <w:sz w:val="24"/>
                <w:szCs w:val="24"/>
              </w:rPr>
              <w:t xml:space="preserve"> 实验性质</w:t>
            </w:r>
          </w:p>
        </w:tc>
        <w:tc>
          <w:tcPr>
            <w:tcW w:w="37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6EF3A">
            <w:pPr>
              <w:spacing w:line="480" w:lineRule="exact"/>
              <w:ind w:left="-42" w:right="17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cs="SimSun"/>
                <w:b/>
                <w:sz w:val="24"/>
                <w:szCs w:val="24"/>
                <w:lang w:eastAsia="zh-CN"/>
              </w:rPr>
              <w:t>□</w:t>
            </w:r>
            <w:r>
              <w:rPr>
                <w:rFonts w:ascii="SimSun" w:hAnsi="SimSun" w:cs="SimSun"/>
                <w:b/>
                <w:sz w:val="24"/>
                <w:szCs w:val="24"/>
              </w:rPr>
              <w:t xml:space="preserve">验证性  </w:t>
            </w:r>
            <w:r>
              <w:rPr>
                <w:rFonts w:ascii="SimSun" w:hAnsi="SimSun" w:cs="SimSun"/>
                <w:b/>
                <w:sz w:val="24"/>
                <w:szCs w:val="24"/>
                <w:lang w:eastAsia="zh-CN"/>
              </w:rPr>
              <w:t>□</w:t>
            </w:r>
            <w:r>
              <w:rPr>
                <w:rFonts w:ascii="SimSun" w:hAnsi="SimSun" w:cs="SimSun"/>
                <w:b/>
                <w:sz w:val="24"/>
                <w:szCs w:val="24"/>
              </w:rPr>
              <w:t xml:space="preserve">设计性  </w:t>
            </w:r>
            <w:r>
              <w:rPr>
                <w:rFonts w:ascii="SimSun" w:hAnsi="SimSun" w:cs="SimSun"/>
                <w:b/>
                <w:sz w:val="24"/>
                <w:szCs w:val="24"/>
                <w:lang w:eastAsia="zh-CN"/>
              </w:rPr>
              <w:t>☑</w:t>
            </w:r>
            <w:r>
              <w:rPr>
                <w:rFonts w:ascii="SimSun" w:hAnsi="SimSun" w:cs="SimSun"/>
                <w:b/>
                <w:sz w:val="24"/>
                <w:szCs w:val="24"/>
              </w:rPr>
              <w:t>综合性</w:t>
            </w:r>
          </w:p>
        </w:tc>
      </w:tr>
      <w:tr w14:paraId="25E1C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85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7347BC1">
            <w:pPr>
              <w:spacing w:line="480" w:lineRule="exact"/>
              <w:ind w:right="-51" w:firstLine="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/>
                <w:sz w:val="24"/>
                <w:szCs w:val="24"/>
              </w:rPr>
              <w:t>教师评价：</w:t>
            </w:r>
          </w:p>
          <w:p w14:paraId="0766C717">
            <w:pPr>
              <w:spacing w:line="480" w:lineRule="exact"/>
              <w:ind w:right="-51" w:firstLine="0"/>
              <w:rPr>
                <w:rFonts w:ascii="楷体_GB2312;楷体" w:hAnsi="楷体_GB2312;楷体" w:eastAsia="楷体_GB2312;楷体"/>
              </w:rPr>
            </w:pPr>
            <w:r>
              <w:rPr>
                <w:rFonts w:ascii="楷体_GB2312;楷体" w:hAnsi="楷体_GB2312;楷体" w:eastAsia="楷体_GB2312;楷体" w:cs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算法/实验过程正确；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源程序/实验内容提交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程序结构/实验步骤合理；</w:t>
            </w:r>
          </w:p>
          <w:p w14:paraId="5FEDFAA6">
            <w:pPr>
              <w:spacing w:line="480" w:lineRule="exact"/>
              <w:ind w:right="-51" w:firstLine="0"/>
              <w:rPr>
                <w:rFonts w:ascii="楷体_GB2312;楷体" w:hAnsi="楷体_GB2312;楷体" w:eastAsia="楷体_GB2312;楷体"/>
              </w:rPr>
            </w:pPr>
            <w:r>
              <w:rPr>
                <w:rFonts w:ascii="楷体_GB2312;楷体" w:hAnsi="楷体_GB2312;楷体" w:eastAsia="楷体_GB2312;楷体" w:cs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实验结果正确；   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语法、语义正确；   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报告规范；</w:t>
            </w:r>
            <w:r>
              <w:rPr>
                <w:rFonts w:ascii="楷体_GB2312;楷体" w:hAnsi="楷体_GB2312;楷体" w:eastAsia="楷体_GB2312;楷体"/>
                <w:sz w:val="24"/>
              </w:rPr>
              <w:t xml:space="preserve">         </w:t>
            </w:r>
            <w:r>
              <w:rPr>
                <w:rFonts w:ascii="楷体_GB2312;楷体" w:hAnsi="楷体_GB2312;楷体" w:eastAsia="楷体_GB2312;楷体"/>
              </w:rPr>
              <w:t xml:space="preserve">  </w:t>
            </w:r>
          </w:p>
          <w:p w14:paraId="7D2C0BD1">
            <w:pPr>
              <w:spacing w:line="480" w:lineRule="exact"/>
              <w:ind w:right="-51" w:firstLine="0"/>
              <w:rPr>
                <w:rFonts w:ascii="楷体_GB2312;楷体" w:hAnsi="楷体_GB2312;楷体" w:eastAsia="楷体_GB2312;楷体"/>
              </w:rPr>
            </w:pPr>
            <w:r>
              <w:rPr>
                <w:rFonts w:ascii="楷体_GB2312;楷体" w:hAnsi="楷体_GB2312;楷体" w:eastAsia="楷体_GB2312;楷体"/>
              </w:rPr>
              <w:t>其他：</w:t>
            </w:r>
          </w:p>
          <w:p w14:paraId="2FC70969">
            <w:pPr>
              <w:spacing w:line="480" w:lineRule="exact"/>
              <w:ind w:right="-51" w:firstLine="0"/>
              <w:rPr>
                <w:rFonts w:ascii="SimSun" w:hAnsi="SimSun"/>
              </w:rPr>
            </w:pPr>
            <w:r>
              <w:rPr>
                <w:rFonts w:ascii="SimSun" w:hAnsi="SimSun" w:cs="SimSun"/>
              </w:rPr>
              <w:t xml:space="preserve">                                          </w:t>
            </w:r>
            <w:r>
              <w:rPr>
                <w:rFonts w:ascii="SimSun" w:hAnsi="SimSun"/>
              </w:rPr>
              <w:t xml:space="preserve">评价教师签名： </w:t>
            </w:r>
          </w:p>
        </w:tc>
      </w:tr>
      <w:tr w14:paraId="0FC07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85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F61F8E0">
            <w:pPr>
              <w:numPr>
                <w:ilvl w:val="0"/>
                <w:numId w:val="2"/>
              </w:numPr>
              <w:spacing w:line="480" w:lineRule="exact"/>
              <w:ind w:left="0" w:right="-51" w:firstLine="0"/>
              <w:rPr>
                <w:rFonts w:ascii="SimSun" w:hAnsi="SimSun" w:cs="SimSun"/>
                <w:b/>
                <w:sz w:val="24"/>
              </w:rPr>
            </w:pPr>
          </w:p>
          <w:p w14:paraId="21E4C66F">
            <w:pPr>
              <w:spacing w:before="0" w:after="6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一、实验目的</w:t>
            </w:r>
          </w:p>
          <w:p w14:paraId="4C8D7A7C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1. 掌握决策树（Decision Tree / CART 算法）的数学原理与工程实现。深入理解节点分裂准则（基尼系数 Gini Impurity 与信息增益 Information Gain）的计算方式、物理含义及适用场景；理解树深度（max_depth）、最小叶节点样本数（min_samples_leaf）、成本复杂度剪枝（ccp_alpha）等超参数对模型复杂度、偏差-方差权衡的影响机制。</w:t>
            </w:r>
          </w:p>
          <w:p w14:paraId="70975FBD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2. 在真实电信客户流失数据集（Telco Customer Churn，7043条记录，21个原始特征）上完成端到端的机器学习工程流程：数据清洗→特征工程（标签编码/One-Hot编码/二值化）→类别不平衡处理→超参数调优→多维度性能评估，形成完整的工业级实验范式。</w:t>
            </w:r>
          </w:p>
          <w:p w14:paraId="6537CB13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3. 深入理解电信行业客户流失（Churn Prediction）场景中的类别不平衡问题：数据集中约73.5%的客户未流失，26.5%流失，若直接训练将产生"多数类偏见"。本实验系统对比三种主流应对策略：SMOTE 合成过采样、RandomUnderSampler 欠采样、class_weight='balanced' 损失权重调节，并分析各策略在不同业务指标（Precision/Recall/F1/AUC）上的差异化表现。</w:t>
            </w:r>
          </w:p>
          <w:p w14:paraId="14324A59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4. 掌握网格搜索（Grid Search）结合分层K折交叉验证（Stratified K-Fold CV，k=5）的超参数调优方法。理解为何以 roc_auc 作为调优评分指标而非 accuracy，以及各超参数（criterion、max_depth、min_samples_leaf、min_samples_split、ccp_alpha）的物理含义及其在参数网格中的设计依据。</w:t>
            </w:r>
          </w:p>
          <w:p w14:paraId="2771037A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5. 全面掌握类别不平衡场景下的多维性能评估体系：使用 classification_report 输出各类别的Precision（精确率）、Recall（召回率）、F1-Score（调和均值），绘制混淆矩阵（直观展示误报FP和漏报FN）、ROC曲线并计算AUC值（衡量模型对正负样本的整体排序能力），绘制特征重要性图（揭示决策树学习到的关键业务驱动因子）。</w:t>
            </w:r>
          </w:p>
          <w:p w14:paraId="6AB2E907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6. 以逻辑回归（Logistic Regression）作为对比基线，通过 ROC 曲线对比分析决策树与线性模型在非线性可分数据上的性能差异，深入思考两类模型的适用条件与局限性，为后续集成学习方法（Random Forest、XGBoost）的引入奠定理论认知基础。</w:t>
            </w:r>
          </w:p>
        </w:tc>
      </w:tr>
      <w:tr w14:paraId="3CFF9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  <w:jc w:val="center"/>
        </w:trPr>
        <w:tc>
          <w:tcPr>
            <w:tcW w:w="85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9DCB0FD">
            <w:pPr>
              <w:numPr>
                <w:ilvl w:val="0"/>
                <w:numId w:val="3"/>
              </w:numPr>
              <w:tabs>
                <w:tab w:val="left" w:pos="1140"/>
              </w:tabs>
              <w:rPr>
                <w:rFonts w:ascii="SimSun" w:hAnsi="SimSun" w:cs="SimSun"/>
                <w:b/>
                <w:sz w:val="24"/>
                <w:szCs w:val="24"/>
              </w:rPr>
            </w:pPr>
          </w:p>
          <w:p w14:paraId="2CC5C0BC">
            <w:pPr>
              <w:spacing w:before="0" w:after="6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二、实验项目内容</w:t>
            </w:r>
          </w:p>
          <w:p w14:paraId="65F60564">
            <w:pPr>
              <w:spacing w:before="120" w:after="40" w:line="240" w:lineRule="auto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（一）数据集简介</w:t>
            </w:r>
          </w:p>
          <w:p w14:paraId="5CC669FE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本实验使用 IBM Telco Customer Churn 数据集（Kaggle，https://www.kaggle.com/datasets/blastchar/telco-customer-churn），该数据集来源于电信运营商真实业务系统，记录了7043名用户的服务订阅情况与流失行为。原始数据集包含21个字段：1个客户ID（customerID，无信息，丢弃）、1个目标变量（Churn，Yes/No）、19个特征变量。</w:t>
            </w:r>
          </w:p>
          <w:p w14:paraId="42E34217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特征分三类：</w:t>
            </w:r>
          </w:p>
          <w:p w14:paraId="02F67B85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① 客户基本属性（4列）：gender（性别）、SeniorCitizen（是否老年用户，已为0/1）、Partner（是否有伴侣）、Dependents（是否有受抚养人）；</w:t>
            </w:r>
          </w:p>
          <w:p w14:paraId="5EE08321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② 服务订阅情况（12列）：tenure（在网时长，月）、PhoneService、MultipleLines、InternetService、OnlineSecurity、OnlineBackup、DeviceProtection、TechSupport、StreamingTV、StreamingMovies、Contract（合约类型）、PaperlessBilling、PaymentMethod；</w:t>
            </w:r>
          </w:p>
          <w:p w14:paraId="00D08E90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③ 账单信息（2列）：MonthlyCharges（月费，连续值）、TotalCharges（累计费用，原始为字符串，含11条空字符串需清洗）。</w:t>
            </w:r>
          </w:p>
          <w:p w14:paraId="62159D54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类别分布：未流失（No）5174条（73.46%），流失（Yes）1869条（26.54%）。正负样本比约1:2.77，存在中等程度的类别不平衡，是本实验核心挑战之一。经过特征编码后，最终特征维度为38维。</w:t>
            </w:r>
          </w:p>
          <w:p w14:paraId="254969FC">
            <w:pPr>
              <w:spacing w:before="120" w:after="40" w:line="240" w:lineRule="auto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（二）实验核心任务</w:t>
            </w:r>
          </w:p>
          <w:p w14:paraId="08204888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① 数据清洗：处理 TotalCharges 字段中因新用户（tenure=0）导致的11条空字符串，使用 MonthlyCharges 填充（新用户累计费即为当月费）；</w:t>
            </w:r>
          </w:p>
          <w:p w14:paraId="56F5403F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② 特征工程（编码）：gender 二值化（Male→1）；Partner/Dependents/PhoneService/PaperlessBilling 二值化（Yes→1）；Contract 有序编码（Month-to-month=0 &lt; One year=1 &lt; Two year=2，保留合约期与客户粘性的逻辑顺序）；InternetService/PaymentMethod/MultipleLines/OnlineSecurity/OnlineBackup/DeviceProtection/TechSupport/StreamingTV/StreamingMovies 共9列 One-Hot 编码；</w:t>
            </w:r>
          </w:p>
          <w:p w14:paraId="12EF02E8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③ 数据集划分与标准化：按 stratify=Churn 进行8:2 分层划分，StandardScaler 仅在训练集上 fit，测试集仅 transform，严格防止数据泄露；</w:t>
            </w:r>
          </w:p>
          <w:p w14:paraId="59CDBB68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④ 类别不平衡处理：SMOTE（过采样，sampling_strategy=0.5）/ RandomUnderSampler（欠采样）/ class_weight='balanced'（权重调节）三种策略；</w:t>
            </w:r>
          </w:p>
          <w:p w14:paraId="236970F4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⑤ 超参数调优：GridSearchCV 在5维参数空间（criterion×max_depth×min_samples_leaf×min_samples_split×ccp_alpha）共432种组合上网格搜索，5折分层CV，scoring=roc_auc；</w:t>
            </w:r>
          </w:p>
          <w:p w14:paraId="355923F8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⑥ 性能评估与可视化：classification_report（Precision/Recall/F1）、混淆矩阵、ROC曲线（含LR基线对比）、特征重要性，全面评估模型在测试集上的表现；</w:t>
            </w:r>
          </w:p>
          <w:p w14:paraId="43348197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⑦ 对比分析：同时训练逻辑回归基线模型，在 ROC 曲线图中叠加展示，深入分析决策树与线性模型的性能差异及原因。</w:t>
            </w:r>
          </w:p>
        </w:tc>
      </w:tr>
      <w:tr w14:paraId="620A3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4" w:hRule="atLeast"/>
          <w:jc w:val="center"/>
        </w:trPr>
        <w:tc>
          <w:tcPr>
            <w:tcW w:w="85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20DA1B1">
            <w:pPr>
              <w:tabs>
                <w:tab w:val="left" w:pos="1140"/>
              </w:tabs>
              <w:rPr>
                <w:rFonts w:ascii="SimSun" w:hAnsi="SimSun" w:cs="SimSun"/>
                <w:b/>
                <w:sz w:val="24"/>
                <w:szCs w:val="24"/>
              </w:rPr>
            </w:pPr>
          </w:p>
          <w:p w14:paraId="0BE01559">
            <w:pPr>
              <w:spacing w:before="0" w:after="6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三、实验过程或算法</w:t>
            </w:r>
          </w:p>
          <w:p w14:paraId="0AE2280D">
            <w:pPr>
              <w:spacing w:before="120" w:after="40" w:line="240" w:lineRule="auto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3.1 数据预处理与特征工程</w:t>
            </w:r>
          </w:p>
          <w:p w14:paraId="346DD67C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（1）数据清洗：TotalCharges 缺失值处理</w:t>
            </w:r>
          </w:p>
          <w:p w14:paraId="6ADDD224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TotalCharges 字段在原始数据中为 object 类型（字符串），对于 tenure=0 的新用户，该字段为空字符串（共11条）。处理策略：先将空字符串强制转换为 NaN，再以 MonthlyCharges 填充（因新用户累计费恰等于当月费，此填充具有业务合理性，优于简单删除或均值填充）。</w:t>
            </w:r>
          </w:p>
          <w:p w14:paraId="14025E9D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df['TotalCharges'] = pd.to_numeric(df['TotalCharges'].str.strip(), errors='coerce')</w:t>
            </w:r>
          </w:p>
          <w:p w14:paraId="768C6620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df['TotalCharges'] = df['TotalCharges'].fillna(df['MonthlyCharges'])</w:t>
            </w:r>
          </w:p>
          <w:p w14:paraId="69DC6BF6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（2）标签编码（Label Encoding）：有序特征</w:t>
            </w:r>
          </w:p>
          <w:p w14:paraId="4B905A7C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合约类型 Contract 具有明确的语义顺序（合约期越长，客户粘性通常越高），采用整数映射保留顺序信息，避免 One-Hot 编码将有序关系拆散：</w:t>
            </w:r>
          </w:p>
          <w:p w14:paraId="5CFD0F54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CONTRACT_ORDER = {'Month-to-month': 0, 'One year': 1, 'Two year': 2}</w:t>
            </w:r>
          </w:p>
          <w:p w14:paraId="31170009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df['Contract'] = df['Contract'].map(CONTRACT_ORDER)</w:t>
            </w:r>
          </w:p>
          <w:p w14:paraId="70FA9F10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（3）二值化编码（Binary Encoding）</w:t>
            </w:r>
          </w:p>
          <w:p w14:paraId="170D2280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对 gender（Male/Female）、Partner/Dependents/PhoneService/PaperlessBilling（Yes/No）共5列进行二值化，将其转化为0/1整数：</w:t>
            </w:r>
          </w:p>
          <w:p w14:paraId="4DE1DD2F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df['gender'] = (df['gender'] == 'Male').astype(int)</w:t>
            </w:r>
          </w:p>
          <w:p w14:paraId="7A6F3D26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for col in ['Partner','Dependents','PhoneService','PaperlessBilling']:</w:t>
            </w:r>
          </w:p>
          <w:p w14:paraId="06EB2879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df[col] = (df[col] == 'Yes').astype(int)</w:t>
            </w:r>
          </w:p>
          <w:p w14:paraId="3FEC3B52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（4）独热编码（One-Hot Encoding）：无序分类特征</w:t>
            </w:r>
          </w:p>
          <w:p w14:paraId="05E30ED2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InternetService（DSL/Fiber optic/No）、PaymentMethod（4类）、MultipleLines、OnlineSecurity/OnlineBackup/DeviceProtection/TechSupport/StreamingTV/StreamingMovies（均含Yes/No/No internet service三类）共9列无内在大小关系，使用 pd.get_dummies 全量展开。编码后从19个原始特征扩展至38维特征矩阵。</w:t>
            </w:r>
          </w:p>
          <w:p w14:paraId="49933851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ONEHOT_COLS = ['InternetService','PaymentMethod','MultipleLines',</w:t>
            </w:r>
          </w:p>
          <w:p w14:paraId="7F047E85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           'OnlineSecurity','OnlineBackup','DeviceProtection',</w:t>
            </w:r>
          </w:p>
          <w:p w14:paraId="26EF82A0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           'TechSupport','StreamingTV','StreamingMovies']</w:t>
            </w:r>
          </w:p>
          <w:p w14:paraId="25FC37F8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df = pd.get_dummies(df, columns=ONEHOT_COLS, drop_first=False)</w:t>
            </w:r>
          </w:p>
          <w:p w14:paraId="43B6C733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（5）数据集划分与标准化（防数据泄露规范）</w:t>
            </w:r>
          </w:p>
          <w:p w14:paraId="3E06491E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先按 stratify=Churn 做 8:2 分层划分（确保训练/测试集正样本比例一致），再对训练集 fit StandardScaler，仅对测试集 transform。严禁对完整数据集 fit，否则测试集的均值/方差信息会"泄露"到预处理阶段，导致评估结果偏乐观。虽然决策树对特征量纲不敏感，但为与逻辑回归基线统一比较，实验中统一进行标准化。</w:t>
            </w:r>
          </w:p>
          <w:p w14:paraId="5BFFE3D7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X_train, X_test, y_train, y_test = train_test_split(</w:t>
            </w:r>
          </w:p>
          <w:p w14:paraId="6ACD2D44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X, y, test_size=0.2, random_state=42, stratify=y)</w:t>
            </w:r>
          </w:p>
          <w:p w14:paraId="0B4A812D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scaler = StandardScaler()</w:t>
            </w:r>
          </w:p>
          <w:p w14:paraId="4FF184D5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X_train_sc = scaler.fit_transform(X_train)  # fit 仅训练集</w:t>
            </w:r>
          </w:p>
          <w:p w14:paraId="2FDC8A95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X_test_sc  = scaler.transform(X_test)        # 测试集只 transform</w:t>
            </w:r>
          </w:p>
          <w:p w14:paraId="0941C100">
            <w:pPr>
              <w:spacing w:before="120" w:after="40" w:line="240" w:lineRule="auto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3.2 决策树算法原理（CART）</w:t>
            </w:r>
          </w:p>
          <w:p w14:paraId="5F3FE7A0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（1）算法框架：CART（Classification and Regression Trees）</w:t>
            </w:r>
          </w:p>
          <w:p w14:paraId="02CDAB79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scikit-learn 的 DecisionTreeClassifier 基于 CART 算法，采用二叉树结构（每个内部节点恰好分裂为2个子节点），通过贪心地在每个节点选择最优分裂特征和阈值，递归地将训练数据划分为更纯净的子集，直至满足停止条件（max_depth 或 min_samples_leaf）。</w:t>
            </w:r>
          </w:p>
          <w:p w14:paraId="20DC6F09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（2）节点分裂准则：基尼系数（Gini Impurity）</w:t>
            </w:r>
          </w:p>
          <w:p w14:paraId="7A583893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基尼系数衡量数据集的"不纯度"，值域 [0, 0.5]，越接近0表示越纯净：</w:t>
            </w:r>
          </w:p>
          <w:p w14:paraId="1C6F991C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 xml:space="preserve">    Gini(D) = 1 - Σ pₖ²  （k遍历所有类别，pₖ 为第k类的样本比例）</w:t>
            </w:r>
          </w:p>
          <w:p w14:paraId="2903D20E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在流失预测的二分类中：若节点中流失:未流失 = 1:1，则 Gini = 1 - (0.5² + 0.5²) = 0.5（最不纯）；若节点全为未流失，则 Gini = 0（最纯）。对特征 f 在阈值 t 处分裂，分裂增益为：ΔGini = Gini(D) - |D_L|/|D|·Gini(D_L) - |D_R|/|D|·Gini(D_R)，选择 ΔGini 最大的 (f, t) 作为当前节点的分裂方式。</w:t>
            </w:r>
          </w:p>
          <w:p w14:paraId="5EA5C0FB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（3）节点分裂准则：信息熵与信息增益（Entropy）</w:t>
            </w:r>
          </w:p>
          <w:p w14:paraId="24820C73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信息熵衡量数据集的"无序程度"，值域 [0, log₂K]：</w:t>
            </w:r>
          </w:p>
          <w:p w14:paraId="59ACF240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 xml:space="preserve">    Entropy(D) = -Σ pₖ · log₂(pₖ)</w:t>
            </w:r>
          </w:p>
          <w:p w14:paraId="49FAA12B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信息增益 IG = Entropy(D) - Σ |Dᵥ|/|D|·Entropy(Dᵥ)。与 Gini 相比，Entropy 的计算涉及对数运算，计算量稍大，但在类别不平衡场景下对少数类更为敏感，理论上更精确。在本实验中，GridSearchCV 同时搜索两种准则，最优策略由数据驱动自动选择。</w:t>
            </w:r>
          </w:p>
          <w:p w14:paraId="384BDDB2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（4）防过拟合机制：超参数约束 + 成本复杂度剪枝</w:t>
            </w:r>
          </w:p>
          <w:p w14:paraId="2AA25A2B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决策树若完全生长（max_depth=None，min_samples_leaf=1），可完美拟合训练集但泛化能力极差（过拟合）。本实验采用以下策略抑制过拟合：</w:t>
            </w:r>
          </w:p>
          <w:p w14:paraId="19CC7E44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• max_depth：限制树的最大层数，是最直接的过拟合控制手段。本实验网格：[3,5,7,10,15,None]；</w:t>
            </w:r>
          </w:p>
          <w:p w14:paraId="1BE75554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• min_samples_leaf：叶节点最少样本数，值越大叶节点越"粗糙"，相当于正则化。网格：[1,5,10,20]；</w:t>
            </w:r>
          </w:p>
          <w:p w14:paraId="478C02E7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• min_samples_split：节点分裂门槛，值越大分裂越保守。网格：[2,5,10]；</w:t>
            </w:r>
          </w:p>
          <w:p w14:paraId="62A84550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• ccp_alpha（成本复杂度剪枝系数）：后剪枝方法，通过最小化带惩罚的损失函数R_α(T) = R(T) + α·|T|（R(T)为树的总不纯度，|T|为叶节点数，α为惩罚强度），逐步剪去"性价比"最低的子树。α=0 表示不剪枝，α越大剪枝越激进。网格：[0.0, 0.0001, 0.001]。</w:t>
            </w:r>
          </w:p>
          <w:p w14:paraId="2529A522">
            <w:pPr>
              <w:spacing w:before="120" w:after="40" w:line="240" w:lineRule="auto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3.3 类别不平衡处理策略</w:t>
            </w:r>
          </w:p>
          <w:p w14:paraId="7DAAD9C8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类别不平衡的危害：若不做任何处理，将全部测试集预测为"未流失"可达73.5%的准确率，但此时 Recall(Yes)=0，漏掉全部真实流失客户，毫无业务价值。所有重采样操作均仅在训练集上执行，测试集保持原始分布（26.54%），保证评估公平性。</w:t>
            </w:r>
          </w:p>
          <w:p w14:paraId="24608356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策略A — SMOTE 过采样（Synthetic Minority Over-sampling Technique）</w:t>
            </w:r>
          </w:p>
          <w:p w14:paraId="3FF647CE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SMOTE 算法原理：对少数类中每个样本 xᵢ，在其 k 个近邻（k=5）中随机选择一个近邻 xⱼ，沿连线合成新样本：x_new = xᵢ + λ·(xⱼ - xᵢ)，其中 λ∈[0,1] 为随机数。此方法合成的新样本在特征空间中均匀分布在少数类聚集区域，比简单重复（过采样）更能增强模型对少数类的泛化能力。参数 sampling_strategy=0.5 控制最终正:负 ≈ 1:2。</w:t>
            </w:r>
          </w:p>
          <w:p w14:paraId="311227BF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smote = SMOTE(sampling_strategy=0.5, random_state=42, k_neighbors=5)</w:t>
            </w:r>
          </w:p>
          <w:p w14:paraId="66116670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X_tr_sm, y_tr_sm = smote.fit_resample(X_train_sc, y_train)</w:t>
            </w:r>
          </w:p>
          <w:p w14:paraId="4425555E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# 原始训练集(5634,38)→ SMOTE后(6208,38)，正样本比例从26.54%升至33.3%</w:t>
            </w:r>
          </w:p>
          <w:p w14:paraId="05A03147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策略B — RandomUnderSampler 随机欠采样</w:t>
            </w:r>
          </w:p>
          <w:p w14:paraId="42FBA54A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随机删除多数类（未流失）样本，使正:负 ≈ 1:2（sampling_strategy=0.5）。优点：训练速度快，避免引入合成噪声；缺点：丢弃大量真实多数类信息，约26%的原始训练数据（负类样本）被删除，可能导致模型对多数类的判断偏弱，体现为测试集上正类误报率（FPR）较高。</w:t>
            </w:r>
          </w:p>
          <w:p w14:paraId="2D2527E6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rus = RandomUnderSampler(sampling_strategy=0.5, random_state=42)</w:t>
            </w:r>
          </w:p>
          <w:p w14:paraId="5DC4BEDE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X_tr_ru, y_tr_ru = rus.fit_resample(X_train_sc, y_train)</w:t>
            </w:r>
          </w:p>
          <w:p w14:paraId="7726EAC1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# 原始训练集(5634,38)→ 欠采样后(4485,38)，正样本33.3%</w:t>
            </w:r>
          </w:p>
          <w:p w14:paraId="32A46FE7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策略C — class_weight='balanced'（损失权重调节）</w:t>
            </w:r>
          </w:p>
          <w:p w14:paraId="4EB26BB7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不修改训练数据，通过在节点分裂的不纯度计算中对样本赋予不同权重来补偿不平衡。class_weight='balanced' 的权重公式：wₖ = n_samples / (n_classes × n_samplesₖ)，即流失类权重 = 7043 / (2 × 1869) ≈ 1.88，未流失类权重 ≈ 0.68，流失类样本的误分代价约为未流失类的2.76倍。所有原始训练数据完全保留，信息损失最小。</w:t>
            </w:r>
          </w:p>
          <w:p w14:paraId="659C7466">
            <w:pPr>
              <w:spacing w:before="120" w:after="40" w:line="240" w:lineRule="auto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3.4 超参数调优（GridSearchCV + 5-Fold Stratified CV）</w:t>
            </w:r>
          </w:p>
          <w:p w14:paraId="43B51BDF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参数网格设计（共432种组合）：</w:t>
            </w:r>
          </w:p>
          <w:p w14:paraId="39F9798B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DT_PARAM_GRID = {</w:t>
            </w:r>
          </w:p>
          <w:p w14:paraId="09562766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'criterion':         ['gini', 'entropy'],          # 2 种分裂准则</w:t>
            </w:r>
          </w:p>
          <w:p w14:paraId="398AAC35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'max_depth':         [3, 5, 7, 10, 15, None],      # 6 个深度设置</w:t>
            </w:r>
          </w:p>
          <w:p w14:paraId="39C8D090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'min_samples_leaf':  [1, 5, 10, 20],               # 4 个叶节点门槛</w:t>
            </w:r>
          </w:p>
          <w:p w14:paraId="717F5CFE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'min_samples_split': [2, 5, 10],                   # 3 个分裂门槛</w:t>
            </w:r>
          </w:p>
          <w:p w14:paraId="30BFBB8C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'ccp_alpha':         [0.0, 0.0001, 0.001],         # 3 个剪枝强度</w:t>
            </w:r>
          </w:p>
          <w:p w14:paraId="6CECF15C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}  # 2×6×4×3×3 = 432 种组合 × 5折 = 2160 次拟合/每策略</w:t>
            </w:r>
          </w:p>
          <w:p w14:paraId="24ECA200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为何使用 roc_auc 而非 accuracy 作为 CV 评分指标：</w:t>
            </w:r>
          </w:p>
          <w:p w14:paraId="1DEC8473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在正样本仅26.54%的场景下，将全部样本预测为"未流失"可达73.5%的准确率，但此"高准确率"完全无业务价值。roc_auc（ROC曲线下面积）是阈值无关的指标，度量模型在所有可能决策阈值下将正样本排在负样本前面的概率，不受类别不平衡影响，是评估分类器综合排序能力的最佳单一指标。</w:t>
            </w:r>
          </w:p>
          <w:p w14:paraId="5591CF39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分层K折交叉验证（Stratified K-Fold）：</w:t>
            </w:r>
          </w:p>
          <w:p w14:paraId="4AAE2CF8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普通K折可能导致某些折中正样本极少（训练集正样本比例不稳定），分层K折确保每折中正负样本比例与整体一致（约26.5%），避免CV估计的方差偏大。</w:t>
            </w:r>
          </w:p>
          <w:p w14:paraId="64DC683B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cv = StratifiedKFold(n_splits=5, shuffle=True, random_state=42)</w:t>
            </w:r>
          </w:p>
          <w:p w14:paraId="0007499A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gs = GridSearchCV(</w:t>
            </w:r>
          </w:p>
          <w:p w14:paraId="3585DD10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estimator=DecisionTreeClassifier(random_state=42),</w:t>
            </w:r>
          </w:p>
          <w:p w14:paraId="6F07BD3C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param_grid=DT_PARAM_GRID,</w:t>
            </w:r>
          </w:p>
          <w:p w14:paraId="346CCC82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cv=cv,</w:t>
            </w:r>
          </w:p>
          <w:p w14:paraId="28D32031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scoring='roc_auc',</w:t>
            </w:r>
          </w:p>
          <w:p w14:paraId="61A6CD17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n_jobs=-1,    # 并行所有CPU核心加速搜索</w:t>
            </w:r>
          </w:p>
          <w:p w14:paraId="0AC79887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 xml:space="preserve">    refit=True,   # 找到最优参数后在全训练集上重新拟合</w:t>
            </w:r>
          </w:p>
          <w:p w14:paraId="2334AD86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)</w:t>
            </w:r>
          </w:p>
          <w:p w14:paraId="352712A8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gs.fit(X_train, y_train)</w:t>
            </w:r>
          </w:p>
          <w:p w14:paraId="2DD8D88A">
            <w:pPr>
              <w:spacing w:before="0" w:after="0" w:line="240" w:lineRule="auto"/>
              <w:ind w:left="454"/>
            </w:pPr>
            <w:r>
              <w:rPr>
                <w:rFonts w:ascii="Courier New" w:hAnsi="Courier New" w:eastAsia="Courier New"/>
                <w:color w:val="1A5376"/>
                <w:sz w:val="18"/>
              </w:rPr>
              <w:t>best_model = gs.best_estimator_</w:t>
            </w:r>
          </w:p>
          <w:p w14:paraId="3F810E2A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各策略最优参数搜索结果：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074"/>
              <w:gridCol w:w="1074"/>
              <w:gridCol w:w="1074"/>
              <w:gridCol w:w="1074"/>
              <w:gridCol w:w="1074"/>
              <w:gridCol w:w="1074"/>
              <w:gridCol w:w="1074"/>
              <w:gridCol w:w="1074"/>
            </w:tblGrid>
            <w:tr w14:paraId="08CD7CB2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74" w:type="dxa"/>
                  <w:shd w:val="clear" w:color="auto" w:fill="4472C4"/>
                </w:tcPr>
                <w:p w14:paraId="33F5BE5D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策略</w:t>
                  </w:r>
                </w:p>
              </w:tc>
              <w:tc>
                <w:tcPr>
                  <w:tcW w:w="1074" w:type="dxa"/>
                  <w:shd w:val="clear" w:color="auto" w:fill="4472C4"/>
                </w:tcPr>
                <w:p w14:paraId="672192F2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最优criterion</w:t>
                  </w:r>
                </w:p>
              </w:tc>
              <w:tc>
                <w:tcPr>
                  <w:tcW w:w="1074" w:type="dxa"/>
                  <w:shd w:val="clear" w:color="auto" w:fill="4472C4"/>
                </w:tcPr>
                <w:p w14:paraId="59D40033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max_depth</w:t>
                  </w:r>
                </w:p>
              </w:tc>
              <w:tc>
                <w:tcPr>
                  <w:tcW w:w="1074" w:type="dxa"/>
                  <w:shd w:val="clear" w:color="auto" w:fill="4472C4"/>
                </w:tcPr>
                <w:p w14:paraId="70DBF967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min_samples_leaf</w:t>
                  </w:r>
                </w:p>
              </w:tc>
              <w:tc>
                <w:tcPr>
                  <w:tcW w:w="1074" w:type="dxa"/>
                  <w:shd w:val="clear" w:color="auto" w:fill="4472C4"/>
                </w:tcPr>
                <w:p w14:paraId="22D10621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min_samples_split</w:t>
                  </w:r>
                </w:p>
              </w:tc>
              <w:tc>
                <w:tcPr>
                  <w:tcW w:w="1074" w:type="dxa"/>
                  <w:shd w:val="clear" w:color="auto" w:fill="4472C4"/>
                </w:tcPr>
                <w:p w14:paraId="29F46D23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ccp_alpha</w:t>
                  </w:r>
                </w:p>
              </w:tc>
              <w:tc>
                <w:tcPr>
                  <w:tcW w:w="1074" w:type="dxa"/>
                  <w:shd w:val="clear" w:color="auto" w:fill="4472C4"/>
                </w:tcPr>
                <w:p w14:paraId="60F088C9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CV-AUC</w:t>
                  </w:r>
                </w:p>
              </w:tc>
              <w:tc>
                <w:tcPr>
                  <w:tcW w:w="1074" w:type="dxa"/>
                  <w:shd w:val="clear" w:color="auto" w:fill="4472C4"/>
                </w:tcPr>
                <w:p w14:paraId="7224ADD1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树深度/叶数</w:t>
                  </w:r>
                </w:p>
              </w:tc>
            </w:tr>
            <w:tr w14:paraId="4F79D3B4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74" w:type="dxa"/>
                  <w:shd w:val="clear" w:color="auto" w:fill="EBF0FA"/>
                </w:tcPr>
                <w:p w14:paraId="17082C09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SMOTE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27657FD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gini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51C2284F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10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7333744A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6BE21BE8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3C1D70DA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0.001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0FEE7A96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0.8447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692FBC2E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7 / 22</w:t>
                  </w:r>
                </w:p>
              </w:tc>
            </w:tr>
            <w:tr w14:paraId="78E5EF07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74" w:type="dxa"/>
                  <w:shd w:val="clear" w:color="auto" w:fill="FFFFFF"/>
                </w:tcPr>
                <w:p w14:paraId="6BE928E2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UnderSample</w:t>
                  </w:r>
                </w:p>
              </w:tc>
              <w:tc>
                <w:tcPr>
                  <w:tcW w:w="1074" w:type="dxa"/>
                  <w:shd w:val="clear" w:color="auto" w:fill="FFFFFF"/>
                </w:tcPr>
                <w:p w14:paraId="23D92EB8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entropy</w:t>
                  </w:r>
                </w:p>
              </w:tc>
              <w:tc>
                <w:tcPr>
                  <w:tcW w:w="1074" w:type="dxa"/>
                  <w:shd w:val="clear" w:color="auto" w:fill="FFFFFF"/>
                </w:tcPr>
                <w:p w14:paraId="0BCA5672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w="1074" w:type="dxa"/>
                  <w:shd w:val="clear" w:color="auto" w:fill="FFFFFF"/>
                </w:tcPr>
                <w:p w14:paraId="63E976BE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w="1074" w:type="dxa"/>
                  <w:shd w:val="clear" w:color="auto" w:fill="FFFFFF"/>
                </w:tcPr>
                <w:p w14:paraId="7D16427E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w="1074" w:type="dxa"/>
                  <w:shd w:val="clear" w:color="auto" w:fill="FFFFFF"/>
                </w:tcPr>
                <w:p w14:paraId="13A8E53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0.001</w:t>
                  </w:r>
                </w:p>
              </w:tc>
              <w:tc>
                <w:tcPr>
                  <w:tcW w:w="1074" w:type="dxa"/>
                  <w:shd w:val="clear" w:color="auto" w:fill="FFFFFF"/>
                </w:tcPr>
                <w:p w14:paraId="2400826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0.8261</w:t>
                  </w:r>
                </w:p>
              </w:tc>
              <w:tc>
                <w:tcPr>
                  <w:tcW w:w="1074" w:type="dxa"/>
                  <w:shd w:val="clear" w:color="auto" w:fill="FFFFFF"/>
                </w:tcPr>
                <w:p w14:paraId="07D5449C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5 / 25</w:t>
                  </w:r>
                </w:p>
              </w:tc>
            </w:tr>
            <w:tr w14:paraId="4E6DBA45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</w:tblPrEx>
              <w:tc>
                <w:tcPr>
                  <w:tcW w:w="1074" w:type="dxa"/>
                  <w:shd w:val="clear" w:color="auto" w:fill="EBF0FA"/>
                </w:tcPr>
                <w:p w14:paraId="7F03A900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ClassWeight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62434267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entropy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4238D6B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2A1D5BEC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10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15785641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356F832D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0.0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7F3918B2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0.8323</w:t>
                  </w:r>
                </w:p>
              </w:tc>
              <w:tc>
                <w:tcPr>
                  <w:tcW w:w="1074" w:type="dxa"/>
                  <w:shd w:val="clear" w:color="auto" w:fill="EBF0FA"/>
                </w:tcPr>
                <w:p w14:paraId="540A7BAA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5 / 31</w:t>
                  </w:r>
                </w:p>
              </w:tc>
            </w:tr>
            <w:tr w14:paraId="42FB90D2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592" w:type="dxa"/>
                  <w:gridSpan w:val="8"/>
                  <w:shd w:val="clear" w:color="auto" w:fill="F5F5F5"/>
                </w:tcPr>
                <w:p w14:paraId="22720690">
                  <w:r>
                    <w:rPr>
                      <w:rFonts w:ascii="SimSun" w:hAnsi="SimSun" w:eastAsia="SimSun"/>
                      <w:b w:val="0"/>
                      <w:i w:val="0"/>
                      <w:color w:val="555555"/>
                      <w:sz w:val="18"/>
                    </w:rPr>
                    <w:t>注：ccp_alpha=0.001 的出现说明轻微后剪枝能改善泛化；max_depth=10 在SMOTE数据上适合（样本量更多，6208条），而两种不平衡调整策略倾向更浅的树（max_depth=5）。</w:t>
                  </w:r>
                </w:p>
              </w:tc>
            </w:tr>
          </w:tbl>
          <w:p w14:paraId="27A11F0E"/>
          <w:p w14:paraId="5C14C3C5">
            <w:pPr>
              <w:spacing w:before="0" w:after="40" w:line="240" w:lineRule="auto"/>
              <w:ind w:firstLine="0"/>
              <w:jc w:val="left"/>
            </w:pPr>
          </w:p>
          <w:p w14:paraId="44365A0A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参数分析：</w:t>
            </w:r>
          </w:p>
          <w:p w14:paraId="7DDED710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• SMOTE 策略选 gini、max_depth=10（实际被 ccp_alpha=0.001 剪枝至深度7），说明 SMOTE 后训练集增大（6208条），树可以更深地学习；</w:t>
            </w:r>
          </w:p>
          <w:p w14:paraId="7440BA7C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• UnderSample 和 ClassWeight 策略均选 entropy、max_depth=5，说明在样本较少或直接使用原始分布时，较浅的树更能泛化；</w:t>
            </w:r>
          </w:p>
          <w:p w14:paraId="26975464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• ccp_alpha=0.001 出现在 SMOTE 和 UnderSample 策略，说明后剪枝能有效去除"纯噪声叶节点"，改善测试集性能。</w:t>
            </w:r>
          </w:p>
          <w:p w14:paraId="70805E63">
            <w:pPr>
              <w:spacing w:before="120" w:after="40" w:line="240" w:lineRule="auto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3.5 逻辑回归基线模型（对比用）</w:t>
            </w:r>
          </w:p>
          <w:p w14:paraId="3381AD30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为在 ROC 曲线上进行横向对比，同时训练一个逻辑回归基线模型（使用 SMOTE 处理后的训练集 + class_weight='balanced' + GridSearchCV 调优 C 和 penalty），用于评估决策树相对于线性分类器的性能优劣，以及分析两者在哪类样本上各有优势。</w:t>
            </w:r>
          </w:p>
        </w:tc>
      </w:tr>
      <w:tr w14:paraId="362A0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6" w:hRule="atLeast"/>
          <w:jc w:val="center"/>
        </w:trPr>
        <w:tc>
          <w:tcPr>
            <w:tcW w:w="85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937504A">
            <w:pPr>
              <w:tabs>
                <w:tab w:val="left" w:pos="1140"/>
              </w:tabs>
              <w:rPr>
                <w:rFonts w:eastAsia="SimSun"/>
                <w:lang w:eastAsia="zh-CN"/>
              </w:rPr>
            </w:pPr>
          </w:p>
          <w:p w14:paraId="20AD53E5">
            <w:pPr>
              <w:spacing w:before="0" w:after="6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四、实验结果及分析</w:t>
            </w:r>
          </w:p>
          <w:p w14:paraId="5FF00AAB">
            <w:pPr>
              <w:spacing w:before="120" w:after="40" w:line="240" w:lineRule="auto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4.1 三种策略完整性能对比（测试集，n=1409，正样本374）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59"/>
              <w:gridCol w:w="859"/>
              <w:gridCol w:w="859"/>
              <w:gridCol w:w="859"/>
              <w:gridCol w:w="859"/>
              <w:gridCol w:w="859"/>
              <w:gridCol w:w="859"/>
              <w:gridCol w:w="859"/>
              <w:gridCol w:w="859"/>
              <w:gridCol w:w="859"/>
            </w:tblGrid>
            <w:tr w14:paraId="46FCB7DE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59" w:type="dxa"/>
                  <w:shd w:val="clear" w:color="auto" w:fill="4472C4"/>
                </w:tcPr>
                <w:p w14:paraId="7B9E1FB6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策略</w:t>
                  </w:r>
                </w:p>
              </w:tc>
              <w:tc>
                <w:tcPr>
                  <w:tcW w:w="859" w:type="dxa"/>
                  <w:shd w:val="clear" w:color="auto" w:fill="4472C4"/>
                </w:tcPr>
                <w:p w14:paraId="55361C57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Precision</w:t>
                  </w: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br w:type="textWrapping"/>
                  </w: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(Yes)</w:t>
                  </w:r>
                </w:p>
              </w:tc>
              <w:tc>
                <w:tcPr>
                  <w:tcW w:w="859" w:type="dxa"/>
                  <w:shd w:val="clear" w:color="auto" w:fill="4472C4"/>
                </w:tcPr>
                <w:p w14:paraId="788C2544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Recall</w:t>
                  </w: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br w:type="textWrapping"/>
                  </w: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(Yes)</w:t>
                  </w:r>
                </w:p>
              </w:tc>
              <w:tc>
                <w:tcPr>
                  <w:tcW w:w="859" w:type="dxa"/>
                  <w:shd w:val="clear" w:color="auto" w:fill="4472C4"/>
                </w:tcPr>
                <w:p w14:paraId="6FFB36E9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F1</w:t>
                  </w: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br w:type="textWrapping"/>
                  </w: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(Yes)</w:t>
                  </w:r>
                </w:p>
              </w:tc>
              <w:tc>
                <w:tcPr>
                  <w:tcW w:w="859" w:type="dxa"/>
                  <w:shd w:val="clear" w:color="auto" w:fill="4472C4"/>
                </w:tcPr>
                <w:p w14:paraId="51BB51B6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Accuracy</w:t>
                  </w:r>
                </w:p>
              </w:tc>
              <w:tc>
                <w:tcPr>
                  <w:tcW w:w="859" w:type="dxa"/>
                  <w:shd w:val="clear" w:color="auto" w:fill="4472C4"/>
                </w:tcPr>
                <w:p w14:paraId="38F0F381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AUC</w:t>
                  </w:r>
                </w:p>
              </w:tc>
              <w:tc>
                <w:tcPr>
                  <w:tcW w:w="859" w:type="dxa"/>
                  <w:shd w:val="clear" w:color="auto" w:fill="4472C4"/>
                </w:tcPr>
                <w:p w14:paraId="1C19A4DD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TN</w:t>
                  </w:r>
                </w:p>
              </w:tc>
              <w:tc>
                <w:tcPr>
                  <w:tcW w:w="859" w:type="dxa"/>
                  <w:shd w:val="clear" w:color="auto" w:fill="4472C4"/>
                </w:tcPr>
                <w:p w14:paraId="236BB6C0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FP</w:t>
                  </w:r>
                </w:p>
              </w:tc>
              <w:tc>
                <w:tcPr>
                  <w:tcW w:w="859" w:type="dxa"/>
                  <w:shd w:val="clear" w:color="auto" w:fill="4472C4"/>
                </w:tcPr>
                <w:p w14:paraId="4278C9B5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FN</w:t>
                  </w:r>
                </w:p>
              </w:tc>
              <w:tc>
                <w:tcPr>
                  <w:tcW w:w="859" w:type="dxa"/>
                  <w:shd w:val="clear" w:color="auto" w:fill="4472C4"/>
                </w:tcPr>
                <w:p w14:paraId="0CAF55D7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TP</w:t>
                  </w:r>
                </w:p>
              </w:tc>
            </w:tr>
            <w:tr w14:paraId="789E358A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59" w:type="dxa"/>
                  <w:shd w:val="clear" w:color="auto" w:fill="EBF0FA"/>
                </w:tcPr>
                <w:p w14:paraId="1734AF1E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DT + SMOTE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5492C78E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0.5907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3C73B17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0.6444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4933937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0.6164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4CBD33B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78.71%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7F9B052D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0.8238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10C83BA7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868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495136AA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167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499252AC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133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0369C90E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241</w:t>
                  </w:r>
                </w:p>
              </w:tc>
            </w:tr>
            <w:tr w14:paraId="4532AE3C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59" w:type="dxa"/>
                  <w:shd w:val="clear" w:color="auto" w:fill="FFFFFF"/>
                </w:tcPr>
                <w:p w14:paraId="14421B36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DT + UnderSample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366432E8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0.6070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2A9D2554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0.6070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400985AD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0.6070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2810B8C7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79.13%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4D0510D0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0.8337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11AA3C9D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888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7DD725F3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147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2EDE4C62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147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680C47BE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227</w:t>
                  </w:r>
                </w:p>
              </w:tc>
            </w:tr>
            <w:tr w14:paraId="346641CA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</w:tblPrEx>
              <w:tc>
                <w:tcPr>
                  <w:tcW w:w="859" w:type="dxa"/>
                  <w:shd w:val="clear" w:color="auto" w:fill="EBF0FA"/>
                </w:tcPr>
                <w:p w14:paraId="2B0D596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DT + ClassWeight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7A2B2CAC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0.5262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06FAF25A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0.7513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4D4DF379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0.6189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6A08A618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75.44%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692BDD36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0.8374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70B222E1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782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7CFA5116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253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18100C1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93</w:t>
                  </w:r>
                </w:p>
              </w:tc>
              <w:tc>
                <w:tcPr>
                  <w:tcW w:w="859" w:type="dxa"/>
                  <w:shd w:val="clear" w:color="auto" w:fill="EBF0FA"/>
                </w:tcPr>
                <w:p w14:paraId="4B5F822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281</w:t>
                  </w:r>
                </w:p>
              </w:tc>
            </w:tr>
            <w:tr w14:paraId="29C7CBE4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59" w:type="dxa"/>
                  <w:shd w:val="clear" w:color="auto" w:fill="FFFFFF"/>
                </w:tcPr>
                <w:p w14:paraId="5F72F75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LR Baseline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151F274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0DD9FEDA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4E2BF9D1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28E2DC1C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23DAAB9F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0.8405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4A2E6F4F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7B3F115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418C8E1F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w="859" w:type="dxa"/>
                  <w:shd w:val="clear" w:color="auto" w:fill="FFFFFF"/>
                </w:tcPr>
                <w:p w14:paraId="4C64E6C1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—</w:t>
                  </w:r>
                </w:p>
              </w:tc>
            </w:tr>
            <w:tr w14:paraId="6EE70350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590" w:type="dxa"/>
                  <w:gridSpan w:val="10"/>
                  <w:shd w:val="clear" w:color="auto" w:fill="F5F5F5"/>
                </w:tcPr>
                <w:p w14:paraId="47D23077">
                  <w:r>
                    <w:rPr>
                      <w:rFonts w:ascii="SimSun" w:hAnsi="SimSun" w:eastAsia="SimSun"/>
                      <w:b w:val="0"/>
                      <w:i w:val="0"/>
                      <w:color w:val="555555"/>
                      <w:sz w:val="18"/>
                    </w:rPr>
                    <w:t>注：Yes类=流失正样本（support=374）；LR基线仅用于ROC曲线对比，不作主要评估对象。</w:t>
                  </w:r>
                </w:p>
              </w:tc>
            </w:tr>
          </w:tbl>
          <w:p w14:paraId="2BBAAD5F"/>
          <w:p w14:paraId="0C45E957">
            <w:pPr>
              <w:spacing w:before="0" w:after="40" w:line="240" w:lineRule="auto"/>
              <w:ind w:firstLine="0"/>
              <w:jc w:val="left"/>
            </w:pPr>
          </w:p>
          <w:p w14:paraId="10C8D397">
            <w:pPr>
              <w:spacing w:before="120" w:after="40" w:line="240" w:lineRule="auto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4.2 分类指标深度分析</w:t>
            </w:r>
          </w:p>
          <w:p w14:paraId="0D09D50A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（1）Accuracy 的局限性与不平衡场景的评估误导</w:t>
            </w:r>
          </w:p>
          <w:p w14:paraId="3A33D170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若将全部1409个测试样本预测为"未流失"，准确率将达73.5%——与本实验中 ClassWeight 策略的75.44%相差无几，但"全预测负类"的 Recall(Yes)=0，漏掉全部374位真实流失客户。这表明在不平衡场景下，Accuracy 是极具误导性的评估指标，必须结合 Precision、Recall、F1 和 AUC 进行综合评估。</w:t>
            </w:r>
          </w:p>
          <w:p w14:paraId="71F71099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（2）Precision-Recall 权衡分析（Yes类）</w:t>
            </w:r>
          </w:p>
          <w:p w14:paraId="035A7EF0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SMOTE 策略（Precision=0.591，Recall=0.644，F1=0.616）：Precision 三策略中最高，每预测10个"潜在流失客户"中有5.9个是真实的，误报167人（FPR=16.1%）；Recall 最低但仍达64.4%，漏报133人（FNR=35.6%）。适合运营商希望控制营销骚扰成本、精准锁定高概率流失客户的场景。</w:t>
            </w:r>
          </w:p>
          <w:p w14:paraId="644523DE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UnderSample 策略（Precision=0.607，Recall=0.607，F1=0.607）：Precision 与 Recall 完全相等，呈现出罕见的"完美对称"，这与欠采样后训练集中正负样本比例恰好接近1:2有关（模型决策阈值较为中性）。F1=0.607，略低于其他策略。</w:t>
            </w:r>
          </w:p>
          <w:p w14:paraId="11FE0A68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ClassWeight 策略（Precision=0.526，Recall=0.751，F1=0.619）：Recall 三策略最高（75.1%），漏报仅93人（FNR=24.9%），意味着约3/4的真实流失客户被识别。但代价是 FP=253（误报率25.3%），精确率最低。在电信业务中，流失一位客户的损失（留存成本、收入损失）远超误报一次营销电话的成本，因此 ClassWeight 策略在实际业务价值上往往最优。</w:t>
            </w:r>
          </w:p>
          <w:p w14:paraId="5760C903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（3）F1-Score 与宏观/加权平均分析</w:t>
            </w:r>
          </w:p>
          <w:p w14:paraId="022EDFA1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SMOTE 策略的 macro avg F1=0.735 最高，说明它在正负两类上的综合表现最均衡；ClassWeight 策略的 macro avg F1=0.719，但其对业务关键的正类 Recall 最高。建议实际部署时按业务目标选择：若以最小化客户流失为第一目标，选 ClassWeight；若兼顾营销精准度，选 SMOTE。</w:t>
            </w:r>
          </w:p>
          <w:p w14:paraId="0DB76EE4">
            <w:pPr>
              <w:spacing w:before="0" w:after="40" w:line="240" w:lineRule="auto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（4）决策树 vs 逻辑回归 AUC 分析</w:t>
            </w:r>
          </w:p>
          <w:p w14:paraId="361CBD99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最优决策树（ClassWeight，AUC=0.8374）与 LR 基线（AUC=0.8405）相差仅 0.003，差异几乎可忽略（&lt;0.5%）。这说明：在充分调优的前提下，决策树在此数据集上的排序能力可与逻辑回归媲美。决策树的潜在优势在于天然可解释性（可直接提取决策路径）和对非线性边界的天然适应；但其弱点是对训练数据的方差较高（单棵树不稳定），这正是集成方法（随机森林、XGBoost）能显著超越单棵决策树的根本原因。</w:t>
            </w:r>
          </w:p>
          <w:p w14:paraId="0890FE0F">
            <w:pPr>
              <w:spacing w:before="120" w:after="40" w:line="240" w:lineRule="auto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4.3 可视化分析</w:t>
            </w:r>
          </w:p>
          <w:p w14:paraId="061E3789">
            <w:pPr>
              <w:spacing w:before="0" w:after="40" w:line="240" w:lineRule="auto"/>
              <w:ind w:firstLine="0"/>
              <w:jc w:val="center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图1  Precision / Recall / F1-Score 对比柱状图</w:t>
            </w:r>
          </w:p>
          <w:p w14:paraId="04E7EBCE">
            <w:pPr>
              <w:spacing w:before="40" w:after="120"/>
              <w:jc w:val="center"/>
            </w:pPr>
            <w:r>
              <w:drawing>
                <wp:inline distT="0" distB="0" distL="114300" distR="114300">
                  <wp:extent cx="5219700" cy="2802255"/>
                  <wp:effectExtent l="0" t="0" r="0" b="171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280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BC76C">
            <w:pPr>
              <w:spacing w:before="0" w:after="8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图1 以分组柱状图直观呈现三种策略在 Precision、Recall、F1-Score 三个指标上的差异。SMOTE 在 Precision（0.591）上明显领先，体现了其"适度平衡"的特点——不过于倾向正类，控制了误报率；ClassWeight 在 Recall（0.751）上领先约11个百分点，以牺牲精确率换取更高的查全率；F1-Score 方面三者差异较小（0.607~0.619），ClassWeight 略胜。</w:t>
            </w:r>
          </w:p>
          <w:p w14:paraId="0E99D521">
            <w:pPr>
              <w:spacing w:before="0" w:after="40" w:line="240" w:lineRule="auto"/>
              <w:ind w:firstLine="0"/>
              <w:jc w:val="center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图2  分类报告热力图（Precision / Recall / F1 × 两类别 × 三模型）</w:t>
            </w:r>
          </w:p>
          <w:p w14:paraId="672AB8C7">
            <w:pPr>
              <w:spacing w:before="40" w:after="120"/>
              <w:jc w:val="center"/>
            </w:pPr>
            <w:r>
              <w:drawing>
                <wp:inline distT="0" distB="0" distL="114300" distR="114300">
                  <wp:extent cx="5219700" cy="1424305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424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EA8B8">
            <w:pPr>
              <w:spacing w:before="0" w:after="8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图2 以热力图矩阵（绿色=高，红色=低）同时展示正负两个类别在三个指标上的表现。负类（未流失 No）的所有格均呈深绿色（0.80~0.95），说明模型对多数类预测稳健；正类（流失 Yes）的 Precision 列呈黄色区域（0.53~0.61），反映类别不平衡场景下精确率的固有限制。macro avg 行（正负均等权重）中，SMOTE 策略各列最为均衡。</w:t>
            </w:r>
          </w:p>
          <w:p w14:paraId="2BB1FD47">
            <w:pPr>
              <w:spacing w:before="0" w:after="40" w:line="240" w:lineRule="auto"/>
              <w:ind w:firstLine="0"/>
              <w:jc w:val="center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图3  混淆矩阵对比（三种不平衡处理策略）</w:t>
            </w:r>
          </w:p>
          <w:p w14:paraId="14E1B08F">
            <w:pPr>
              <w:spacing w:before="40" w:after="120"/>
              <w:jc w:val="center"/>
            </w:pPr>
            <w:r>
              <w:drawing>
                <wp:inline distT="0" distB="0" distL="114300" distR="114300">
                  <wp:extent cx="5219700" cy="1700530"/>
                  <wp:effectExtent l="0" t="0" r="0" b="139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701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87B30">
            <w:pPr>
              <w:spacing w:before="0" w:after="8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图3 的三张混淆矩阵从左到右对应 SMOTE、UnderSample、ClassWeight 三策略。观察 FN（左下角，漏报真实流失）：ClassWeight 最少（93），SMOTE 居中（133），UnderSample 最多（147）；观察 FP（右上角，误报未流失）：SMOTE 最少（167），UnderSample 次之（147），ClassWeight 最多（253）。这一"此消彼长"的模式体现了分类器在 Precision-Recall 之间的本质权衡（P-R Trade-off）：提高召回率必然降低精确率，反之亦然，无法同时最优。</w:t>
            </w:r>
          </w:p>
          <w:p w14:paraId="4082D7B5">
            <w:pPr>
              <w:spacing w:before="0" w:after="40" w:line="240" w:lineRule="auto"/>
              <w:ind w:firstLine="0"/>
              <w:jc w:val="center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图4  ROC 曲线对比（决策树三策略 + 逻辑回归基线）</w:t>
            </w:r>
          </w:p>
          <w:p w14:paraId="30486A46">
            <w:pPr>
              <w:spacing w:before="40" w:after="120"/>
              <w:jc w:val="center"/>
            </w:pPr>
            <w:r>
              <w:drawing>
                <wp:inline distT="0" distB="0" distL="114300" distR="114300">
                  <wp:extent cx="5039995" cy="4038600"/>
                  <wp:effectExtent l="0" t="0" r="825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038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8B9AC">
            <w:pPr>
              <w:spacing w:before="0" w:after="8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图4 叠加展示了3条决策树 ROC 曲线和1条 LR 基线。四条曲线均显著高于随机分类器对角线（AUC=0.5），AUC范围0.824~0.841，表明各模型均具备较强的正负样本排序能力。ClassWeight（实线，AUC=0.837）与 LR 基线（虚线，AUC=0.841）高度重合，在大部分阈值区间差异不足1%，说明充分调优后决策树可追平逻辑回归。图中圆点标注了各曲线的最优工作点（Youden Index，即 TPR-FPR 最大处），可直观指导实际部署时决策阈值的选取。</w:t>
            </w:r>
          </w:p>
          <w:p w14:paraId="215DE856">
            <w:pPr>
              <w:spacing w:before="0" w:after="40" w:line="240" w:lineRule="auto"/>
              <w:ind w:firstLine="0"/>
              <w:jc w:val="center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图5  特征重要性 Top-20（最优决策树：ClassWeight 策略）</w:t>
            </w:r>
          </w:p>
          <w:p w14:paraId="75DDB7A2">
            <w:pPr>
              <w:spacing w:before="40" w:after="120"/>
              <w:jc w:val="center"/>
            </w:pPr>
            <w:r>
              <w:drawing>
                <wp:inline distT="0" distB="0" distL="114300" distR="114300">
                  <wp:extent cx="5039995" cy="3482340"/>
                  <wp:effectExtent l="0" t="0" r="8255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482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4261E">
            <w:pPr>
              <w:spacing w:before="0" w:after="8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图5 展示最优决策树（ClassWeight 策略）中各特征的基尼重要性（值越高表示该特征对节点分裂的贡献越大）。tenure（在网时长）重要性最高，与业务认知高度一致——新用户（tenure短）流失率显著高于老用户；MonthlyCharges（月费）和 TotalCharges（累计费用）紧随其后，反映价格敏感度是流失的核心驱动因素；Contract_Month-to-month（月付合约）重要性较高，月付用户无违约成本，流失门槛低；InternetService_Fiber optic（光纤服务）的高重要性反映光纤用户可能因竞争激烈而更易流失。这些特征与电信行业的业务洞察完全吻合，说明决策树通过纯数据驱动的方式成功学到了有意义的业务规律。</w:t>
            </w:r>
          </w:p>
          <w:p w14:paraId="66CBE000">
            <w:pPr>
              <w:spacing w:before="120" w:after="40" w:line="240" w:lineRule="auto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4.4 实验难点与解决方案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147"/>
              <w:gridCol w:w="2147"/>
              <w:gridCol w:w="2147"/>
              <w:gridCol w:w="2147"/>
            </w:tblGrid>
            <w:tr w14:paraId="17FE1B7A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147" w:type="dxa"/>
                  <w:shd w:val="clear" w:color="auto" w:fill="4472C4"/>
                </w:tcPr>
                <w:p w14:paraId="753F7A31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难点</w:t>
                  </w:r>
                </w:p>
              </w:tc>
              <w:tc>
                <w:tcPr>
                  <w:tcW w:w="2147" w:type="dxa"/>
                  <w:shd w:val="clear" w:color="auto" w:fill="4472C4"/>
                </w:tcPr>
                <w:p w14:paraId="74A146BB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具体表现</w:t>
                  </w:r>
                </w:p>
              </w:tc>
              <w:tc>
                <w:tcPr>
                  <w:tcW w:w="2147" w:type="dxa"/>
                  <w:shd w:val="clear" w:color="auto" w:fill="4472C4"/>
                </w:tcPr>
                <w:p w14:paraId="7F7DC9DF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解决方案</w:t>
                  </w:r>
                </w:p>
              </w:tc>
              <w:tc>
                <w:tcPr>
                  <w:tcW w:w="2147" w:type="dxa"/>
                  <w:shd w:val="clear" w:color="auto" w:fill="4472C4"/>
                </w:tcPr>
                <w:p w14:paraId="406BC67B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i w:val="0"/>
                      <w:color w:val="FFFFFF"/>
                      <w:sz w:val="20"/>
                    </w:rPr>
                    <w:t>效果</w:t>
                  </w:r>
                </w:p>
              </w:tc>
            </w:tr>
            <w:tr w14:paraId="125E1FA8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147" w:type="dxa"/>
                  <w:shd w:val="clear" w:color="auto" w:fill="EBF0FA"/>
                </w:tcPr>
                <w:p w14:paraId="6DD7D3F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TotalCharges字段异常</w:t>
                  </w:r>
                </w:p>
              </w:tc>
              <w:tc>
                <w:tcPr>
                  <w:tcW w:w="2147" w:type="dxa"/>
                  <w:shd w:val="clear" w:color="auto" w:fill="EBF0FA"/>
                </w:tcPr>
                <w:p w14:paraId="22C5418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11条新用户记录中TotalCharges为空字符串，pd.to_numeric直接报错</w:t>
                  </w:r>
                </w:p>
              </w:tc>
              <w:tc>
                <w:tcPr>
                  <w:tcW w:w="2147" w:type="dxa"/>
                  <w:shd w:val="clear" w:color="auto" w:fill="EBF0FA"/>
                </w:tcPr>
                <w:p w14:paraId="3A0C3D84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先strip再errors='coerce'转NaN，用MonthlyCharges填充（业务语义合理）</w:t>
                  </w:r>
                </w:p>
              </w:tc>
              <w:tc>
                <w:tcPr>
                  <w:tcW w:w="2147" w:type="dxa"/>
                  <w:shd w:val="clear" w:color="auto" w:fill="EBF0FA"/>
                </w:tcPr>
                <w:p w14:paraId="24ABC2F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消除缺失值，无信息损失</w:t>
                  </w:r>
                </w:p>
              </w:tc>
            </w:tr>
            <w:tr w14:paraId="06EBC5EA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147" w:type="dxa"/>
                  <w:shd w:val="clear" w:color="auto" w:fill="FFFFFF"/>
                </w:tcPr>
                <w:p w14:paraId="03CFEDD4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合约类型编码歧义</w:t>
                  </w:r>
                </w:p>
              </w:tc>
              <w:tc>
                <w:tcPr>
                  <w:tcW w:w="2147" w:type="dxa"/>
                  <w:shd w:val="clear" w:color="auto" w:fill="FFFFFF"/>
                </w:tcPr>
                <w:p w14:paraId="1058DC41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若用OHE编码Contract，模型无法感知"月付&lt;年付&lt;两年"的语义顺序</w:t>
                  </w:r>
                </w:p>
              </w:tc>
              <w:tc>
                <w:tcPr>
                  <w:tcW w:w="2147" w:type="dxa"/>
                  <w:shd w:val="clear" w:color="auto" w:fill="FFFFFF"/>
                </w:tcPr>
                <w:p w14:paraId="115AAD2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有序Label Encoding（0/1/2），保留合约期与粘性的单调关系</w:t>
                  </w:r>
                </w:p>
              </w:tc>
              <w:tc>
                <w:tcPr>
                  <w:tcW w:w="2147" w:type="dxa"/>
                  <w:shd w:val="clear" w:color="auto" w:fill="FFFFFF"/>
                </w:tcPr>
                <w:p w14:paraId="3FCFE5C1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该特征重要性排名进入Top-10</w:t>
                  </w:r>
                </w:p>
              </w:tc>
            </w:tr>
            <w:tr w14:paraId="2962192F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</w:tblPrEx>
              <w:tc>
                <w:tcPr>
                  <w:tcW w:w="2147" w:type="dxa"/>
                  <w:shd w:val="clear" w:color="auto" w:fill="EBF0FA"/>
                </w:tcPr>
                <w:p w14:paraId="686EE0B6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类别不平衡导致评估误导</w:t>
                  </w:r>
                </w:p>
              </w:tc>
              <w:tc>
                <w:tcPr>
                  <w:tcW w:w="2147" w:type="dxa"/>
                  <w:shd w:val="clear" w:color="auto" w:fill="EBF0FA"/>
                </w:tcPr>
                <w:p w14:paraId="1B1115B6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直接用Accuracy，模型全预测负类可达73.5%，但Recall=0</w:t>
                  </w:r>
                </w:p>
              </w:tc>
              <w:tc>
                <w:tcPr>
                  <w:tcW w:w="2147" w:type="dxa"/>
                  <w:shd w:val="clear" w:color="auto" w:fill="EBF0FA"/>
                </w:tcPr>
                <w:p w14:paraId="7A183CB4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CV使用roc_auc评分；评估使用P/R/F1全套指标；三种重采样策略</w:t>
                  </w:r>
                </w:p>
              </w:tc>
              <w:tc>
                <w:tcPr>
                  <w:tcW w:w="2147" w:type="dxa"/>
                  <w:shd w:val="clear" w:color="auto" w:fill="EBF0FA"/>
                </w:tcPr>
                <w:p w14:paraId="746701BE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Recall(Yes)从~40%提升至61~75%</w:t>
                  </w:r>
                </w:p>
              </w:tc>
            </w:tr>
            <w:tr w14:paraId="7B68B33A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147" w:type="dxa"/>
                  <w:shd w:val="clear" w:color="auto" w:fill="FFFFFF"/>
                </w:tcPr>
                <w:p w14:paraId="77A3FC3F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参数空间过大导致搜索慢</w:t>
                  </w:r>
                </w:p>
              </w:tc>
              <w:tc>
                <w:tcPr>
                  <w:tcW w:w="2147" w:type="dxa"/>
                  <w:shd w:val="clear" w:color="auto" w:fill="FFFFFF"/>
                </w:tcPr>
                <w:p w14:paraId="2AB5E1A1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432种组合×5折×3策略=6480次拟合，单机耗时较长</w:t>
                  </w:r>
                </w:p>
              </w:tc>
              <w:tc>
                <w:tcPr>
                  <w:tcW w:w="2147" w:type="dxa"/>
                  <w:shd w:val="clear" w:color="auto" w:fill="FFFFFF"/>
                </w:tcPr>
                <w:p w14:paraId="40961318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n_jobs=-1并行；仅搜索决策树关键超参数；适当缩减无效区间</w:t>
                  </w:r>
                </w:p>
              </w:tc>
              <w:tc>
                <w:tcPr>
                  <w:tcW w:w="2147" w:type="dxa"/>
                  <w:shd w:val="clear" w:color="auto" w:fill="FFFFFF"/>
                </w:tcPr>
                <w:p w14:paraId="10D20C8F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搜索耗时约2~3分钟，可接受</w:t>
                  </w:r>
                </w:p>
              </w:tc>
            </w:tr>
            <w:tr w14:paraId="593F9795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147" w:type="dxa"/>
                  <w:shd w:val="clear" w:color="auto" w:fill="EBF0FA"/>
                </w:tcPr>
                <w:p w14:paraId="27048F4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决策树过拟合</w:t>
                  </w:r>
                </w:p>
              </w:tc>
              <w:tc>
                <w:tcPr>
                  <w:tcW w:w="2147" w:type="dxa"/>
                  <w:shd w:val="clear" w:color="auto" w:fill="EBF0FA"/>
                </w:tcPr>
                <w:p w14:paraId="43F8B34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完全生长树在测试集AUC骤降至~0.72</w:t>
                  </w:r>
                </w:p>
              </w:tc>
              <w:tc>
                <w:tcPr>
                  <w:tcW w:w="2147" w:type="dxa"/>
                  <w:shd w:val="clear" w:color="auto" w:fill="EBF0FA"/>
                </w:tcPr>
                <w:p w14:paraId="406306CD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max_depth约束+min_samples_leaf正则化+ccp_alpha后剪枝三管齐下</w:t>
                  </w:r>
                </w:p>
              </w:tc>
              <w:tc>
                <w:tcPr>
                  <w:tcW w:w="2147" w:type="dxa"/>
                  <w:shd w:val="clear" w:color="auto" w:fill="EBF0FA"/>
                </w:tcPr>
                <w:p w14:paraId="2289A2E7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sz w:val="20"/>
                    </w:rPr>
                    <w:t>AUC稳定在0.82~0.84</w:t>
                  </w:r>
                </w:p>
              </w:tc>
            </w:tr>
            <w:tr w14:paraId="1EB25D0A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588" w:type="dxa"/>
                  <w:gridSpan w:val="4"/>
                  <w:shd w:val="clear" w:color="auto" w:fill="F5F5F5"/>
                </w:tcPr>
                <w:p w14:paraId="383A02BB">
                  <w:r>
                    <w:rPr>
                      <w:rFonts w:ascii="SimSun" w:hAnsi="SimSun" w:eastAsia="SimSun"/>
                      <w:b w:val="0"/>
                      <w:i w:val="0"/>
                      <w:color w:val="555555"/>
                      <w:sz w:val="18"/>
                    </w:rPr>
                    <w:t>注：以上难点均已在代码中通过模块化设计（preprocessing.py / imbalance.py / model.py）妥善处理。</w:t>
                  </w:r>
                </w:p>
              </w:tc>
            </w:tr>
          </w:tbl>
          <w:p w14:paraId="1D2632E1"/>
          <w:p w14:paraId="5565A4C0">
            <w:pPr>
              <w:spacing w:before="0" w:after="40" w:line="240" w:lineRule="auto"/>
              <w:ind w:firstLine="0"/>
              <w:jc w:val="left"/>
            </w:pPr>
          </w:p>
          <w:p w14:paraId="266CCEDF">
            <w:pPr>
              <w:spacing w:before="120" w:after="40" w:line="240" w:lineRule="auto"/>
            </w:pPr>
            <w:r>
              <w:rPr>
                <w:rFonts w:ascii="SimSun" w:hAnsi="SimSun" w:eastAsia="SimSun"/>
                <w:b/>
                <w:i w:val="0"/>
                <w:sz w:val="24"/>
              </w:rPr>
              <w:t>4.5 实验结论</w:t>
            </w:r>
          </w:p>
          <w:p w14:paraId="3AFF1D5A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① 决策树在充分调优后（GridSearchCV + 三维防过拟合机制）可在 Telco Churn 数据集上实现 AUC≈0.837，与逻辑回归基线（AUC=0.841）差距仅0.004，证明决策树具备足够的竞争力，且具有更强的可解释性（可直接提取决策路径和特征重要性）；</w:t>
            </w:r>
          </w:p>
          <w:p w14:paraId="5ADE47D6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② 类别不平衡处理至关重要：三种策略均将 Recall(Yes) 从未处理时的约40%提升至61%~75%；class_weight='balanced' 策略在 AUC（0.8374）和 Recall（75.1%）两项指标上表现最优，且保留了100%原始训练数据，信息损失最小，是本实验推荐的部署方案；</w:t>
            </w:r>
          </w:p>
          <w:p w14:paraId="33790F3B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③ 特征工程对决策树性能影响显著：tenure（在网时长）、MonthlyCharges、TotalCharges、Contract_Month-to-month 成为最重要的前4个特征，与电信行业的业务洞察完全吻合，说明决策树能自动挖掘关键业务驱动因子；</w:t>
            </w:r>
          </w:p>
          <w:p w14:paraId="4B32EB68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④ 超参数调优揭示了重要规律：ccp_alpha=0.001（轻微后剪枝）在多个策略中被选中，证明完全生长的树在此数据集上存在过拟合；max_depth=5~7 是该数据集的合理树深，更深的树因噪声拟合而泛化性能下降；</w:t>
            </w:r>
          </w:p>
          <w:p w14:paraId="6C3B5E2F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i w:val="0"/>
                <w:sz w:val="24"/>
              </w:rPr>
              <w:t>⑤ 决策树与逻辑回归的根本差异：LR 需要特征工程（如多项式交互项）才能捕捉非线性关系，而决策树天然支持非线性边界。若要突破0.85的 AUC 上限，应引入随机森林（Bootstrap聚合降低方差）或 XGBoost（梯度提升集成），预期 AUC 可达0.85~0.90。</w:t>
            </w:r>
          </w:p>
        </w:tc>
      </w:tr>
    </w:tbl>
    <w:p w14:paraId="4C429223"/>
    <w:sectPr>
      <w:headerReference r:id="rId4" w:type="first"/>
      <w:footerReference r:id="rId6" w:type="first"/>
      <w:headerReference r:id="rId3" w:type="default"/>
      <w:footerReference r:id="rId5" w:type="default"/>
      <w:pgSz w:w="10440" w:h="14740"/>
      <w:pgMar w:top="1134" w:right="1588" w:bottom="1134" w:left="1588" w:header="851" w:footer="737" w:gutter="0"/>
      <w:pgNumType w:fmt="decimal" w:start="0"/>
      <w:cols w:space="720" w:num="1"/>
      <w:formProt w:val="0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Liberation Serif">
    <w:panose1 w:val="02020603050405020304"/>
    <w:charset w:val="01"/>
    <w:family w:val="roman"/>
    <w:pitch w:val="default"/>
    <w:sig w:usb0="A00002AF" w:usb1="500078FB" w:usb2="00000000" w:usb3="00000000" w:csb0="6000009F" w:csb1="DFD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Liberation Sans">
    <w:panose1 w:val="020B0604020202020204"/>
    <w:charset w:val="01"/>
    <w:family w:val="swiss"/>
    <w:pitch w:val="default"/>
    <w:sig w:usb0="A00002AF" w:usb1="500078FB" w:usb2="00000000" w:usb3="00000000" w:csb0="6000009F" w:csb1="DFD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楷体_GB2312;楷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Droid Sans Fallback"/>
    <w:panose1 w:val="00000000000000000000"/>
    <w:charset w:val="86"/>
    <w:family w:val="modern"/>
    <w:pitch w:val="default"/>
    <w:sig w:usb0="00000000" w:usb1="00000000" w:usb2="00000000" w:usb3="00000000" w:csb0="0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C086F">
    <w:pPr>
      <w:pStyle w:val="8"/>
      <w:jc w:val="center"/>
      <w:rPr>
        <w:rFonts w:ascii="仿宋" w:hAnsi="仿宋" w:eastAsia="仿宋" w:cs="仿宋"/>
        <w:b/>
        <w:bCs/>
      </w:rPr>
    </w:pPr>
    <w:r>
      <w:rPr>
        <w:rFonts w:ascii="仿宋" w:hAnsi="仿宋" w:eastAsia="仿宋" w:cs="仿宋"/>
        <w:b/>
        <w:bCs/>
      </w:rPr>
      <w:t>重庆大学国家卓越工程师学院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8C47B">
    <w:pPr>
      <w:pStyle w:val="8"/>
      <w:jc w:val="center"/>
      <w:rPr>
        <w:rFonts w:ascii="仿宋" w:hAnsi="仿宋" w:eastAsia="仿宋" w:cs="仿宋"/>
        <w:b/>
        <w:bCs/>
      </w:rPr>
    </w:pPr>
    <w:r>
      <w:rPr>
        <w:rFonts w:ascii="仿宋" w:hAnsi="仿宋" w:eastAsia="仿宋" w:cs="仿宋"/>
        <w:b/>
        <w:bCs/>
      </w:rPr>
      <w:t>重庆大学国家卓越工程师学院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2992D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08A0C">
    <w:pPr>
      <w:pStyle w:val="9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A3C56"/>
    <w:multiLevelType w:val="multilevel"/>
    <w:tmpl w:val="BFEA3C56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EFE65A92"/>
    <w:multiLevelType w:val="singleLevel"/>
    <w:tmpl w:val="EFE65A92"/>
    <w:lvl w:ilvl="0" w:tentative="0">
      <w:start w:val="2"/>
      <w:numFmt w:val="taiwaneseCountingThousand"/>
      <w:suff w:val="nothing"/>
      <w:lvlText w:val="%1、"/>
      <w:lvlJc w:val="left"/>
      <w:pPr>
        <w:tabs>
          <w:tab w:val="left" w:pos="0"/>
        </w:tabs>
        <w:ind w:left="0" w:firstLine="0"/>
      </w:pPr>
    </w:lvl>
  </w:abstractNum>
  <w:abstractNum w:abstractNumId="2">
    <w:nsid w:val="F9EC4BD6"/>
    <w:multiLevelType w:val="multilevel"/>
    <w:tmpl w:val="F9EC4BD6"/>
    <w:lvl w:ilvl="0" w:tentative="0">
      <w:start w:val="1"/>
      <w:numFmt w:val="taiwaneseCountingThousand"/>
      <w:suff w:val="nothing"/>
      <w:lvlText w:val="%1、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decimalEnclosedCircle"/>
      <w:suff w:val="nothing"/>
      <w:lvlText w:val="%4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autoHyphenation/>
  <w:compat>
    <w:noLeading/>
    <w:doNotExpandShiftReturn/>
    <w:useFELayout/>
    <w:compatSetting w:name="compatibilityMode" w:uri="http://schemas.microsoft.com/office/word" w:val="14"/>
  </w:compat>
  <w:rsids>
    <w:rsidRoot w:val="00000000"/>
    <w:rsid w:val="BFFE5A26"/>
    <w:rsid w:val="CFF728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SimSun" w:cs="Times New Roman"/>
      <w:color w:val="auto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100" w:after="100"/>
      <w:jc w:val="left"/>
      <w:outlineLvl w:val="0"/>
    </w:pPr>
    <w:rPr>
      <w:rFonts w:ascii="SimSun" w:hAnsi="SimSun" w:eastAsia="SimSun" w:cs="SimSun"/>
      <w:b/>
      <w:kern w:val="2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numPr>
        <w:ilvl w:val="1"/>
        <w:numId w:val="1"/>
      </w:numPr>
      <w:spacing w:before="100" w:after="100"/>
      <w:jc w:val="left"/>
      <w:outlineLvl w:val="1"/>
    </w:pPr>
    <w:rPr>
      <w:rFonts w:ascii="SimSun" w:hAnsi="SimSun" w:eastAsia="SimSun" w:cs="SimSun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numPr>
        <w:ilvl w:val="2"/>
        <w:numId w:val="1"/>
      </w:numPr>
      <w:spacing w:before="100" w:after="100"/>
      <w:jc w:val="left"/>
      <w:outlineLvl w:val="2"/>
    </w:pPr>
    <w:rPr>
      <w:rFonts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numPr>
        <w:ilvl w:val="3"/>
        <w:numId w:val="1"/>
      </w:numPr>
      <w:spacing w:before="100" w:after="100"/>
      <w:jc w:val="left"/>
      <w:outlineLvl w:val="3"/>
    </w:pPr>
    <w:rPr>
      <w:rFonts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kern w:val="2"/>
      <w:sz w:val="18"/>
    </w:rPr>
  </w:style>
  <w:style w:type="paragraph" w:styleId="9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10">
    <w:name w:val="List"/>
    <w:basedOn w:val="7"/>
    <w:qFormat/>
    <w:uiPriority w:val="0"/>
    <w:rPr>
      <w:rFonts w:cs="Lohit Devanagari"/>
    </w:rPr>
  </w:style>
  <w:style w:type="character" w:styleId="13">
    <w:name w:val="page number"/>
    <w:qFormat/>
    <w:uiPriority w:val="0"/>
  </w:style>
  <w:style w:type="character" w:styleId="14">
    <w:name w:val="Hyperlink"/>
    <w:qFormat/>
    <w:uiPriority w:val="0"/>
    <w:rPr>
      <w:color w:val="0000FF"/>
      <w:u w:val="single"/>
    </w:rPr>
  </w:style>
  <w:style w:type="character" w:customStyle="1" w:styleId="15">
    <w:name w:val="默认段落字体1"/>
    <w:qFormat/>
    <w:uiPriority w:val="0"/>
  </w:style>
  <w:style w:type="character" w:customStyle="1" w:styleId="16">
    <w:name w:val="Strong Emphasis"/>
    <w:qFormat/>
    <w:uiPriority w:val="0"/>
    <w:rPr>
      <w:b/>
    </w:rPr>
  </w:style>
  <w:style w:type="paragraph" w:customStyle="1" w:styleId="17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19">
    <w:name w:val="Header and Footer"/>
    <w:basedOn w:val="1"/>
    <w:qFormat/>
    <w:uiPriority w:val="0"/>
    <w:pPr>
      <w:suppressLineNumbers/>
      <w:tabs>
        <w:tab w:val="center" w:pos="4986"/>
        <w:tab w:val="right" w:pos="9972"/>
      </w:tabs>
    </w:pPr>
  </w:style>
  <w:style w:type="paragraph" w:customStyle="1" w:styleId="20">
    <w:name w:val="HTML 预设格式1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21">
    <w:name w:val="普通(网站)1"/>
    <w:basedOn w:val="1"/>
    <w:qFormat/>
    <w:uiPriority w:val="0"/>
    <w:pPr>
      <w:spacing w:before="100" w:after="100"/>
      <w:ind w:left="0" w:right="0" w:firstLine="0"/>
      <w:jc w:val="left"/>
    </w:pPr>
    <w:rPr>
      <w:kern w:val="0"/>
      <w:sz w:val="24"/>
      <w:lang w:val="en-US" w:eastAsia="zh-CN" w:bidi="ar"/>
    </w:rPr>
  </w:style>
  <w:style w:type="paragraph" w:customStyle="1" w:styleId="22">
    <w:name w:val="列表段落"/>
    <w:basedOn w:val="1"/>
    <w:qFormat/>
    <w:uiPriority w:val="0"/>
    <w:pPr>
      <w:ind w:firstLine="420"/>
    </w:pPr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TotalTime>0</TotalTime>
  <ScaleCrop>false</ScaleCrop>
  <LinksUpToDate>false</LinksUpToDate>
  <Application>WPS Office_12.1.2.24722_F1E327BC-269C-435d-A152-05C5408002CA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2024-01-03T06:02:00Z</dcterms:created>
  <dc:creator>chasel</dc:creator>
  <cp:lastModifiedBy>generic</cp:lastModifiedBy>
  <dcterms:modified xsi:type="dcterms:W3CDTF">2026-03-20T05:20:27Z</dcterms:modified>
  <dc:title>《操作系统》实验报告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3C58AE22AAD248D1A0DA8F3822A8D29F_13</vt:lpwstr>
  </property>
  <property fmtid="{D5CDD505-2E9C-101B-9397-08002B2CF9AE}" pid="3" name="KSOProductBuildVer">
    <vt:lpwstr>2052-12.1.2.24722</vt:lpwstr>
  </property>
  <property fmtid="{D5CDD505-2E9C-101B-9397-08002B2CF9AE}" pid="4" name="KSOTemplateDocerSaveRecord">
    <vt:lpwstr>eyJoZGlkIjoiMjA4MTlmYTk3MWJlOWU1OTQwZDA4NTk2YjQ1MDg0ZTEiLCJ1c2VySWQiOiI3MTY1NzI0OTcifQ==</vt:lpwstr>
  </property>
  <property fmtid="{D5CDD505-2E9C-101B-9397-08002B2CF9AE}" pid="5" name="commondata">
    <vt:lpwstr>commondata</vt:lpwstr>
  </property>
</Properties>
</file>