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993AE4">
      <w:pPr>
        <w:jc w:val="center"/>
        <w:rPr>
          <w:rFonts w:ascii="SimSun" w:hAnsi="SimSun" w:cs="SimSun"/>
          <w:b/>
          <w:sz w:val="32"/>
        </w:rPr>
      </w:pPr>
      <w:r>
        <w:rPr>
          <w:rFonts w:ascii="SimSun" w:hAnsi="SimSun" w:cs="SimSun"/>
          <w:b/>
          <w:sz w:val="32"/>
        </w:rPr>
        <w:t>《 机器学习 》实验报告</w:t>
      </w:r>
    </w:p>
    <w:p w14:paraId="26EFADF2">
      <w:pPr>
        <w:jc w:val="right"/>
        <w:rPr>
          <w:rFonts w:ascii="SimSun" w:hAnsi="SimSun" w:cs="SimSun"/>
          <w:b/>
          <w:sz w:val="32"/>
        </w:rPr>
      </w:pPr>
    </w:p>
    <w:tbl>
      <w:tblPr>
        <w:tblStyle w:val="11"/>
        <w:tblW w:w="859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0"/>
        <w:gridCol w:w="460"/>
        <w:gridCol w:w="1239"/>
        <w:gridCol w:w="1648"/>
        <w:gridCol w:w="1016"/>
        <w:gridCol w:w="2707"/>
      </w:tblGrid>
      <w:tr w14:paraId="44549E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98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B1FFA5">
            <w:pPr>
              <w:spacing w:line="480" w:lineRule="exact"/>
              <w:ind w:left="-42" w:right="-51" w:firstLine="0"/>
              <w:jc w:val="center"/>
              <w:rPr>
                <w:rFonts w:hint="eastAsia"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专业</w:t>
            </w:r>
            <w:r>
              <w:rPr>
                <w:rFonts w:hint="eastAsia" w:ascii="SimSun" w:hAnsi="SimSun"/>
                <w:b w:val="0"/>
                <w:i w:val="0"/>
                <w:sz w:val="24"/>
                <w:lang w:eastAsia="zh-CN"/>
              </w:rPr>
              <w:t>、学号</w:t>
            </w:r>
          </w:p>
        </w:tc>
        <w:tc>
          <w:tcPr>
            <w:tcW w:w="288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167C91">
            <w:pPr>
              <w:ind w:right="-51" w:firstLine="0"/>
              <w:jc w:val="center"/>
              <w:rPr>
                <w:rFonts w:hint="eastAsia" w:ascii="SimSun" w:hAnsi="SimSun" w:eastAsia="SimSun" w:cs="SimSun"/>
                <w:bCs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电子信息工程 20253013105</w:t>
            </w:r>
            <w:r>
              <w:rPr>
                <w:rFonts w:hint="eastAsia" w:ascii="SimSun" w:hAnsi="SimSun"/>
                <w:b w:val="0"/>
                <w:i w:val="0"/>
                <w:sz w:val="24"/>
                <w:lang w:val="en-US" w:eastAsia="zh-CN"/>
              </w:rPr>
              <w:t>1</w:t>
            </w:r>
          </w:p>
        </w:tc>
        <w:tc>
          <w:tcPr>
            <w:tcW w:w="10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E067E4">
            <w:pPr>
              <w:spacing w:line="480" w:lineRule="exact"/>
              <w:ind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eastAsia="zh-CN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姓名：</w:t>
            </w:r>
          </w:p>
        </w:tc>
        <w:tc>
          <w:tcPr>
            <w:tcW w:w="27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409599">
            <w:pPr>
              <w:snapToGrid w:val="0"/>
              <w:ind w:right="-51" w:firstLine="0"/>
              <w:jc w:val="center"/>
              <w:rPr>
                <w:rFonts w:hint="default" w:ascii="SimSun" w:hAnsi="SimSun" w:eastAsia="SimSun" w:cs="SimSu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SimSun" w:hAnsi="SimSun" w:cs="SimSun"/>
                <w:b/>
                <w:bCs/>
                <w:sz w:val="24"/>
                <w:szCs w:val="24"/>
                <w:lang w:val="en-US" w:eastAsia="zh-CN"/>
              </w:rPr>
              <w:t>张硕钦</w:t>
            </w:r>
          </w:p>
        </w:tc>
      </w:tr>
      <w:tr w14:paraId="53799A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5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182D60">
            <w:pPr>
              <w:spacing w:line="480" w:lineRule="exact"/>
              <w:ind w:left="-42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/>
                <w:i w:val="0"/>
                <w:sz w:val="24"/>
              </w:rPr>
              <w:t>实验题目：</w:t>
            </w:r>
          </w:p>
        </w:tc>
        <w:tc>
          <w:tcPr>
            <w:tcW w:w="7070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E2EA20">
            <w:pPr>
              <w:snapToGrid w:val="0"/>
              <w:spacing w:line="480" w:lineRule="exact"/>
              <w:ind w:right="-51" w:firstLine="0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/>
                <w:i w:val="0"/>
                <w:sz w:val="24"/>
              </w:rPr>
              <w:t>基于决策树算法的电信客户流失预测</w:t>
            </w:r>
          </w:p>
        </w:tc>
      </w:tr>
      <w:tr w14:paraId="7EAB39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9" w:hRule="atLeast"/>
          <w:jc w:val="center"/>
        </w:trPr>
        <w:tc>
          <w:tcPr>
            <w:tcW w:w="15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4FA7F0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实验时间：</w:t>
            </w:r>
          </w:p>
        </w:tc>
        <w:tc>
          <w:tcPr>
            <w:tcW w:w="169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4FEAB6">
            <w:pPr>
              <w:snapToGrid w:val="0"/>
              <w:spacing w:line="400" w:lineRule="exact"/>
              <w:ind w:left="-40" w:right="-51" w:firstLine="0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2026</w:t>
            </w:r>
            <w:r>
              <w:rPr>
                <w:rFonts w:hint="eastAsia" w:ascii="SimSun" w:hAnsi="SimSun" w:eastAsia="SimSun"/>
                <w:b w:val="0"/>
                <w:i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i w:val="0"/>
                <w:sz w:val="24"/>
              </w:rPr>
              <w:t>3</w:t>
            </w:r>
            <w:r>
              <w:rPr>
                <w:rFonts w:hint="eastAsia" w:ascii="SimSun" w:hAnsi="SimSun" w:eastAsia="SimSun"/>
                <w:b w:val="0"/>
                <w:i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i w:val="0"/>
                <w:sz w:val="24"/>
              </w:rPr>
              <w:t>20</w:t>
            </w:r>
          </w:p>
        </w:tc>
        <w:tc>
          <w:tcPr>
            <w:tcW w:w="1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43EECA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实验地点</w:t>
            </w:r>
          </w:p>
        </w:tc>
        <w:tc>
          <w:tcPr>
            <w:tcW w:w="372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91A135">
            <w:pPr>
              <w:spacing w:line="400" w:lineRule="exact"/>
              <w:ind w:left="-40" w:right="-51" w:firstLine="0"/>
              <w:jc w:val="center"/>
              <w:rPr>
                <w:rFonts w:hint="default"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>卓越工程师学院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>C-202</w:t>
            </w:r>
            <w:bookmarkStart w:id="0" w:name="_GoBack"/>
            <w:bookmarkEnd w:id="0"/>
          </w:p>
        </w:tc>
      </w:tr>
      <w:tr w14:paraId="2F2286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5" w:hRule="atLeast"/>
          <w:jc w:val="center"/>
        </w:trPr>
        <w:tc>
          <w:tcPr>
            <w:tcW w:w="15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D3F991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实验成绩</w:t>
            </w:r>
          </w:p>
        </w:tc>
        <w:tc>
          <w:tcPr>
            <w:tcW w:w="169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F809BC">
            <w:pPr>
              <w:snapToGrid w:val="0"/>
              <w:spacing w:line="480" w:lineRule="exact"/>
              <w:ind w:left="-42" w:right="171" w:firstLine="240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</w:tc>
        <w:tc>
          <w:tcPr>
            <w:tcW w:w="1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F1C2DD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 xml:space="preserve"> 实验性质</w:t>
            </w:r>
          </w:p>
        </w:tc>
        <w:tc>
          <w:tcPr>
            <w:tcW w:w="372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00FED7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验证性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设计性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☑</w:t>
            </w:r>
            <w:r>
              <w:rPr>
                <w:rFonts w:ascii="SimSun" w:hAnsi="SimSun" w:cs="SimSun"/>
                <w:b/>
                <w:sz w:val="24"/>
                <w:szCs w:val="24"/>
              </w:rPr>
              <w:t>综合性</w:t>
            </w:r>
          </w:p>
        </w:tc>
      </w:tr>
      <w:tr w14:paraId="0803AA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5EFA5915">
            <w:pPr>
              <w:spacing w:line="480" w:lineRule="exact"/>
              <w:ind w:right="-51" w:firstLine="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/>
                <w:sz w:val="24"/>
                <w:szCs w:val="24"/>
              </w:rPr>
              <w:t>教师评价：</w:t>
            </w:r>
          </w:p>
          <w:p w14:paraId="2D875628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算法/实验过程正确；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源程序/实验内容提交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程序结构/实验步骤合理；</w:t>
            </w:r>
          </w:p>
          <w:p w14:paraId="32995FDD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实验结果正确；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语法、语义正确；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报告规范；</w:t>
            </w:r>
            <w:r>
              <w:rPr>
                <w:rFonts w:ascii="楷体_GB2312;楷体" w:hAnsi="楷体_GB2312;楷体" w:eastAsia="楷体_GB2312;楷体"/>
                <w:sz w:val="24"/>
              </w:rPr>
              <w:t xml:space="preserve">         </w:t>
            </w:r>
            <w:r>
              <w:rPr>
                <w:rFonts w:ascii="楷体_GB2312;楷体" w:hAnsi="楷体_GB2312;楷体" w:eastAsia="楷体_GB2312;楷体"/>
              </w:rPr>
              <w:t xml:space="preserve">  </w:t>
            </w:r>
          </w:p>
          <w:p w14:paraId="239CB132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/>
              </w:rPr>
              <w:t>其他：</w:t>
            </w:r>
          </w:p>
          <w:p w14:paraId="74110BCB">
            <w:pPr>
              <w:spacing w:line="480" w:lineRule="exact"/>
              <w:ind w:right="-51" w:firstLine="0"/>
              <w:rPr>
                <w:rFonts w:ascii="SimSun" w:hAnsi="SimSun"/>
              </w:rPr>
            </w:pPr>
            <w:r>
              <w:rPr>
                <w:rFonts w:ascii="SimSun" w:hAnsi="SimSun" w:cs="SimSun"/>
              </w:rPr>
              <w:t xml:space="preserve">                                          </w:t>
            </w:r>
            <w:r>
              <w:rPr>
                <w:rFonts w:ascii="SimSun" w:hAnsi="SimSun"/>
              </w:rPr>
              <w:t xml:space="preserve">评价教师签名： </w:t>
            </w:r>
          </w:p>
        </w:tc>
      </w:tr>
      <w:tr w14:paraId="6601C4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7090A37D">
            <w:pPr>
              <w:numPr>
                <w:ilvl w:val="0"/>
                <w:numId w:val="2"/>
              </w:numPr>
              <w:spacing w:line="480" w:lineRule="exact"/>
              <w:ind w:left="0" w:right="-51" w:firstLine="0"/>
              <w:rPr>
                <w:rFonts w:ascii="SimSun" w:hAnsi="SimSun" w:cs="SimSun"/>
                <w:b/>
                <w:sz w:val="24"/>
              </w:rPr>
            </w:pPr>
          </w:p>
          <w:p w14:paraId="38579E77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一、实验目的</w:t>
            </w:r>
          </w:p>
          <w:p w14:paraId="6823649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1. 深入理解决策树（Decision Tree / CART 算法）的数学原理：掌握节点分裂准则（基尼不纯度 Gini Impurity 与信息熵 Entropy）、递归二叉分裂过程、树深度与叶节点样本量对模型复杂度的控制机制，以及代价复杂度剪枝（CCP, Cost-Complexity Pruning）的数学推导与实现；</w:t>
            </w:r>
          </w:p>
          <w:p w14:paraId="25965C6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2. 掌握面向结构化数据的端到端机器学习工程流程：以 6 个解耦模块（config / preprocessing / imbalance / modeling / evaluation / main）构建可维护的项目结构，涵盖数据加载与清洗、业务驱动特征工程、特征编码、数据标准化、不平衡处理、超参数调优与多维评估的完整链路；</w:t>
            </w:r>
          </w:p>
          <w:p w14:paraId="2DC4BB0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3. 系统掌握混合编码策略的设计依据：理解 One-Hot 编码（InternetService、PaymentMethod 等无序类别）与有序 Label Encoding（Contract 合约类型等有序类别）的本质区别，能根据特征的业务语义和数值关系选择合适的编码方式，避免引入虚假的大小关系假设；</w:t>
            </w:r>
          </w:p>
          <w:p w14:paraId="086C944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4. 深入理解并实践三种类别不平衡处理策略：对比 SMOTE 过采样（imblearn Pipeline 防泄露版本）、随机欠采样和 class_weight 损失加权的工作原理与 Precision-Recall 权衡，特别掌握"SMOTE 必须放入交叉验证 Pipeline 内执行"这一防止数据泄露的关键工程实践；</w:t>
            </w:r>
          </w:p>
          <w:p w14:paraId="6A7366C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5. 掌握 GridSearchCV + StratifiedKFold 超参数调优方法，理解决策树四大核心超参数（max_depth、min_samples_leaf、min_samples_split、criterion）对树结构和泛化能力的影响机制，掌握 CCP alpha 代价复杂度剪枝参数的引入方式，能通过网格搜索寻找最优参数组合；</w:t>
            </w:r>
          </w:p>
          <w:p w14:paraId="26E5E560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6. 理解并能计算类别不平衡场景下的核心评估指标：Precision（精确率）、Recall（召回率）、F1-Score（调和平均）与 ROC-AUC，能从混淆矩阵中解读 FP（误报）与 FN（漏报）对电信业务的不同代价含义，并理解为何 Recall 在流失预测场景中优先级高于 Precision；</w:t>
            </w:r>
          </w:p>
          <w:p w14:paraId="4A82F26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7. 理解决策树相对于逻辑回归的优势与局限：通过 DT vs. LR 的 ROC 曲线对比实验，认识到单棵决策树在中等规模结构化数据集上的性能瓶颈（AUC≈0.83），理解集成树方法（Random Forest、XGBoost）突破此瓶颈的理论基础。</w:t>
            </w:r>
          </w:p>
        </w:tc>
      </w:tr>
      <w:tr w14:paraId="3DD104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0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6A21B1EF">
            <w:pPr>
              <w:numPr>
                <w:ilvl w:val="0"/>
                <w:numId w:val="3"/>
              </w:numPr>
              <w:tabs>
                <w:tab w:val="left" w:pos="1140"/>
              </w:tabs>
              <w:rPr>
                <w:rFonts w:ascii="SimSun" w:hAnsi="SimSun" w:cs="SimSun"/>
                <w:b/>
                <w:sz w:val="24"/>
                <w:szCs w:val="24"/>
              </w:rPr>
            </w:pPr>
          </w:p>
          <w:p w14:paraId="56C3B052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二、实验项目内容</w:t>
            </w:r>
          </w:p>
          <w:p w14:paraId="0BE241BC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（一）数据集简介</w:t>
            </w:r>
          </w:p>
          <w:p w14:paraId="22972E2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本实验使用 IBM Telco Customer Churn 数据集（Kaggle 公开数据集），共 7,043 条电信客户记录，20 个原始特征（含数值型和类别型），目标变量 Churn 标记客户是否已流失（Yes/No）。</w:t>
            </w:r>
          </w:p>
          <w:p w14:paraId="5A5C7C2C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特征涵盖三个维度：① 客户基本属性（gender、SeniorCitizen、Partner、Dependents、tenure）；② 服务订阅信息（PhoneService、MultipleLines、InternetService、OnlineSecurity、OnlineBackup、DeviceProtection、TechSupport、StreamingTV、StreamingMovies）；③ 账单与合约信息（Contract、PaperlessBilling、PaymentMethod、MonthlyCharges、TotalCharges）。</w:t>
            </w:r>
          </w:p>
          <w:p w14:paraId="3FF3579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类别分布呈轻度不平衡：未流失 5,174 条（73.46%）、流失 1,869 条（26.54%），正负样本比约 1:2.77。此外 TotalCharges 列存在 11 条空字符串（以 object 类型存储），为真实工业数据中的典型数据质量问题。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147"/>
              <w:gridCol w:w="2147"/>
              <w:gridCol w:w="2147"/>
              <w:gridCol w:w="2147"/>
            </w:tblGrid>
            <w:tr w14:paraId="3DAFB7F4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BDD7EE"/>
                </w:tcPr>
                <w:p w14:paraId="3619B35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字段</w:t>
                  </w:r>
                </w:p>
              </w:tc>
              <w:tc>
                <w:tcPr>
                  <w:tcW w:w="1134" w:type="dxa"/>
                  <w:shd w:val="clear" w:color="auto" w:fill="BDD7EE"/>
                </w:tcPr>
                <w:p w14:paraId="163B45F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类型</w:t>
                  </w:r>
                </w:p>
              </w:tc>
              <w:tc>
                <w:tcPr>
                  <w:tcW w:w="2551" w:type="dxa"/>
                  <w:shd w:val="clear" w:color="auto" w:fill="BDD7EE"/>
                </w:tcPr>
                <w:p w14:paraId="1D02D90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取值示例</w:t>
                  </w:r>
                </w:p>
              </w:tc>
              <w:tc>
                <w:tcPr>
                  <w:tcW w:w="3685" w:type="dxa"/>
                  <w:shd w:val="clear" w:color="auto" w:fill="BDD7EE"/>
                </w:tcPr>
                <w:p w14:paraId="2C03414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业务含义</w:t>
                  </w:r>
                </w:p>
              </w:tc>
            </w:tr>
            <w:tr w14:paraId="1CB61EC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FFFFFF"/>
                </w:tcPr>
                <w:p w14:paraId="1581192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tenure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076803E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数值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3E50DE0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0–72（月）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5F8ACA9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客户入网时长，越长粘性越高</w:t>
                  </w:r>
                </w:p>
              </w:tc>
            </w:tr>
            <w:tr w14:paraId="05CE2FB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1AEFAC0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Contract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5C13459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有序类别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648969A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Month-to-month / One year / Two year</w:t>
                  </w:r>
                </w:p>
              </w:tc>
              <w:tc>
                <w:tcPr>
                  <w:tcW w:w="3685" w:type="dxa"/>
                  <w:shd w:val="clear" w:color="auto" w:fill="EBF3FB"/>
                </w:tcPr>
                <w:p w14:paraId="3588EC0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合约类型，月付流失率远高于年付</w:t>
                  </w:r>
                </w:p>
              </w:tc>
            </w:tr>
            <w:tr w14:paraId="3B2E955F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701" w:type="dxa"/>
                  <w:shd w:val="clear" w:color="auto" w:fill="FFFFFF"/>
                </w:tcPr>
                <w:p w14:paraId="6DF112A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MonthlyCharges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57E36A2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数值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6EC021D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18.25–118.75（美元）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3D7A52E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月消费额，高消费感知差异大</w:t>
                  </w:r>
                </w:p>
              </w:tc>
            </w:tr>
            <w:tr w14:paraId="22AB7C24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6D35D4C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TotalCharges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6DA4B6B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数值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799EDD1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18.8–8684.8（美元）</w:t>
                  </w:r>
                </w:p>
              </w:tc>
              <w:tc>
                <w:tcPr>
                  <w:tcW w:w="3685" w:type="dxa"/>
                  <w:shd w:val="clear" w:color="auto" w:fill="EBF3FB"/>
                </w:tcPr>
                <w:p w14:paraId="0F95CA4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累计消费，含 11 条空字符串缺失</w:t>
                  </w:r>
                </w:p>
              </w:tc>
            </w:tr>
            <w:tr w14:paraId="48B8575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FFFFFF"/>
                </w:tcPr>
                <w:p w14:paraId="45B06CF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InternetService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5A88D6D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无序类别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1725921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DSL / Fiber optic / No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6B724A0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网络类型，光纤用户流失率最高</w:t>
                  </w:r>
                </w:p>
              </w:tc>
            </w:tr>
            <w:tr w14:paraId="53853BEA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4B3A901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PaymentMethod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5009B9C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无序类别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36EF05D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4 种支付方式</w:t>
                  </w:r>
                </w:p>
              </w:tc>
              <w:tc>
                <w:tcPr>
                  <w:tcW w:w="3685" w:type="dxa"/>
                  <w:shd w:val="clear" w:color="auto" w:fill="EBF3FB"/>
                </w:tcPr>
                <w:p w14:paraId="5D2B37F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电子支票用户流失率显著偏高</w:t>
                  </w:r>
                </w:p>
              </w:tc>
            </w:tr>
            <w:tr w14:paraId="0A3372E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701" w:type="dxa"/>
                  <w:shd w:val="clear" w:color="auto" w:fill="FFFFFF"/>
                </w:tcPr>
                <w:p w14:paraId="2E051D7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Churn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58AF381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目标变量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6190983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Yes=1 / No=0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2A94600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是否已流失（正类为流失）</w:t>
                  </w:r>
                </w:p>
              </w:tc>
            </w:tr>
            <w:tr w14:paraId="2595AC4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3685" w:type="dxa"/>
                  <w:gridSpan w:val="4"/>
                  <w:shd w:val="clear" w:color="auto" w:fill="F2F2F2"/>
                </w:tcPr>
                <w:p w14:paraId="6F717D69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注：全部特征均无 NaN，仅 TotalCharges 含空字符串需转换处理</w:t>
                  </w:r>
                </w:p>
              </w:tc>
            </w:tr>
          </w:tbl>
          <w:p w14:paraId="21B9B904"/>
          <w:p w14:paraId="57620A24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（二）工程化项目架构</w:t>
            </w:r>
          </w:p>
          <w:p w14:paraId="42DA570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本实验将功能解耦为 6 个独立模块，实现关注点分离和可维护性：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4295"/>
              <w:gridCol w:w="4295"/>
            </w:tblGrid>
            <w:tr w14:paraId="2075FB7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BDD7EE"/>
                </w:tcPr>
                <w:p w14:paraId="1C10618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模块文件</w:t>
                  </w:r>
                </w:p>
              </w:tc>
              <w:tc>
                <w:tcPr>
                  <w:tcW w:w="7087" w:type="dxa"/>
                  <w:shd w:val="clear" w:color="auto" w:fill="BDD7EE"/>
                </w:tcPr>
                <w:p w14:paraId="0263CA3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职责说明</w:t>
                  </w:r>
                </w:p>
              </w:tc>
            </w:tr>
            <w:tr w14:paraId="3086A58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FFFFFF"/>
                </w:tcPr>
                <w:p w14:paraId="24E921E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config.py</w:t>
                  </w:r>
                </w:p>
              </w:tc>
              <w:tc>
                <w:tcPr>
                  <w:tcW w:w="7087" w:type="dxa"/>
                  <w:shd w:val="clear" w:color="auto" w:fill="FFFFFF"/>
                </w:tcPr>
                <w:p w14:paraId="52D1AA1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全局配置：路径、随机种子、CV 折数、编码映射、超参数网格（含 CCP alpha）</w:t>
                  </w:r>
                </w:p>
              </w:tc>
            </w:tr>
            <w:tr w14:paraId="36C909B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7AC7DAC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preprocessing.py</w:t>
                  </w:r>
                </w:p>
              </w:tc>
              <w:tc>
                <w:tcPr>
                  <w:tcW w:w="7087" w:type="dxa"/>
                  <w:shd w:val="clear" w:color="auto" w:fill="EBF3FB"/>
                </w:tcPr>
                <w:p w14:paraId="50AD173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数据加载→TotalCharges 修复→10 项特征工程→混合编码→StandardScaler 标准化</w:t>
                  </w:r>
                </w:p>
              </w:tc>
            </w:tr>
            <w:tr w14:paraId="44FC44E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984" w:type="dxa"/>
                  <w:shd w:val="clear" w:color="auto" w:fill="FFFFFF"/>
                </w:tcPr>
                <w:p w14:paraId="2284354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imbalance.py</w:t>
                  </w:r>
                </w:p>
              </w:tc>
              <w:tc>
                <w:tcPr>
                  <w:tcW w:w="7087" w:type="dxa"/>
                  <w:shd w:val="clear" w:color="auto" w:fill="FFFFFF"/>
                </w:tcPr>
                <w:p w14:paraId="4EE2FD2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三种不平衡策略封装（SMOTE 返回重采样数据 / UnderSample / ClassWeight 标志）</w:t>
                  </w:r>
                </w:p>
              </w:tc>
            </w:tr>
            <w:tr w14:paraId="05C76E1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0F47D71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modeling.py</w:t>
                  </w:r>
                </w:p>
              </w:tc>
              <w:tc>
                <w:tcPr>
                  <w:tcW w:w="7087" w:type="dxa"/>
                  <w:shd w:val="clear" w:color="auto" w:fill="EBF3FB"/>
                </w:tcPr>
                <w:p w14:paraId="6B721CA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SMOTE Pipeline GridSearchCV + UnderSample/ClassWeight GridSearchCV + LR 对比</w:t>
                  </w:r>
                </w:p>
              </w:tc>
            </w:tr>
            <w:tr w14:paraId="30F53AA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FFFFFF"/>
                </w:tcPr>
                <w:p w14:paraId="51B6E7F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evaluation.py</w:t>
                  </w:r>
                </w:p>
              </w:tc>
              <w:tc>
                <w:tcPr>
                  <w:tcW w:w="7087" w:type="dxa"/>
                  <w:shd w:val="clear" w:color="auto" w:fill="FFFFFF"/>
                </w:tcPr>
                <w:p w14:paraId="6E6F793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测试集推断、classification_report 打印、4 张可视化图表生成、AUC 汇总</w:t>
                  </w:r>
                </w:p>
              </w:tc>
            </w:tr>
            <w:tr w14:paraId="210B05E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7011979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main.py</w:t>
                  </w:r>
                </w:p>
              </w:tc>
              <w:tc>
                <w:tcPr>
                  <w:tcW w:w="7087" w:type="dxa"/>
                  <w:shd w:val="clear" w:color="auto" w:fill="EBF3FB"/>
                </w:tcPr>
                <w:p w14:paraId="6C3970F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主执行入口，串联完整流水线，9 步骤输出所有结果</w:t>
                  </w:r>
                </w:p>
              </w:tc>
            </w:tr>
          </w:tbl>
          <w:p w14:paraId="06699136"/>
          <w:p w14:paraId="4E19F3D7">
            <w:pPr>
              <w:spacing w:before="0" w:after="40" w:line="240" w:lineRule="auto"/>
              <w:jc w:val="left"/>
            </w:pPr>
          </w:p>
          <w:p w14:paraId="5755EC5C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（三）实验核心任务</w:t>
            </w:r>
          </w:p>
          <w:p w14:paraId="07D4101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① 数据清洗：TotalCharges 空字符串→中位数填充；删除 customerID（无预测价值）；</w:t>
            </w:r>
          </w:p>
          <w:p w14:paraId="4F3D579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② 业务驱动特征工程：构造 10 个衍生特征，包括 num_services（服务订阅数）、risky_combo（月付+新客户高风险组合）、tenure_segment（入网时长分段）、monthly_to_total（消费新鲜度指标）、fiber_high_charge（光纤高消费客户）等；</w:t>
            </w:r>
          </w:p>
          <w:p w14:paraId="5559FE9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③ 混合编码策略：二值 Yes/No 列→0/1 映射；Contract 等有序类别→Label Encoding 保留顺序语义；InternetService、PaymentMethod 等无序类别→One-Hot Encoding 防止虚假大小关系；</w:t>
            </w:r>
          </w:p>
          <w:p w14:paraId="3CFA6E5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④ 三种类别不平衡处理：SMOTE Pipeline（每折独立执行防泄露）/ 随机欠采样 / class_weight='balanced'；</w:t>
            </w:r>
          </w:p>
          <w:p w14:paraId="39F613E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⑤ 决策树超参数调优：GridSearchCV 在 criterion×max_depth×min_samples_leaf×min_samples_split×ccp_alpha 五维参数空间搜索（210 组参数 × 5折 = 1,050 次拟合/策略），scoring=roc_auc；</w:t>
            </w:r>
          </w:p>
          <w:p w14:paraId="0E628F6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⑥ 多维评估：classification_report 输出 Precision/Recall/F1，混淆矩阵分析 FP/FN，ROC 曲线 + AUC，特征重要性；</w:t>
            </w:r>
          </w:p>
          <w:p w14:paraId="382C940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⑦ DT vs. LR 对比：同数据上训练 GridSearchCV 优化的 LR，ROC 图叠加对比，分析线性模型 vs 树模型的差异。</w:t>
            </w:r>
          </w:p>
        </w:tc>
      </w:tr>
      <w:tr w14:paraId="79F77C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4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AFC9E18">
            <w:pPr>
              <w:tabs>
                <w:tab w:val="left" w:pos="1140"/>
              </w:tabs>
              <w:rPr>
                <w:rFonts w:ascii="SimSun" w:hAnsi="SimSun" w:cs="SimSun"/>
                <w:b/>
                <w:sz w:val="24"/>
                <w:szCs w:val="24"/>
              </w:rPr>
            </w:pP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 w14:paraId="10FCB5F2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shd w:val="clear" w:color="auto" w:fill="4472C4"/>
                </w:tcPr>
                <w:p w14:paraId="6AD82DB8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策略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185265DB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最优criterion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3E681D71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max_depth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3003CCFF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min_samples_leaf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1EAC920B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min_samples_split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5A90CFE4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ccp_alpha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210AB8DD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CV-AUC</w:t>
                  </w:r>
                </w:p>
              </w:tc>
              <w:tc>
                <w:tcPr>
                  <w:tcW w:w="1074" w:type="dxa"/>
                  <w:shd w:val="clear" w:color="auto" w:fill="4472C4"/>
                </w:tcPr>
                <w:p w14:paraId="33B6BDB5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树深度/叶数</w:t>
                  </w:r>
                </w:p>
              </w:tc>
            </w:tr>
            <w:tr w14:paraId="295FED4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shd w:val="clear" w:color="auto" w:fill="EBF0FA"/>
                </w:tcPr>
                <w:p w14:paraId="525BC533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SMOTE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6691E331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gini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6EF0104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10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7BCC299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7C1CB88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74DB9DB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0.001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5749B47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0.8447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50B033D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 / 22</w:t>
                  </w:r>
                </w:p>
              </w:tc>
            </w:tr>
            <w:tr w14:paraId="3FE5426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shd w:val="clear" w:color="auto" w:fill="FFFFFF"/>
                </w:tcPr>
                <w:p w14:paraId="312CEE59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UnderSample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7E91E2F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entropy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121252F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0C2F8B9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55DEB8B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01785CA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0.001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22636BA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0.8261</w:t>
                  </w:r>
                </w:p>
              </w:tc>
              <w:tc>
                <w:tcPr>
                  <w:tcW w:w="1074" w:type="dxa"/>
                  <w:shd w:val="clear" w:color="auto" w:fill="FFFFFF"/>
                </w:tcPr>
                <w:p w14:paraId="4CE3FF2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 / 25</w:t>
                  </w:r>
                </w:p>
              </w:tc>
            </w:tr>
            <w:tr w14:paraId="32C260A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074" w:type="dxa"/>
                  <w:shd w:val="clear" w:color="auto" w:fill="EBF0FA"/>
                </w:tcPr>
                <w:p w14:paraId="2EAC02E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ClassWeight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50DE000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entropy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3264E95C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449BD9A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10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2E969B64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47B8A982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0.0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46FF794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0.8323</w:t>
                  </w:r>
                </w:p>
              </w:tc>
              <w:tc>
                <w:tcPr>
                  <w:tcW w:w="1074" w:type="dxa"/>
                  <w:shd w:val="clear" w:color="auto" w:fill="EBF0FA"/>
                </w:tcPr>
                <w:p w14:paraId="70B8D6AE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 / 31</w:t>
                  </w:r>
                </w:p>
              </w:tc>
            </w:tr>
            <w:tr w14:paraId="053D941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8"/>
                  <w:shd w:val="clear" w:color="auto" w:fill="F5F5F5"/>
                </w:tcPr>
                <w:p w14:paraId="699FF788">
                  <w:r>
                    <w:rPr>
                      <w:rFonts w:ascii="SimSun" w:hAnsi="SimSun" w:eastAsia="SimSun"/>
                      <w:b w:val="0"/>
                      <w:i w:val="0"/>
                      <w:color w:val="555555"/>
                      <w:sz w:val="18"/>
                    </w:rPr>
                    <w:t>注：ccp_alpha=0.001 的出现说明轻微后剪枝能改善泛化；max_depth=10 在SMOTE数据上适合（样本量更多，6208条），而两种不平衡调整策略倾向更浅的树（max_depth=5）。</w:t>
                  </w:r>
                </w:p>
              </w:tc>
            </w:tr>
          </w:tbl>
          <w:p w14:paraId="7D3AA9CD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三、实验过程或算法</w:t>
            </w:r>
          </w:p>
          <w:p w14:paraId="28A6A3B8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3.0 决策树（CART算法）数学原理</w:t>
            </w:r>
          </w:p>
          <w:p w14:paraId="5FF4229F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（1）基本概念：递归二叉分裂</w:t>
            </w:r>
          </w:p>
          <w:p w14:paraId="686DE29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CART（Classification and Regression Tree）算法通过自顶向下的递归二叉分裂构建决策树。在每个内部节点，算法从所有特征 j 和所有可能分裂阈值 t 中，选择使目标函数最优的分裂点 (j*, t*)：</w:t>
            </w:r>
          </w:p>
          <w:p w14:paraId="78D6EC75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(j*, t*) = argmin_{j,t}  [ |L|/|S| · I(D_L)  +  |R|/|S| · I(D_R) ]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S=父节点样本集，L/R=左/右子节点，I=不纯度函数</w:t>
            </w:r>
          </w:p>
          <w:p w14:paraId="310592E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分裂持续进行，直到满足停止条件（max_depth 达到上限、min_samples_split 或 min_samples_leaf 约束、节点完全纯净，或 ccp_alpha 剪枝移除子树）。</w:t>
            </w:r>
          </w:p>
          <w:p w14:paraId="0FF6D624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（2）分裂准则一：基尼不纯度（Gini Impurity）</w:t>
            </w:r>
          </w:p>
          <w:p w14:paraId="0D33A61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基尼不纯度衡量节点 D 中随机选取两个样本类别不同的概率，取值范围 [0, 0.5]（二分类）。值越小表示节点越纯净：</w:t>
            </w:r>
          </w:p>
          <w:p w14:paraId="48BC9DDC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Gini(D) = 1 − Σ_{k=1}^{K} p_k²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p_k = 节点中第 k 类样本比例</w:t>
            </w:r>
          </w:p>
          <w:p w14:paraId="0CF8112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二分类情形下（K=2），当 p₁=p₂=0.5 时 Gini=0.5（最不纯），当某类占比为 1 时 Gini=0（完全纯净）。Gini 不纯度的分裂增益为：</w:t>
            </w:r>
          </w:p>
          <w:p w14:paraId="72C27377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ΔGini = Gini(D) − [ |D_L|/|D| · Gini(D_L)  +  |D_R|/|D| · Gini(D_R) ]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选择使 ΔGini 最大的分裂点</w:t>
            </w:r>
          </w:p>
          <w:p w14:paraId="40DC40F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Gini 计算无对数运算，效率更高，是 sklearn DecisionTreeClassifier 的默认准则（criterion='gini'）。</w:t>
            </w:r>
          </w:p>
          <w:p w14:paraId="582625A3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（3）分裂准则二：信息熵与信息增益（Entropy / Information Gain）</w:t>
            </w:r>
          </w:p>
          <w:p w14:paraId="176D5FF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信息熵基于香农信息论，衡量节点的不确定性，取值范围 [0, 1]（二分类归一化后）：</w:t>
            </w:r>
          </w:p>
          <w:p w14:paraId="35021D3B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H(D) = − Σ_{k=1}^{K} p_k · log₂(p_k)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p_k log₂ p_k = 0 当 p_k = 0</w:t>
            </w:r>
          </w:p>
          <w:p w14:paraId="04BE96B4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信息增益（Information Gain）为分裂前后熵的减少量：</w:t>
            </w:r>
          </w:p>
          <w:p w14:paraId="06FFF8B9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IG = H(D) − [ |D_L|/|D| · H(D_L)  +  |D_R|/|D| · H(D_R) ]</w:t>
            </w:r>
          </w:p>
          <w:p w14:paraId="0C194F2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信息熵对小概率类别更敏感（对数放大效应），在类别不平衡场景中理论上略优于 Gini。本实验通过 GridSearchCV 同时搜索 criterion∈{'gini', 'entropy'}，由数据驱动最优选择。</w:t>
            </w:r>
          </w:p>
          <w:p w14:paraId="7AE9BFFD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（4）代价复杂度剪枝（CCP, Cost-Complexity Pruning）</w:t>
            </w:r>
          </w:p>
          <w:p w14:paraId="375990D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未剪枝的完全生长决策树极易过拟合训练集。CCP 通过引入惩罚系数 α 将树的复杂度纳入目标函数：</w:t>
            </w:r>
          </w:p>
          <w:p w14:paraId="304AC493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R_α(T) = R(T)  +  α · |T_L|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R(T)=树的误分率，|T_L|=叶子节点数，α≥0 控制剪枝力度</w:t>
            </w:r>
          </w:p>
          <w:p w14:paraId="4E59CA4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对于给定的 α，存在唯一最优子树 T*(α)。α=0 时为完整树；α 增大时，依次剪去"复杂度收益比最低"的子树，树规模单调缩减。本实验在 GridSearchCV 中将 ccp_alpha∈{0.0, 0.0005, 0.001, 0.002, 0.005} 纳入搜索，由交叉验证 AUC 自动确定最优剪枝强度。</w:t>
            </w:r>
          </w:p>
          <w:p w14:paraId="2015421E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（5）ROC-AUC 评估原理</w:t>
            </w:r>
          </w:p>
          <w:p w14:paraId="20A7CF4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ROC（Receiver Operating Characteristic）曲线以假阳率 FPR 为横轴、真阳率 TPR 为纵轴，扫描所有可能的分类阈值绘制。曲线下面积 AUC 的概率含义为：</w:t>
            </w:r>
          </w:p>
          <w:p w14:paraId="068DF593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AUC = P( score(x⁺) &gt; score(x⁻) )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x⁺=正样本（流失），x⁻=负样本（未流失）</w:t>
            </w:r>
          </w:p>
          <w:p w14:paraId="4593079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AUC=1.0 表示完美分类；AUC=0.5 等同随机猜测。AUC 是阈值无关的整体排序能力指标，不受类别不平衡影响，因此在本实验中同时作为 GridSearchCV 的评分指标（scoring='roc_auc'）和最终模型比较的主要依据。</w:t>
            </w:r>
          </w:p>
          <w:p w14:paraId="3BC87218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3.1 数据预处理</w:t>
            </w:r>
          </w:p>
          <w:p w14:paraId="64097691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（1）TotalCharges 缺失值修复</w:t>
            </w:r>
          </w:p>
          <w:p w14:paraId="4DF9602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TotalCharges 列在原始 CSV 中以 object 类型存储，含 11 条空字符串（对应 tenure=0 的新入网客户）。直接转换会引发 ValueError，处理流程如下：</w:t>
            </w:r>
          </w:p>
          <w:p w14:paraId="0C310457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df['TotalCharges'] = pd.to_numeric(df['TotalCharges'], errors='coerce')</w:t>
            </w:r>
          </w:p>
          <w:p w14:paraId="49DD431F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median_val = df['TotalCharges'].median()  # = 1397.47</w:t>
            </w:r>
          </w:p>
          <w:p w14:paraId="07024B42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df['TotalCharges'] = df['TotalCharges'].fillna(median_val)</w:t>
            </w:r>
          </w:p>
          <w:p w14:paraId="786E714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选择中位数填充（而非均值）的原因：TotalCharges 分布右偏，中位数对极值更鲁棒，且 11 条仅占 0.16%，对整体分布影响极小。</w:t>
            </w:r>
          </w:p>
          <w:p w14:paraId="004198B6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（2）混合编码策略</w:t>
            </w:r>
          </w:p>
          <w:p w14:paraId="6568D2E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根据每列特征的业务语义选择编码方式，核心原则是"有序保序，无序展开"：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147"/>
              <w:gridCol w:w="2147"/>
              <w:gridCol w:w="2147"/>
              <w:gridCol w:w="2147"/>
            </w:tblGrid>
            <w:tr w14:paraId="4EF2898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BDD7EE"/>
                </w:tcPr>
                <w:p w14:paraId="4E31FF8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编码类型</w:t>
                  </w:r>
                </w:p>
              </w:tc>
              <w:tc>
                <w:tcPr>
                  <w:tcW w:w="1984" w:type="dxa"/>
                  <w:shd w:val="clear" w:color="auto" w:fill="BDD7EE"/>
                </w:tcPr>
                <w:p w14:paraId="39FEF53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适用特征</w:t>
                  </w:r>
                </w:p>
              </w:tc>
              <w:tc>
                <w:tcPr>
                  <w:tcW w:w="1984" w:type="dxa"/>
                  <w:shd w:val="clear" w:color="auto" w:fill="BDD7EE"/>
                </w:tcPr>
                <w:p w14:paraId="36C79F7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处理方式</w:t>
                  </w:r>
                </w:p>
              </w:tc>
              <w:tc>
                <w:tcPr>
                  <w:tcW w:w="3402" w:type="dxa"/>
                  <w:shd w:val="clear" w:color="auto" w:fill="BDD7EE"/>
                </w:tcPr>
                <w:p w14:paraId="78C5746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理由</w:t>
                  </w:r>
                </w:p>
              </w:tc>
            </w:tr>
            <w:tr w14:paraId="1C536BF2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FFFFFF"/>
                </w:tcPr>
                <w:p w14:paraId="6D147DC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二值映射 0/1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2B25511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gender、Partner、Dependents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PhoneService、PaperlessBilling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4E145D4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Yes→1, No→0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Female→0, Male→1</w:t>
                  </w:r>
                </w:p>
              </w:tc>
              <w:tc>
                <w:tcPr>
                  <w:tcW w:w="3402" w:type="dxa"/>
                  <w:shd w:val="clear" w:color="auto" w:fill="FFFFFF"/>
                </w:tcPr>
                <w:p w14:paraId="4D2B609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仅两个状态，无需额外展开</w:t>
                  </w:r>
                </w:p>
              </w:tc>
            </w:tr>
            <w:tr w14:paraId="62A27FF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7C4B878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有序 Label Encoding</w:t>
                  </w:r>
                </w:p>
              </w:tc>
              <w:tc>
                <w:tcPr>
                  <w:tcW w:w="1984" w:type="dxa"/>
                  <w:shd w:val="clear" w:color="auto" w:fill="EBF3FB"/>
                </w:tcPr>
                <w:p w14:paraId="5733AC2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Contract</w:t>
                  </w:r>
                </w:p>
              </w:tc>
              <w:tc>
                <w:tcPr>
                  <w:tcW w:w="1984" w:type="dxa"/>
                  <w:shd w:val="clear" w:color="auto" w:fill="EBF3FB"/>
                </w:tcPr>
                <w:p w14:paraId="028B286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Month-to-month=0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One year=1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Two year=2</w:t>
                  </w:r>
                </w:p>
              </w:tc>
              <w:tc>
                <w:tcPr>
                  <w:tcW w:w="3402" w:type="dxa"/>
                  <w:shd w:val="clear" w:color="auto" w:fill="EBF3FB"/>
                </w:tcPr>
                <w:p w14:paraId="7B612BA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合约期越长粘性越高，保留单调顺序语义</w:t>
                  </w:r>
                </w:p>
              </w:tc>
            </w:tr>
            <w:tr w14:paraId="2ABEB16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701" w:type="dxa"/>
                  <w:shd w:val="clear" w:color="auto" w:fill="FFFFFF"/>
                </w:tcPr>
                <w:p w14:paraId="6D68522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有序 Label Encoding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01E38B3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MultipleLines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0C13FE6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No phone service=0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No=1, Yes=2</w:t>
                  </w:r>
                </w:p>
              </w:tc>
              <w:tc>
                <w:tcPr>
                  <w:tcW w:w="3402" w:type="dxa"/>
                  <w:shd w:val="clear" w:color="auto" w:fill="FFFFFF"/>
                </w:tcPr>
                <w:p w14:paraId="2859E12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服务从无到有存在自然顺序</w:t>
                  </w:r>
                </w:p>
              </w:tc>
            </w:tr>
            <w:tr w14:paraId="2B3750C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1950C7B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有序 Label Encoding</w:t>
                  </w:r>
                </w:p>
              </w:tc>
              <w:tc>
                <w:tcPr>
                  <w:tcW w:w="1984" w:type="dxa"/>
                  <w:shd w:val="clear" w:color="auto" w:fill="EBF3FB"/>
                </w:tcPr>
                <w:p w14:paraId="07E3A4D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6项互联网附加服务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(Security/Backup等)</w:t>
                  </w:r>
                </w:p>
              </w:tc>
              <w:tc>
                <w:tcPr>
                  <w:tcW w:w="1984" w:type="dxa"/>
                  <w:shd w:val="clear" w:color="auto" w:fill="EBF3FB"/>
                </w:tcPr>
                <w:p w14:paraId="601A7B2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No internet service=0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No=1, Yes=2</w:t>
                  </w:r>
                </w:p>
              </w:tc>
              <w:tc>
                <w:tcPr>
                  <w:tcW w:w="3402" w:type="dxa"/>
                  <w:shd w:val="clear" w:color="auto" w:fill="EBF3FB"/>
                </w:tcPr>
                <w:p w14:paraId="0976300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从无网络到未订阅到已订阅，顺序有意义</w:t>
                  </w:r>
                </w:p>
              </w:tc>
            </w:tr>
            <w:tr w14:paraId="07D5D618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FFFFFF"/>
                </w:tcPr>
                <w:p w14:paraId="65C4853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One-Hot Encoding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3FDB930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InternetService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PaymentMethod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05BDA8F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pd.get_dummies(drop_first=False)</w:t>
                  </w:r>
                </w:p>
              </w:tc>
              <w:tc>
                <w:tcPr>
                  <w:tcW w:w="3402" w:type="dxa"/>
                  <w:shd w:val="clear" w:color="auto" w:fill="FFFFFF"/>
                </w:tcPr>
                <w:p w14:paraId="1CE0EF7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无自然顺序，One-Hot避免错误大小关系</w:t>
                  </w:r>
                </w:p>
              </w:tc>
            </w:tr>
            <w:tr w14:paraId="0DB2695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3402" w:type="dxa"/>
                  <w:gridSpan w:val="4"/>
                  <w:shd w:val="clear" w:color="auto" w:fill="F2F2F2"/>
                </w:tcPr>
                <w:p w14:paraId="71C4454C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注：Contract 为何用 Label Encoding 而非 One-Hot？因为 Two year(2) &gt; One year(1) &gt; Month-to-month(0) 与"合约期越长客户越稳定"的业务认知一致，保留该顺序使决策树能学到单调性规则</w:t>
                  </w:r>
                </w:p>
              </w:tc>
            </w:tr>
          </w:tbl>
          <w:p w14:paraId="333EADAD"/>
          <w:p w14:paraId="47DF4D72">
            <w:pPr>
              <w:spacing w:before="0" w:after="40" w:line="240" w:lineRule="auto"/>
              <w:jc w:val="left"/>
            </w:pPr>
          </w:p>
          <w:p w14:paraId="71DEE938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3.2 特征工程（10个衍生特征）</w:t>
            </w:r>
          </w:p>
          <w:p w14:paraId="3C2DE31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在编码前对原始字符串列进行操作，构造 10 个业务驱动的衍生特征。决策树虽能自动捕捉特征间的分段规则，但手工特征工程能显式提供更高信息密度的输入，减少树深度需求，降低过拟合风险。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863"/>
              <w:gridCol w:w="2863"/>
              <w:gridCol w:w="2863"/>
            </w:tblGrid>
            <w:tr w14:paraId="5CA80A3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BDD7EE"/>
                </w:tcPr>
                <w:p w14:paraId="68FDF8D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特征名</w:t>
                  </w:r>
                </w:p>
              </w:tc>
              <w:tc>
                <w:tcPr>
                  <w:tcW w:w="2551" w:type="dxa"/>
                  <w:shd w:val="clear" w:color="auto" w:fill="BDD7EE"/>
                </w:tcPr>
                <w:p w14:paraId="563B3BF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构造方式</w:t>
                  </w:r>
                </w:p>
              </w:tc>
              <w:tc>
                <w:tcPr>
                  <w:tcW w:w="4536" w:type="dxa"/>
                  <w:shd w:val="clear" w:color="auto" w:fill="BDD7EE"/>
                </w:tcPr>
                <w:p w14:paraId="03C5BB4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业务含义与设计依据</w:t>
                  </w:r>
                </w:p>
              </w:tc>
            </w:tr>
            <w:tr w14:paraId="161172F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FFFFFF"/>
                </w:tcPr>
                <w:p w14:paraId="0DB4F32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num_services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6C117C4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7项服务中 "Yes" 的数量 (0–7)</w:t>
                  </w:r>
                </w:p>
              </w:tc>
              <w:tc>
                <w:tcPr>
                  <w:tcW w:w="4536" w:type="dxa"/>
                  <w:shd w:val="clear" w:color="auto" w:fill="FFFFFF"/>
                </w:tcPr>
                <w:p w14:paraId="3B7147D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服务订阅越多 → 客户粘性越高 → 流失风险越低。是单一最有区分度的衍生特征之一</w:t>
                  </w:r>
                </w:p>
              </w:tc>
            </w:tr>
            <w:tr w14:paraId="401580C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09280F1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has_internet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5391465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InternetService != "No" → 1</w:t>
                  </w:r>
                </w:p>
              </w:tc>
              <w:tc>
                <w:tcPr>
                  <w:tcW w:w="4536" w:type="dxa"/>
                  <w:shd w:val="clear" w:color="auto" w:fill="EBF3FB"/>
                </w:tcPr>
                <w:p w14:paraId="1818013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有无互联网服务是流失行为的重要分水岭，光纤用户流失率尤高</w:t>
                  </w:r>
                </w:p>
              </w:tc>
            </w:tr>
            <w:tr w14:paraId="64E074B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984" w:type="dxa"/>
                  <w:shd w:val="clear" w:color="auto" w:fill="FFFFFF"/>
                </w:tcPr>
                <w:p w14:paraId="760E1DC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monthly_to_total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7285F2B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MonthlyCharges / (TotalCharges + 1)</w:t>
                  </w:r>
                </w:p>
              </w:tc>
              <w:tc>
                <w:tcPr>
                  <w:tcW w:w="4536" w:type="dxa"/>
                  <w:shd w:val="clear" w:color="auto" w:fill="FFFFFF"/>
                </w:tcPr>
                <w:p w14:paraId="08D02EA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比值高 → 客户较新或近期费率暴涨 → 流失风险高；相当于"消费新鲜度"</w:t>
                  </w:r>
                </w:p>
              </w:tc>
            </w:tr>
            <w:tr w14:paraId="6561AA2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15F8544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avg_monthly_charge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6E4F355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TotalCharges / (tenure + 1)</w:t>
                  </w:r>
                </w:p>
              </w:tc>
              <w:tc>
                <w:tcPr>
                  <w:tcW w:w="4536" w:type="dxa"/>
                  <w:shd w:val="clear" w:color="auto" w:fill="EBF3FB"/>
                </w:tcPr>
                <w:p w14:paraId="2E052E7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历史均摊月费，与 MonthlyCharges 的差异反映费率变化趋势</w:t>
                  </w:r>
                </w:p>
              </w:tc>
            </w:tr>
            <w:tr w14:paraId="114F65D4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FFFFFF"/>
                </w:tcPr>
                <w:p w14:paraId="11DDDC2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is_new_customer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4FFCF71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tenure ≤ 12 → 1</w:t>
                  </w:r>
                </w:p>
              </w:tc>
              <w:tc>
                <w:tcPr>
                  <w:tcW w:w="4536" w:type="dxa"/>
                  <w:shd w:val="clear" w:color="auto" w:fill="FFFFFF"/>
                </w:tcPr>
                <w:p w14:paraId="7CB3259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入网不足1年的新客户流失率显著高于稳定客户，二值特征直接提示高风险</w:t>
                  </w:r>
                </w:p>
              </w:tc>
            </w:tr>
            <w:tr w14:paraId="568AA5E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3F88E27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charge_per_service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76CEF98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MonthlyCharges / (num_services + 1)</w:t>
                  </w:r>
                </w:p>
              </w:tc>
              <w:tc>
                <w:tcPr>
                  <w:tcW w:w="4536" w:type="dxa"/>
                  <w:shd w:val="clear" w:color="auto" w:fill="EBF3FB"/>
                </w:tcPr>
                <w:p w14:paraId="1CC2ED5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单服务均摊月费高 → 性价比感知低 → 更倾向流失</w:t>
                  </w:r>
                </w:p>
              </w:tc>
            </w:tr>
            <w:tr w14:paraId="63E4D14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984" w:type="dxa"/>
                  <w:shd w:val="clear" w:color="auto" w:fill="FFFFFF"/>
                </w:tcPr>
                <w:p w14:paraId="4C6CBB0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risky_combo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0C4B37C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Contract=="Month-to-month"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&amp; tenure≤12 → 1</w:t>
                  </w:r>
                </w:p>
              </w:tc>
              <w:tc>
                <w:tcPr>
                  <w:tcW w:w="4536" w:type="dxa"/>
                  <w:shd w:val="clear" w:color="auto" w:fill="FFFFFF"/>
                </w:tcPr>
                <w:p w14:paraId="26B5058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月付合约 AND 新客户的叠加高风险组合，是最强流失预测规则之一</w:t>
                  </w:r>
                </w:p>
              </w:tc>
            </w:tr>
            <w:tr w14:paraId="2DC85EA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31B9FF7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fiber_high_charge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484F63A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InternetService=="Fiber optic"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&amp; MonthlyCharges&gt;中位数 → 1</w:t>
                  </w:r>
                </w:p>
              </w:tc>
              <w:tc>
                <w:tcPr>
                  <w:tcW w:w="4536" w:type="dxa"/>
                  <w:shd w:val="clear" w:color="auto" w:fill="EBF3FB"/>
                </w:tcPr>
                <w:p w14:paraId="34E4EE1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光纤宽带高消费用户：服务期望高，一旦体验不满意极易流失</w:t>
                  </w:r>
                </w:p>
              </w:tc>
            </w:tr>
            <w:tr w14:paraId="0C6111C4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FFFFFF"/>
                </w:tcPr>
                <w:p w14:paraId="28F1658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monthly_charge_rank</w:t>
                  </w:r>
                </w:p>
              </w:tc>
              <w:tc>
                <w:tcPr>
                  <w:tcW w:w="2551" w:type="dxa"/>
                  <w:shd w:val="clear" w:color="auto" w:fill="FFFFFF"/>
                </w:tcPr>
                <w:p w14:paraId="30FEE84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MonthlyCharges.rank(pct=True)</w:t>
                  </w:r>
                </w:p>
              </w:tc>
              <w:tc>
                <w:tcPr>
                  <w:tcW w:w="4536" w:type="dxa"/>
                  <w:shd w:val="clear" w:color="auto" w:fill="FFFFFF"/>
                </w:tcPr>
                <w:p w14:paraId="4C64094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月费分位数排名，使决策树在不同费率区间做出更精细的分裂决策</w:t>
                  </w:r>
                </w:p>
              </w:tc>
            </w:tr>
            <w:tr w14:paraId="4441248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984" w:type="dxa"/>
                  <w:shd w:val="clear" w:color="auto" w:fill="EBF3FB"/>
                </w:tcPr>
                <w:p w14:paraId="4D8E44A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tenure_segment</w:t>
                  </w:r>
                </w:p>
              </w:tc>
              <w:tc>
                <w:tcPr>
                  <w:tcW w:w="2551" w:type="dxa"/>
                  <w:shd w:val="clear" w:color="auto" w:fill="EBF3FB"/>
                </w:tcPr>
                <w:p w14:paraId="33A14A1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pd.cut(tenure, [-1,12,24,48,∞], labels=[0,1,2,3])</w:t>
                  </w:r>
                </w:p>
              </w:tc>
              <w:tc>
                <w:tcPr>
                  <w:tcW w:w="4536" w:type="dxa"/>
                  <w:shd w:val="clear" w:color="auto" w:fill="EBF3FB"/>
                </w:tcPr>
                <w:p w14:paraId="5DC16E4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入网时长分段：新客户(0)/成长期(1)/稳定期(2)/忠实客户(3)，显式编码时长阶段效应</w:t>
                  </w:r>
                </w:p>
              </w:tc>
            </w:tr>
            <w:tr w14:paraId="47AA9C4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4536" w:type="dxa"/>
                  <w:gridSpan w:val="3"/>
                  <w:shd w:val="clear" w:color="auto" w:fill="F2F2F2"/>
                </w:tcPr>
                <w:p w14:paraId="777A15EB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特征工程后总特征数：34维（原始20维 + 10衍生特征 + 4个One-Hot展开列）</w:t>
                  </w:r>
                </w:p>
              </w:tc>
            </w:tr>
          </w:tbl>
          <w:p w14:paraId="216371A7"/>
          <w:p w14:paraId="7FA00761">
            <w:pPr>
              <w:spacing w:before="0" w:after="40" w:line="240" w:lineRule="auto"/>
              <w:jc w:val="left"/>
            </w:pPr>
          </w:p>
          <w:p w14:paraId="2EA0E28B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3.3 类别不平衡处理策略</w:t>
            </w:r>
          </w:p>
          <w:p w14:paraId="07BB0D4A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数据集约 26.54% 为流失客户。若直接训练不做任何处理，模型可通过将所有样本预测为"未流失"获得 73.46% 的准确率，但 Recall(流失)=0，毫无业务价值。本实验对比三种策略：</w:t>
            </w:r>
          </w:p>
          <w:p w14:paraId="19AE72A7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策略 A — SMOTE + imblearn Pipeline（防泄露版本）</w:t>
            </w:r>
          </w:p>
          <w:p w14:paraId="10921B8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SMOTE（Synthetic Minority Over-sampling Technique）原理：对少数类每个样本，在其 k=5 个最近邻之间随机线性插值合成新样本。合成结果：训练集 No=4,139，Yes=4,139（1:1平衡）。</w:t>
            </w:r>
          </w:p>
          <w:p w14:paraId="0B72D48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关键工程实践——SMOTE 必须放入 Pipeline 内执行：若在 GridSearchCV 外先做 SMOTE 再送入 CV，合成样本的"近邻信息"已包含完整训练集数据，折内测试集事实上已被"污染"，CV-AUC 会虚高（实验对比：Pipeline 前 CV-AUC=0.8858，Pipeline 后 CV-AUC=0.8199，差值 0.0659，均为数据泄露的典型征兆）。正确做法：</w:t>
            </w:r>
          </w:p>
          <w:p w14:paraId="3E89C846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from imblearn.pipeline import Pipeline as ImbPipeline</w:t>
            </w:r>
          </w:p>
          <w:p w14:paraId="0E2770CF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pipeline = ImbPipeline([</w:t>
            </w:r>
          </w:p>
          <w:p w14:paraId="510947F1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('smote', SMOTE(k_neighbors=5, random_state=42)),</w:t>
            </w:r>
          </w:p>
          <w:p w14:paraId="2EB7B1DC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 xml:space="preserve">    ('clf',   DecisionTreeClassifier(random_state=42)),</w:t>
            </w:r>
          </w:p>
          <w:p w14:paraId="1DEE529E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])</w:t>
            </w:r>
          </w:p>
          <w:p w14:paraId="203B70AA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# 参数名前缀 'clf__' 对应 Pipeline 中的 DT 步骤</w:t>
            </w:r>
          </w:p>
          <w:p w14:paraId="71A8E0BA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gs = GridSearchCV(pipeline, {'clf__max_depth': [...], ...}, cv=cv, scoring='roc_auc')</w:t>
            </w:r>
          </w:p>
          <w:p w14:paraId="3F27AF8C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策略 B — RandomUnderSampler 随机欠采样</w:t>
            </w:r>
          </w:p>
          <w:p w14:paraId="62D8EE9E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随机删除多数类样本至 1:1，训练集从 5,634 条压缩至 2,990 条（No=1,495, Yes=1,495）。优点：无合成样本，不引入人工噪声，训练速度快；缺点：丢弃 2,644 条真实多数类信息（64% 的原始多数类），可能影响泛化。</w:t>
            </w:r>
          </w:p>
          <w:p w14:paraId="6F4EAAD4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rus = RandomUnderSampler(sampling_strategy=1.0, random_state=42)</w:t>
            </w:r>
          </w:p>
          <w:p w14:paraId="5861418D">
            <w:pPr>
              <w:spacing w:before="0" w:after="0" w:line="240" w:lineRule="auto"/>
              <w:ind w:left="340"/>
            </w:pPr>
            <w:r>
              <w:rPr>
                <w:rFonts w:ascii="Courier New" w:hAnsi="Courier New" w:eastAsia="SimSun"/>
                <w:b w:val="0"/>
                <w:i w:val="0"/>
                <w:color w:val="1A5376"/>
                <w:sz w:val="18"/>
              </w:rPr>
              <w:t>X_under, y_under = rus.fit_resample(X_train, y_train)  # → (2990, 34)</w:t>
            </w:r>
          </w:p>
          <w:p w14:paraId="4A2E04B1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策略 C — class_weight='balanced'（损失函数权重调节）</w:t>
            </w:r>
          </w:p>
          <w:p w14:paraId="7238025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不修改任何训练样本，通过在树分裂的信息增益/基尼计算中对少数类样本赋予更高权重来补偿不平衡。sklearn 自动计算各类权重：</w:t>
            </w:r>
          </w:p>
          <w:p w14:paraId="750B8858">
            <w:pPr>
              <w:spacing w:before="40" w:after="40" w:line="240" w:lineRule="auto"/>
              <w:ind w:left="850"/>
            </w:pPr>
            <w:r>
              <w:rPr>
                <w:rFonts w:ascii="Times New Roman" w:hAnsi="Times New Roman" w:eastAsia="Times New Roman"/>
                <w:b w:val="0"/>
                <w:i/>
                <w:color w:val="7B001A"/>
                <w:sz w:val="22"/>
              </w:rPr>
              <w:t>weight_c = n_samples / (n_classes × count_c)</w:t>
            </w:r>
            <w:r>
              <w:rPr>
                <w:rFonts w:ascii="SimSun" w:hAnsi="SimSun" w:eastAsia="SimSun"/>
                <w:b w:val="0"/>
                <w:i w:val="0"/>
                <w:color w:val="606060"/>
                <w:sz w:val="20"/>
              </w:rPr>
              <w:t xml:space="preserve">  Yes 类权重 = 5634 / (2 × 1495) ≈ 1.884；No 类权重 ≈ 0.680</w:t>
            </w:r>
          </w:p>
          <w:p w14:paraId="3A42A35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原始 5,634 条训练数据完整保留，信息损失最小，是理论上最保守的策略。实验结果显示该策略的 CV-AUC 最高（0.8301），说明在未破坏数据分布的情况下，权重调节已足以引导树向少数类倾斜。</w:t>
            </w:r>
          </w:p>
          <w:p w14:paraId="4CB6D487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3.4 超参数调优（GridSearchCV + StratifiedKFold, k=5）</w:t>
            </w:r>
          </w:p>
          <w:p w14:paraId="41CAB0B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使用 GridSearchCV 在五维参数空间进行全量网格搜索，评分指标为 roc_auc：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863"/>
              <w:gridCol w:w="2863"/>
              <w:gridCol w:w="2863"/>
            </w:tblGrid>
            <w:tr w14:paraId="407B5C4A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BDD7EE"/>
                </w:tcPr>
                <w:p w14:paraId="52BC84C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参数</w:t>
                  </w:r>
                </w:p>
              </w:tc>
              <w:tc>
                <w:tcPr>
                  <w:tcW w:w="1984" w:type="dxa"/>
                  <w:shd w:val="clear" w:color="auto" w:fill="BDD7EE"/>
                </w:tcPr>
                <w:p w14:paraId="4433504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搜索范围</w:t>
                  </w:r>
                </w:p>
              </w:tc>
              <w:tc>
                <w:tcPr>
                  <w:tcW w:w="5386" w:type="dxa"/>
                  <w:shd w:val="clear" w:color="auto" w:fill="BDD7EE"/>
                </w:tcPr>
                <w:p w14:paraId="01C3957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参数含义与影响</w:t>
                  </w:r>
                </w:p>
              </w:tc>
            </w:tr>
            <w:tr w14:paraId="4BBE543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FFFFFF"/>
                </w:tcPr>
                <w:p w14:paraId="6632AF2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criterion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1D619B4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['gini', 'entropy']</w:t>
                  </w:r>
                </w:p>
              </w:tc>
              <w:tc>
                <w:tcPr>
                  <w:tcW w:w="5386" w:type="dxa"/>
                  <w:shd w:val="clear" w:color="auto" w:fill="FFFFFF"/>
                </w:tcPr>
                <w:p w14:paraId="213B0A9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分裂准则。Gini 计算效率更高；Entropy 对小概率类更敏感</w:t>
                  </w:r>
                </w:p>
              </w:tc>
            </w:tr>
            <w:tr w14:paraId="5ED2A54F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6DD401C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max_depth</w:t>
                  </w:r>
                </w:p>
              </w:tc>
              <w:tc>
                <w:tcPr>
                  <w:tcW w:w="1984" w:type="dxa"/>
                  <w:shd w:val="clear" w:color="auto" w:fill="EBF3FB"/>
                </w:tcPr>
                <w:p w14:paraId="4EFF273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[3, 5, 7, 10, 15, 20, None]</w:t>
                  </w:r>
                </w:p>
              </w:tc>
              <w:tc>
                <w:tcPr>
                  <w:tcW w:w="5386" w:type="dxa"/>
                  <w:shd w:val="clear" w:color="auto" w:fill="EBF3FB"/>
                </w:tcPr>
                <w:p w14:paraId="0D780ED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树的最大深度。过深→过拟合；过浅→欠拟合。实验最优集中在 5–10</w:t>
                  </w:r>
                </w:p>
              </w:tc>
            </w:tr>
            <w:tr w14:paraId="3A480AC4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701" w:type="dxa"/>
                  <w:shd w:val="clear" w:color="auto" w:fill="FFFFFF"/>
                </w:tcPr>
                <w:p w14:paraId="1852CFB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min_samples_leaf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6A7B195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[1, 2, 5, 10, 20]</w:t>
                  </w:r>
                </w:p>
              </w:tc>
              <w:tc>
                <w:tcPr>
                  <w:tcW w:w="5386" w:type="dxa"/>
                  <w:shd w:val="clear" w:color="auto" w:fill="FFFFFF"/>
                </w:tcPr>
                <w:p w14:paraId="63AEE7E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叶节点最少样本数，等效剪枝参数。越大→树越保守，泛化越强</w:t>
                  </w:r>
                </w:p>
              </w:tc>
            </w:tr>
            <w:tr w14:paraId="333548E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EBF3FB"/>
                </w:tcPr>
                <w:p w14:paraId="4ED9CB6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min_samples_split</w:t>
                  </w:r>
                </w:p>
              </w:tc>
              <w:tc>
                <w:tcPr>
                  <w:tcW w:w="1984" w:type="dxa"/>
                  <w:shd w:val="clear" w:color="auto" w:fill="EBF3FB"/>
                </w:tcPr>
                <w:p w14:paraId="507B162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[2, 5, 10]</w:t>
                  </w:r>
                </w:p>
              </w:tc>
              <w:tc>
                <w:tcPr>
                  <w:tcW w:w="5386" w:type="dxa"/>
                  <w:shd w:val="clear" w:color="auto" w:fill="EBF3FB"/>
                </w:tcPr>
                <w:p w14:paraId="75C6B59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内节点分裂所需最少样本数。越大→树分支越少，结构更简洁</w:t>
                  </w:r>
                </w:p>
              </w:tc>
            </w:tr>
            <w:tr w14:paraId="34F3A01A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701" w:type="dxa"/>
                  <w:shd w:val="clear" w:color="auto" w:fill="FFFFFF"/>
                </w:tcPr>
                <w:p w14:paraId="27B557E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ccp_alpha</w:t>
                  </w:r>
                </w:p>
              </w:tc>
              <w:tc>
                <w:tcPr>
                  <w:tcW w:w="1984" w:type="dxa"/>
                  <w:shd w:val="clear" w:color="auto" w:fill="FFFFFF"/>
                </w:tcPr>
                <w:p w14:paraId="0BC7134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[0.0, 0.0005, 0.001, 0.002, 0.005]</w:t>
                  </w:r>
                </w:p>
              </w:tc>
              <w:tc>
                <w:tcPr>
                  <w:tcW w:w="5386" w:type="dxa"/>
                  <w:shd w:val="clear" w:color="auto" w:fill="FFFFFF"/>
                </w:tcPr>
                <w:p w14:paraId="611A5F3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代价复杂度剪枝系数。0=不剪；越大→后剪枝越激进→树越简单</w:t>
                  </w:r>
                </w:p>
              </w:tc>
            </w:tr>
            <w:tr w14:paraId="00E4B94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5386" w:type="dxa"/>
                  <w:gridSpan w:val="3"/>
                  <w:shd w:val="clear" w:color="auto" w:fill="F2F2F2"/>
                </w:tcPr>
                <w:p w14:paraId="1E02307C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搜索规模：2×7×5×3×5 = 1,050 组参数组合 × 5折 = 5,250 次模型拟合/策略（n_jobs=-1并行）</w:t>
                  </w:r>
                </w:p>
              </w:tc>
            </w:tr>
          </w:tbl>
          <w:p w14:paraId="6C0694D2"/>
          <w:p w14:paraId="52DE3F80">
            <w:pPr>
              <w:spacing w:before="0" w:after="40" w:line="240" w:lineRule="auto"/>
              <w:jc w:val="left"/>
            </w:pPr>
          </w:p>
          <w:p w14:paraId="027F5E60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选用 roc_auc 作为 CV 评分的必要性：若以 accuracy 作为评分，将所有样本预测为"未流失"可获得 73.5% 的准确率，GridSearch 可能误选出偏向多数类的参数。roc_auc 是阈值无关的排序指标，完全不受类别比例影响，能更准确地引导参数选择。</w:t>
            </w:r>
          </w:p>
          <w:p w14:paraId="3999C767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最优超参数汇总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227"/>
              <w:gridCol w:w="1227"/>
              <w:gridCol w:w="1227"/>
              <w:gridCol w:w="1227"/>
              <w:gridCol w:w="1227"/>
              <w:gridCol w:w="1227"/>
              <w:gridCol w:w="1227"/>
            </w:tblGrid>
            <w:tr w14:paraId="7ED0558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BDD7EE"/>
                </w:tcPr>
                <w:p w14:paraId="4669750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策略</w:t>
                  </w:r>
                </w:p>
              </w:tc>
              <w:tc>
                <w:tcPr>
                  <w:tcW w:w="1020" w:type="dxa"/>
                  <w:shd w:val="clear" w:color="auto" w:fill="BDD7EE"/>
                </w:tcPr>
                <w:p w14:paraId="418E001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criterion</w:t>
                  </w:r>
                </w:p>
              </w:tc>
              <w:tc>
                <w:tcPr>
                  <w:tcW w:w="1247" w:type="dxa"/>
                  <w:shd w:val="clear" w:color="auto" w:fill="BDD7EE"/>
                </w:tcPr>
                <w:p w14:paraId="0EBC379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max_depth</w:t>
                  </w:r>
                </w:p>
              </w:tc>
              <w:tc>
                <w:tcPr>
                  <w:tcW w:w="1587" w:type="dxa"/>
                  <w:shd w:val="clear" w:color="auto" w:fill="BDD7EE"/>
                </w:tcPr>
                <w:p w14:paraId="3AE5A12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min_samples_leaf</w:t>
                  </w:r>
                </w:p>
              </w:tc>
              <w:tc>
                <w:tcPr>
                  <w:tcW w:w="1587" w:type="dxa"/>
                  <w:shd w:val="clear" w:color="auto" w:fill="BDD7EE"/>
                </w:tcPr>
                <w:p w14:paraId="123A4DD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min_samples_split</w:t>
                  </w:r>
                </w:p>
              </w:tc>
              <w:tc>
                <w:tcPr>
                  <w:tcW w:w="1020" w:type="dxa"/>
                  <w:shd w:val="clear" w:color="auto" w:fill="BDD7EE"/>
                </w:tcPr>
                <w:p w14:paraId="3B571C2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ccp_alpha</w:t>
                  </w:r>
                </w:p>
              </w:tc>
              <w:tc>
                <w:tcPr>
                  <w:tcW w:w="1020" w:type="dxa"/>
                  <w:shd w:val="clear" w:color="auto" w:fill="BDD7EE"/>
                </w:tcPr>
                <w:p w14:paraId="23340FE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CV-AUC</w:t>
                  </w:r>
                </w:p>
              </w:tc>
            </w:tr>
            <w:tr w14:paraId="54C82A4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FFFFFF"/>
                </w:tcPr>
                <w:p w14:paraId="4FD19F3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(SMOTE Pipeline)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1FCBCA2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gini</w:t>
                  </w:r>
                </w:p>
              </w:tc>
              <w:tc>
                <w:tcPr>
                  <w:tcW w:w="1247" w:type="dxa"/>
                  <w:shd w:val="clear" w:color="auto" w:fill="FFFFFF"/>
                </w:tcPr>
                <w:p w14:paraId="13763DA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</w:t>
                  </w:r>
                </w:p>
              </w:tc>
              <w:tc>
                <w:tcPr>
                  <w:tcW w:w="1587" w:type="dxa"/>
                  <w:shd w:val="clear" w:color="auto" w:fill="FFFFFF"/>
                </w:tcPr>
                <w:p w14:paraId="4919C1D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w="1587" w:type="dxa"/>
                  <w:shd w:val="clear" w:color="auto" w:fill="FFFFFF"/>
                </w:tcPr>
                <w:p w14:paraId="4C97AA0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24E6E0F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0.0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41D142A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0.8199</w:t>
                  </w:r>
                </w:p>
              </w:tc>
            </w:tr>
            <w:tr w14:paraId="140FD94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EBF3FB"/>
                </w:tcPr>
                <w:p w14:paraId="0FE4590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(UnderSample)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2617066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gini</w:t>
                  </w:r>
                </w:p>
              </w:tc>
              <w:tc>
                <w:tcPr>
                  <w:tcW w:w="1247" w:type="dxa"/>
                  <w:shd w:val="clear" w:color="auto" w:fill="EBF3FB"/>
                </w:tcPr>
                <w:p w14:paraId="25A52DF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10</w:t>
                  </w:r>
                </w:p>
              </w:tc>
              <w:tc>
                <w:tcPr>
                  <w:tcW w:w="1587" w:type="dxa"/>
                  <w:shd w:val="clear" w:color="auto" w:fill="EBF3FB"/>
                </w:tcPr>
                <w:p w14:paraId="42D77EA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20</w:t>
                  </w:r>
                </w:p>
              </w:tc>
              <w:tc>
                <w:tcPr>
                  <w:tcW w:w="1587" w:type="dxa"/>
                  <w:shd w:val="clear" w:color="auto" w:fill="EBF3FB"/>
                </w:tcPr>
                <w:p w14:paraId="784335C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052FA82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0.0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035FDE4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0.8142</w:t>
                  </w:r>
                </w:p>
              </w:tc>
            </w:tr>
            <w:tr w14:paraId="70C9B0FF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2154" w:type="dxa"/>
                  <w:shd w:val="clear" w:color="auto" w:fill="FFFFFF"/>
                </w:tcPr>
                <w:p w14:paraId="3126FA5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(ClassWeight)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41CFFBF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gini</w:t>
                  </w:r>
                </w:p>
              </w:tc>
              <w:tc>
                <w:tcPr>
                  <w:tcW w:w="1247" w:type="dxa"/>
                  <w:shd w:val="clear" w:color="auto" w:fill="FFFFFF"/>
                </w:tcPr>
                <w:p w14:paraId="6053C2F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5</w:t>
                  </w:r>
                </w:p>
              </w:tc>
              <w:tc>
                <w:tcPr>
                  <w:tcW w:w="1587" w:type="dxa"/>
                  <w:shd w:val="clear" w:color="auto" w:fill="FFFFFF"/>
                </w:tcPr>
                <w:p w14:paraId="0E26902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20</w:t>
                  </w:r>
                </w:p>
              </w:tc>
              <w:tc>
                <w:tcPr>
                  <w:tcW w:w="1587" w:type="dxa"/>
                  <w:shd w:val="clear" w:color="auto" w:fill="FFFFFF"/>
                </w:tcPr>
                <w:p w14:paraId="546FEB0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0978DCC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0.0</w:t>
                  </w:r>
                </w:p>
              </w:tc>
              <w:tc>
                <w:tcPr>
                  <w:tcW w:w="1020" w:type="dxa"/>
                  <w:shd w:val="clear" w:color="auto" w:fill="FFFFFF"/>
                </w:tcPr>
                <w:p w14:paraId="3D46A81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0.8301</w:t>
                  </w:r>
                </w:p>
              </w:tc>
            </w:tr>
            <w:tr w14:paraId="582CB7EF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EBF3FB"/>
                </w:tcPr>
                <w:p w14:paraId="03586A2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LR (对比，ClassWeight)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47322C7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l2</w:t>
                  </w:r>
                </w:p>
              </w:tc>
              <w:tc>
                <w:tcPr>
                  <w:tcW w:w="1247" w:type="dxa"/>
                  <w:shd w:val="clear" w:color="auto" w:fill="EBF3FB"/>
                </w:tcPr>
                <w:p w14:paraId="1CADEF8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1587" w:type="dxa"/>
                  <w:shd w:val="clear" w:color="auto" w:fill="EBF3FB"/>
                </w:tcPr>
                <w:p w14:paraId="293E371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1587" w:type="dxa"/>
                  <w:shd w:val="clear" w:color="auto" w:fill="EBF3FB"/>
                </w:tcPr>
                <w:p w14:paraId="29778C0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1A8F588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C=0.01</w:t>
                  </w:r>
                </w:p>
              </w:tc>
              <w:tc>
                <w:tcPr>
                  <w:tcW w:w="1020" w:type="dxa"/>
                  <w:shd w:val="clear" w:color="auto" w:fill="EBF3FB"/>
                </w:tcPr>
                <w:p w14:paraId="6CCD678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0.8508</w:t>
                  </w:r>
                </w:p>
              </w:tc>
            </w:tr>
            <w:tr w14:paraId="1ACCBBC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20" w:type="dxa"/>
                  <w:gridSpan w:val="7"/>
                  <w:shd w:val="clear" w:color="auto" w:fill="F2F2F2"/>
                </w:tcPr>
                <w:p w14:paraId="6E8685D4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三种 DT 策略最优深度差异显著：SMOTE 数据量最大（8278条），允许深度7；UnderSample 数据量小（2990条）但深度10反映欠采样使决策边界更复杂；ClassWeight 在原始数据上深度5已足够，权重补偿使浅树也能识别少数类</w:t>
                  </w:r>
                </w:p>
              </w:tc>
            </w:tr>
          </w:tbl>
          <w:p w14:paraId="6EF32B13"/>
          <w:p w14:paraId="58A9A111">
            <w:pPr>
              <w:spacing w:before="0" w:after="40" w:line="240" w:lineRule="auto"/>
              <w:jc w:val="left"/>
            </w:pPr>
          </w:p>
        </w:tc>
      </w:tr>
      <w:tr w14:paraId="449F81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7D5FE733">
            <w:pPr>
              <w:tabs>
                <w:tab w:val="left" w:pos="1140"/>
              </w:tabs>
              <w:rPr>
                <w:rFonts w:eastAsia="SimSun"/>
                <w:lang w:eastAsia="zh-CN"/>
              </w:rPr>
            </w:pP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859"/>
              <w:gridCol w:w="859"/>
              <w:gridCol w:w="429"/>
              <w:gridCol w:w="430"/>
              <w:gridCol w:w="859"/>
              <w:gridCol w:w="858"/>
              <w:gridCol w:w="1"/>
              <w:gridCol w:w="859"/>
              <w:gridCol w:w="859"/>
              <w:gridCol w:w="428"/>
              <w:gridCol w:w="431"/>
              <w:gridCol w:w="859"/>
              <w:gridCol w:w="857"/>
              <w:gridCol w:w="2"/>
            </w:tblGrid>
            <w:tr w14:paraId="3D8CDCA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" w:type="dxa"/>
                  <w:shd w:val="clear" w:color="auto" w:fill="4472C4"/>
                </w:tcPr>
                <w:p w14:paraId="705752B1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策略</w:t>
                  </w:r>
                </w:p>
              </w:tc>
              <w:tc>
                <w:tcPr>
                  <w:tcW w:w="859" w:type="dxa"/>
                  <w:shd w:val="clear" w:color="auto" w:fill="4472C4"/>
                </w:tcPr>
                <w:p w14:paraId="03392332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Precision</w:t>
                  </w: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(Yes)</w:t>
                  </w:r>
                </w:p>
              </w:tc>
              <w:tc>
                <w:tcPr>
                  <w:tcW w:w="859" w:type="dxa"/>
                  <w:gridSpan w:val="2"/>
                  <w:shd w:val="clear" w:color="auto" w:fill="4472C4"/>
                </w:tcPr>
                <w:p w14:paraId="2CC88902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Recall</w:t>
                  </w: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(Yes)</w:t>
                  </w:r>
                </w:p>
              </w:tc>
              <w:tc>
                <w:tcPr>
                  <w:tcW w:w="859" w:type="dxa"/>
                  <w:shd w:val="clear" w:color="auto" w:fill="4472C4"/>
                </w:tcPr>
                <w:p w14:paraId="02DE7CE0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F1</w:t>
                  </w: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(Yes)</w:t>
                  </w:r>
                </w:p>
              </w:tc>
              <w:tc>
                <w:tcPr>
                  <w:tcW w:w="859" w:type="dxa"/>
                  <w:gridSpan w:val="2"/>
                  <w:shd w:val="clear" w:color="auto" w:fill="4472C4"/>
                </w:tcPr>
                <w:p w14:paraId="433B45C7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Accuracy</w:t>
                  </w:r>
                </w:p>
              </w:tc>
              <w:tc>
                <w:tcPr>
                  <w:tcW w:w="859" w:type="dxa"/>
                  <w:shd w:val="clear" w:color="auto" w:fill="4472C4"/>
                </w:tcPr>
                <w:p w14:paraId="27D6CCEF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AUC</w:t>
                  </w:r>
                </w:p>
              </w:tc>
              <w:tc>
                <w:tcPr>
                  <w:tcW w:w="859" w:type="dxa"/>
                  <w:shd w:val="clear" w:color="auto" w:fill="4472C4"/>
                </w:tcPr>
                <w:p w14:paraId="10C6B57D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TN</w:t>
                  </w:r>
                </w:p>
              </w:tc>
              <w:tc>
                <w:tcPr>
                  <w:tcW w:w="859" w:type="dxa"/>
                  <w:gridSpan w:val="2"/>
                  <w:shd w:val="clear" w:color="auto" w:fill="4472C4"/>
                </w:tcPr>
                <w:p w14:paraId="54A35660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FP</w:t>
                  </w:r>
                </w:p>
              </w:tc>
              <w:tc>
                <w:tcPr>
                  <w:tcW w:w="859" w:type="dxa"/>
                  <w:shd w:val="clear" w:color="auto" w:fill="4472C4"/>
                </w:tcPr>
                <w:p w14:paraId="598C6485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FN</w:t>
                  </w:r>
                </w:p>
              </w:tc>
              <w:tc>
                <w:tcPr>
                  <w:tcW w:w="859" w:type="dxa"/>
                  <w:gridSpan w:val="2"/>
                  <w:shd w:val="clear" w:color="auto" w:fill="4472C4"/>
                </w:tcPr>
                <w:p w14:paraId="7EE4BBFB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TP</w:t>
                  </w:r>
                </w:p>
              </w:tc>
            </w:tr>
            <w:tr w14:paraId="05A21C6A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" w:type="dxa"/>
                  <w:shd w:val="clear" w:color="auto" w:fill="EBF0FA"/>
                </w:tcPr>
                <w:p w14:paraId="7FEE1098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+ SMOTE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49E1F05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0.5907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7C3B889C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0.6444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798F73D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0.6164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32704779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78.71%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3F5C5254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0.8238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111EFFC2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868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33FF42D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167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66968BF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133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4FE97CD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241</w:t>
                  </w:r>
                </w:p>
              </w:tc>
            </w:tr>
            <w:tr w14:paraId="29771F4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" w:type="dxa"/>
                  <w:shd w:val="clear" w:color="auto" w:fill="FFFFFF"/>
                </w:tcPr>
                <w:p w14:paraId="4F0D5A3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+ UnderSample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5A9B1E6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0.6070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7AC75FC8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0.6070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2072F27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0.6070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5BB5537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79.13%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2ECC0FB3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0.8337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03307113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888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3169FF4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147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58E6C0B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147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60CC823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227</w:t>
                  </w:r>
                </w:p>
              </w:tc>
            </w:tr>
            <w:tr w14:paraId="09D5CAA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859" w:type="dxa"/>
                  <w:shd w:val="clear" w:color="auto" w:fill="EBF0FA"/>
                </w:tcPr>
                <w:p w14:paraId="646992AB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+ ClassWeight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1A7B0DF3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0.5262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2F53D94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0.7513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30F9765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0.6189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632BCEE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75.44%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333F2D21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0.8374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51B1A6FF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782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504C12A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253</w:t>
                  </w:r>
                </w:p>
              </w:tc>
              <w:tc>
                <w:tcPr>
                  <w:tcW w:w="859" w:type="dxa"/>
                  <w:shd w:val="clear" w:color="auto" w:fill="EBF0FA"/>
                </w:tcPr>
                <w:p w14:paraId="21F15A6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93</w:t>
                  </w:r>
                </w:p>
              </w:tc>
              <w:tc>
                <w:tcPr>
                  <w:tcW w:w="859" w:type="dxa"/>
                  <w:gridSpan w:val="2"/>
                  <w:shd w:val="clear" w:color="auto" w:fill="EBF0FA"/>
                </w:tcPr>
                <w:p w14:paraId="25307CEE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281</w:t>
                  </w:r>
                </w:p>
              </w:tc>
            </w:tr>
            <w:tr w14:paraId="6AE317EA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" w:type="dxa"/>
                  <w:shd w:val="clear" w:color="auto" w:fill="FFFFFF"/>
                </w:tcPr>
                <w:p w14:paraId="6E035B4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LR Baseline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75DF06B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5005CF7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2310D8B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57D9564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5E9F56C5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0.8405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15DBF21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5629634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shd w:val="clear" w:color="auto" w:fill="FFFFFF"/>
                </w:tcPr>
                <w:p w14:paraId="46BE85B4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  <w:tc>
                <w:tcPr>
                  <w:tcW w:w="859" w:type="dxa"/>
                  <w:gridSpan w:val="2"/>
                  <w:shd w:val="clear" w:color="auto" w:fill="FFFFFF"/>
                </w:tcPr>
                <w:p w14:paraId="51305D1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—</w:t>
                  </w:r>
                </w:p>
              </w:tc>
            </w:tr>
            <w:tr w14:paraId="48DECF1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0" w:type="dxa"/>
                  <w:gridSpan w:val="14"/>
                  <w:shd w:val="clear" w:color="auto" w:fill="F5F5F5"/>
                </w:tcPr>
                <w:p w14:paraId="38568E0E">
                  <w:r>
                    <w:rPr>
                      <w:rFonts w:ascii="SimSun" w:hAnsi="SimSun" w:eastAsia="SimSun"/>
                      <w:b w:val="0"/>
                      <w:i w:val="0"/>
                      <w:color w:val="555555"/>
                      <w:sz w:val="18"/>
                    </w:rPr>
                    <w:t>注：Yes类=流失正样本（support=374）；LR基线仅用于ROC曲线对比，不作主要评估对象。</w:t>
                  </w:r>
                </w:p>
              </w:tc>
            </w:tr>
            <w:tr w14:paraId="145FE83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rPr>
                <w:gridAfter w:val="1"/>
              </w:trPr>
              <w:tc>
                <w:tcPr>
                  <w:tcW w:w="2147" w:type="dxa"/>
                  <w:gridSpan w:val="3"/>
                  <w:shd w:val="clear" w:color="auto" w:fill="4472C4"/>
                </w:tcPr>
                <w:p w14:paraId="1AF6B8B7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难点</w:t>
                  </w:r>
                </w:p>
              </w:tc>
              <w:tc>
                <w:tcPr>
                  <w:tcW w:w="2147" w:type="dxa"/>
                  <w:gridSpan w:val="3"/>
                  <w:shd w:val="clear" w:color="auto" w:fill="4472C4"/>
                </w:tcPr>
                <w:p w14:paraId="18DB9831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具体表现</w:t>
                  </w:r>
                </w:p>
              </w:tc>
              <w:tc>
                <w:tcPr>
                  <w:tcW w:w="2147" w:type="dxa"/>
                  <w:gridSpan w:val="4"/>
                  <w:shd w:val="clear" w:color="auto" w:fill="4472C4"/>
                </w:tcPr>
                <w:p w14:paraId="0CAAAB32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解决方案</w:t>
                  </w:r>
                </w:p>
              </w:tc>
              <w:tc>
                <w:tcPr>
                  <w:tcW w:w="2147" w:type="dxa"/>
                  <w:gridSpan w:val="3"/>
                  <w:shd w:val="clear" w:color="auto" w:fill="4472C4"/>
                </w:tcPr>
                <w:p w14:paraId="5AF10060">
                  <w:pPr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color w:val="FFFFFF"/>
                      <w:sz w:val="20"/>
                    </w:rPr>
                    <w:t>效果</w:t>
                  </w:r>
                </w:p>
              </w:tc>
            </w:tr>
            <w:tr w14:paraId="1E17B0F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rPr>
                <w:gridAfter w:val="1"/>
              </w:trPr>
              <w:tc>
                <w:tcPr>
                  <w:tcW w:w="2147" w:type="dxa"/>
                  <w:gridSpan w:val="3"/>
                  <w:shd w:val="clear" w:color="auto" w:fill="EBF0FA"/>
                </w:tcPr>
                <w:p w14:paraId="4E7066CE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TotalCharges字段异常</w:t>
                  </w:r>
                </w:p>
              </w:tc>
              <w:tc>
                <w:tcPr>
                  <w:tcW w:w="2147" w:type="dxa"/>
                  <w:gridSpan w:val="3"/>
                  <w:shd w:val="clear" w:color="auto" w:fill="EBF0FA"/>
                </w:tcPr>
                <w:p w14:paraId="7392C129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11条新用户记录中TotalCharges为空字符串，pd.to_numeric直接报错</w:t>
                  </w:r>
                </w:p>
              </w:tc>
              <w:tc>
                <w:tcPr>
                  <w:tcW w:w="2147" w:type="dxa"/>
                  <w:gridSpan w:val="4"/>
                  <w:shd w:val="clear" w:color="auto" w:fill="EBF0FA"/>
                </w:tcPr>
                <w:p w14:paraId="1899EC29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先strip再errors='coerce'转NaN，用MonthlyCharges填充（业务语义合理）</w:t>
                  </w:r>
                </w:p>
              </w:tc>
              <w:tc>
                <w:tcPr>
                  <w:tcW w:w="2147" w:type="dxa"/>
                  <w:gridSpan w:val="3"/>
                  <w:shd w:val="clear" w:color="auto" w:fill="EBF0FA"/>
                </w:tcPr>
                <w:p w14:paraId="24A83CE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消除缺失值，无信息损失</w:t>
                  </w:r>
                </w:p>
              </w:tc>
            </w:tr>
            <w:tr w14:paraId="0DB214F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rPr>
                <w:gridAfter w:val="1"/>
              </w:trPr>
              <w:tc>
                <w:tcPr>
                  <w:tcW w:w="2147" w:type="dxa"/>
                  <w:gridSpan w:val="3"/>
                  <w:shd w:val="clear" w:color="auto" w:fill="FFFFFF"/>
                </w:tcPr>
                <w:p w14:paraId="245D3EE3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合约类型编码歧义</w:t>
                  </w:r>
                </w:p>
              </w:tc>
              <w:tc>
                <w:tcPr>
                  <w:tcW w:w="2147" w:type="dxa"/>
                  <w:gridSpan w:val="3"/>
                  <w:shd w:val="clear" w:color="auto" w:fill="FFFFFF"/>
                </w:tcPr>
                <w:p w14:paraId="65BEE1B7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若用OHE编码Contract，模型无法感知"月付&lt;年付&lt;两年"的语义顺序</w:t>
                  </w:r>
                </w:p>
              </w:tc>
              <w:tc>
                <w:tcPr>
                  <w:tcW w:w="2147" w:type="dxa"/>
                  <w:gridSpan w:val="4"/>
                  <w:shd w:val="clear" w:color="auto" w:fill="FFFFFF"/>
                </w:tcPr>
                <w:p w14:paraId="2336CEE1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有序Label Encoding（0/1/2），保留合约期与粘性的单调关系</w:t>
                  </w:r>
                </w:p>
              </w:tc>
              <w:tc>
                <w:tcPr>
                  <w:tcW w:w="2147" w:type="dxa"/>
                  <w:gridSpan w:val="3"/>
                  <w:shd w:val="clear" w:color="auto" w:fill="FFFFFF"/>
                </w:tcPr>
                <w:p w14:paraId="02D36AE0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该特征重要性排名进入Top-10</w:t>
                  </w:r>
                </w:p>
              </w:tc>
            </w:tr>
            <w:tr w14:paraId="31DB2E98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rPr>
                <w:gridAfter w:val="1"/>
              </w:trPr>
              <w:tc>
                <w:tcPr>
                  <w:tcW w:w="2147" w:type="dxa"/>
                  <w:gridSpan w:val="3"/>
                  <w:shd w:val="clear" w:color="auto" w:fill="EBF0FA"/>
                </w:tcPr>
                <w:p w14:paraId="7BB6FC4E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类别不平衡导致评估误导</w:t>
                  </w:r>
                </w:p>
              </w:tc>
              <w:tc>
                <w:tcPr>
                  <w:tcW w:w="2147" w:type="dxa"/>
                  <w:gridSpan w:val="3"/>
                  <w:shd w:val="clear" w:color="auto" w:fill="EBF0FA"/>
                </w:tcPr>
                <w:p w14:paraId="0464378D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直接用Accuracy，模型全预测负类可达73.5%，但Recall=0</w:t>
                  </w:r>
                </w:p>
              </w:tc>
              <w:tc>
                <w:tcPr>
                  <w:tcW w:w="2147" w:type="dxa"/>
                  <w:gridSpan w:val="4"/>
                  <w:shd w:val="clear" w:color="auto" w:fill="EBF0FA"/>
                </w:tcPr>
                <w:p w14:paraId="1A0D1A2C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CV使用roc_auc评分；评估使用P/R/F1全套指标；三种重采样策略</w:t>
                  </w:r>
                </w:p>
              </w:tc>
              <w:tc>
                <w:tcPr>
                  <w:tcW w:w="2147" w:type="dxa"/>
                  <w:gridSpan w:val="3"/>
                  <w:shd w:val="clear" w:color="auto" w:fill="EBF0FA"/>
                </w:tcPr>
                <w:p w14:paraId="742B0853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Recall(Yes)从~40%提升至61~75%</w:t>
                  </w:r>
                </w:p>
              </w:tc>
            </w:tr>
            <w:tr w14:paraId="0AEF689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rPr>
                <w:gridAfter w:val="1"/>
              </w:trPr>
              <w:tc>
                <w:tcPr>
                  <w:tcW w:w="2147" w:type="dxa"/>
                  <w:gridSpan w:val="3"/>
                  <w:shd w:val="clear" w:color="auto" w:fill="FFFFFF"/>
                </w:tcPr>
                <w:p w14:paraId="44B50252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参数空间过大导致搜索慢</w:t>
                  </w:r>
                </w:p>
              </w:tc>
              <w:tc>
                <w:tcPr>
                  <w:tcW w:w="2147" w:type="dxa"/>
                  <w:gridSpan w:val="3"/>
                  <w:shd w:val="clear" w:color="auto" w:fill="FFFFFF"/>
                </w:tcPr>
                <w:p w14:paraId="7FFD3D1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432种组合×5折×3策略=6480次拟合，单机耗时较长</w:t>
                  </w:r>
                </w:p>
              </w:tc>
              <w:tc>
                <w:tcPr>
                  <w:tcW w:w="2147" w:type="dxa"/>
                  <w:gridSpan w:val="4"/>
                  <w:shd w:val="clear" w:color="auto" w:fill="FFFFFF"/>
                </w:tcPr>
                <w:p w14:paraId="34BD7509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n_jobs=-1并行；仅搜索决策树关键超参数；适当缩减无效区间</w:t>
                  </w:r>
                </w:p>
              </w:tc>
              <w:tc>
                <w:tcPr>
                  <w:tcW w:w="2147" w:type="dxa"/>
                  <w:gridSpan w:val="3"/>
                  <w:shd w:val="clear" w:color="auto" w:fill="FFFFFF"/>
                </w:tcPr>
                <w:p w14:paraId="780CD196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搜索耗时约2~3分钟，可接受</w:t>
                  </w:r>
                </w:p>
              </w:tc>
            </w:tr>
            <w:tr w14:paraId="24503922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rPr>
                <w:gridAfter w:val="1"/>
              </w:trPr>
              <w:tc>
                <w:tcPr>
                  <w:tcW w:w="2147" w:type="dxa"/>
                  <w:gridSpan w:val="3"/>
                  <w:shd w:val="clear" w:color="auto" w:fill="EBF0FA"/>
                </w:tcPr>
                <w:p w14:paraId="5232DB61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决策树过拟合</w:t>
                  </w:r>
                </w:p>
              </w:tc>
              <w:tc>
                <w:tcPr>
                  <w:tcW w:w="2147" w:type="dxa"/>
                  <w:gridSpan w:val="3"/>
                  <w:shd w:val="clear" w:color="auto" w:fill="EBF0FA"/>
                </w:tcPr>
                <w:p w14:paraId="6B799F6A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完全生长树在测试集AUC骤降至~0.72</w:t>
                  </w:r>
                </w:p>
              </w:tc>
              <w:tc>
                <w:tcPr>
                  <w:tcW w:w="2147" w:type="dxa"/>
                  <w:gridSpan w:val="4"/>
                  <w:shd w:val="clear" w:color="auto" w:fill="EBF0FA"/>
                </w:tcPr>
                <w:p w14:paraId="1A0EB22E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max_depth约束+min_samples_leaf正则化+ccp_alpha后剪枝三管齐下</w:t>
                  </w:r>
                </w:p>
              </w:tc>
              <w:tc>
                <w:tcPr>
                  <w:tcW w:w="2147" w:type="dxa"/>
                  <w:gridSpan w:val="3"/>
                  <w:shd w:val="clear" w:color="auto" w:fill="EBF0FA"/>
                </w:tcPr>
                <w:p w14:paraId="162B2FAE">
                  <w:pPr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AUC稳定在0.82~0.84</w:t>
                  </w:r>
                </w:p>
              </w:tc>
            </w:tr>
            <w:tr w14:paraId="66EAC1E2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rPr>
                <w:gridAfter w:val="1"/>
              </w:trPr>
              <w:tc>
                <w:tcPr>
                  <w:tcW w:w="8588" w:type="dxa"/>
                  <w:gridSpan w:val="13"/>
                  <w:shd w:val="clear" w:color="auto" w:fill="F5F5F5"/>
                </w:tcPr>
                <w:p w14:paraId="50E9B65E">
                  <w:r>
                    <w:rPr>
                      <w:rFonts w:ascii="SimSun" w:hAnsi="SimSun" w:eastAsia="SimSun"/>
                      <w:b w:val="0"/>
                      <w:i w:val="0"/>
                      <w:color w:val="555555"/>
                      <w:sz w:val="18"/>
                    </w:rPr>
                    <w:t>注：以上难点均已在代码中通过模块化设计（preprocessing.py / imbalance.py / model.py）妥善处理。</w:t>
                  </w:r>
                </w:p>
              </w:tc>
            </w:tr>
          </w:tbl>
          <w:p w14:paraId="7E38E781">
            <w:pPr>
              <w:spacing w:before="0" w:after="40" w:line="240" w:lineRule="auto"/>
              <w:jc w:val="left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四、实验结果及分析</w:t>
            </w:r>
          </w:p>
          <w:p w14:paraId="4D9A4EF3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4.1 三种 DT 策略 + LR 基准完整性能对比（测试集，n=1,409，正样本 374）</w:t>
            </w:r>
          </w:p>
          <w:p w14:paraId="10E475F3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以下表格汇总 classification_report 正类（流失=1）的核心指标及 AUC，基于 20% 的分层测试集（保持原始 26.54% 流失比例）评估：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859"/>
              <w:gridCol w:w="859"/>
              <w:gridCol w:w="859"/>
              <w:gridCol w:w="859"/>
              <w:gridCol w:w="859"/>
              <w:gridCol w:w="859"/>
              <w:gridCol w:w="859"/>
              <w:gridCol w:w="859"/>
              <w:gridCol w:w="859"/>
              <w:gridCol w:w="859"/>
            </w:tblGrid>
            <w:tr w14:paraId="7E478FF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BDD7EE"/>
                </w:tcPr>
                <w:p w14:paraId="0C4F379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模型</w:t>
                  </w:r>
                </w:p>
              </w:tc>
              <w:tc>
                <w:tcPr>
                  <w:tcW w:w="850" w:type="dxa"/>
                  <w:shd w:val="clear" w:color="auto" w:fill="BDD7EE"/>
                </w:tcPr>
                <w:p w14:paraId="038D6BE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AUC</w:t>
                  </w:r>
                </w:p>
              </w:tc>
              <w:tc>
                <w:tcPr>
                  <w:tcW w:w="1247" w:type="dxa"/>
                  <w:shd w:val="clear" w:color="auto" w:fill="BDD7EE"/>
                </w:tcPr>
                <w:p w14:paraId="1F5027B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Precision(1)</w:t>
                  </w:r>
                </w:p>
              </w:tc>
              <w:tc>
                <w:tcPr>
                  <w:tcW w:w="1134" w:type="dxa"/>
                  <w:shd w:val="clear" w:color="auto" w:fill="BDD7EE"/>
                </w:tcPr>
                <w:p w14:paraId="2486E07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Recall(1)</w:t>
                  </w:r>
                </w:p>
              </w:tc>
              <w:tc>
                <w:tcPr>
                  <w:tcW w:w="850" w:type="dxa"/>
                  <w:shd w:val="clear" w:color="auto" w:fill="BDD7EE"/>
                </w:tcPr>
                <w:p w14:paraId="4F2B89D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F1(1)</w:t>
                  </w:r>
                </w:p>
              </w:tc>
              <w:tc>
                <w:tcPr>
                  <w:tcW w:w="1134" w:type="dxa"/>
                  <w:shd w:val="clear" w:color="auto" w:fill="BDD7EE"/>
                </w:tcPr>
                <w:p w14:paraId="57F5248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Accuracy</w:t>
                  </w:r>
                </w:p>
              </w:tc>
              <w:tc>
                <w:tcPr>
                  <w:tcW w:w="680" w:type="dxa"/>
                  <w:shd w:val="clear" w:color="auto" w:fill="BDD7EE"/>
                </w:tcPr>
                <w:p w14:paraId="1F70512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TP</w:t>
                  </w:r>
                </w:p>
              </w:tc>
              <w:tc>
                <w:tcPr>
                  <w:tcW w:w="680" w:type="dxa"/>
                  <w:shd w:val="clear" w:color="auto" w:fill="BDD7EE"/>
                </w:tcPr>
                <w:p w14:paraId="2F2ED85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FP</w:t>
                  </w:r>
                </w:p>
              </w:tc>
              <w:tc>
                <w:tcPr>
                  <w:tcW w:w="680" w:type="dxa"/>
                  <w:shd w:val="clear" w:color="auto" w:fill="BDD7EE"/>
                </w:tcPr>
                <w:p w14:paraId="0743ED7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FN</w:t>
                  </w:r>
                </w:p>
              </w:tc>
              <w:tc>
                <w:tcPr>
                  <w:tcW w:w="680" w:type="dxa"/>
                  <w:shd w:val="clear" w:color="auto" w:fill="BDD7EE"/>
                </w:tcPr>
                <w:p w14:paraId="5036725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TN</w:t>
                  </w:r>
                </w:p>
              </w:tc>
            </w:tr>
            <w:tr w14:paraId="170B1012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FFFFFF"/>
                </w:tcPr>
                <w:p w14:paraId="0E34282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(SMOTE Pipeline)</w:t>
                  </w:r>
                </w:p>
              </w:tc>
              <w:tc>
                <w:tcPr>
                  <w:tcW w:w="850" w:type="dxa"/>
                  <w:shd w:val="clear" w:color="auto" w:fill="FFFFFF"/>
                </w:tcPr>
                <w:p w14:paraId="4179247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0.8190</w:t>
                  </w:r>
                </w:p>
              </w:tc>
              <w:tc>
                <w:tcPr>
                  <w:tcW w:w="1247" w:type="dxa"/>
                  <w:shd w:val="clear" w:color="auto" w:fill="FFFFFF"/>
                </w:tcPr>
                <w:p w14:paraId="67B63E9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0.533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125FF3D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0.714</w:t>
                  </w:r>
                </w:p>
              </w:tc>
              <w:tc>
                <w:tcPr>
                  <w:tcW w:w="850" w:type="dxa"/>
                  <w:shd w:val="clear" w:color="auto" w:fill="FFFFFF"/>
                </w:tcPr>
                <w:p w14:paraId="63A1986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0.610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587611E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0.758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12CFAF9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267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0438552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234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10CF25C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107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53AFE95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801</w:t>
                  </w:r>
                </w:p>
              </w:tc>
            </w:tr>
            <w:tr w14:paraId="127F6BF4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EBF3FB"/>
                </w:tcPr>
                <w:p w14:paraId="26FDC26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(UnderSample)</w:t>
                  </w:r>
                </w:p>
              </w:tc>
              <w:tc>
                <w:tcPr>
                  <w:tcW w:w="850" w:type="dxa"/>
                  <w:shd w:val="clear" w:color="auto" w:fill="EBF3FB"/>
                </w:tcPr>
                <w:p w14:paraId="2C89244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0.8356</w:t>
                  </w:r>
                </w:p>
              </w:tc>
              <w:tc>
                <w:tcPr>
                  <w:tcW w:w="1247" w:type="dxa"/>
                  <w:shd w:val="clear" w:color="auto" w:fill="EBF3FB"/>
                </w:tcPr>
                <w:p w14:paraId="4EF15DC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0.515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5E83741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0.757</w:t>
                  </w:r>
                </w:p>
              </w:tc>
              <w:tc>
                <w:tcPr>
                  <w:tcW w:w="850" w:type="dxa"/>
                  <w:shd w:val="clear" w:color="auto" w:fill="EBF3FB"/>
                </w:tcPr>
                <w:p w14:paraId="48D68F7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0.613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67DFE65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0.746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02C1229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283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730B100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267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2CA62B4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91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13836C1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768</w:t>
                  </w:r>
                </w:p>
              </w:tc>
            </w:tr>
            <w:tr w14:paraId="6BBD398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2154" w:type="dxa"/>
                  <w:shd w:val="clear" w:color="auto" w:fill="FFFFFF"/>
                </w:tcPr>
                <w:p w14:paraId="339204A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DT (ClassWeight)</w:t>
                  </w:r>
                </w:p>
              </w:tc>
              <w:tc>
                <w:tcPr>
                  <w:tcW w:w="850" w:type="dxa"/>
                  <w:shd w:val="clear" w:color="auto" w:fill="FFFFFF"/>
                </w:tcPr>
                <w:p w14:paraId="2C3F398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0.8298</w:t>
                  </w:r>
                </w:p>
              </w:tc>
              <w:tc>
                <w:tcPr>
                  <w:tcW w:w="1247" w:type="dxa"/>
                  <w:shd w:val="clear" w:color="auto" w:fill="FFFFFF"/>
                </w:tcPr>
                <w:p w14:paraId="3E56964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0.503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2D63C06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0.802</w:t>
                  </w:r>
                </w:p>
              </w:tc>
              <w:tc>
                <w:tcPr>
                  <w:tcW w:w="850" w:type="dxa"/>
                  <w:shd w:val="clear" w:color="auto" w:fill="FFFFFF"/>
                </w:tcPr>
                <w:p w14:paraId="5ACD84F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0.619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6A2445A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0.737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1297158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300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042BF18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296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5158852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74</w:t>
                  </w:r>
                </w:p>
              </w:tc>
              <w:tc>
                <w:tcPr>
                  <w:tcW w:w="680" w:type="dxa"/>
                  <w:shd w:val="clear" w:color="auto" w:fill="FFFFFF"/>
                </w:tcPr>
                <w:p w14:paraId="6A97177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739</w:t>
                  </w:r>
                </w:p>
              </w:tc>
            </w:tr>
            <w:tr w14:paraId="567E4CBA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154" w:type="dxa"/>
                  <w:shd w:val="clear" w:color="auto" w:fill="EBF3FB"/>
                </w:tcPr>
                <w:p w14:paraId="32FF803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LR (ClassWeight)</w:t>
                  </w:r>
                </w:p>
              </w:tc>
              <w:tc>
                <w:tcPr>
                  <w:tcW w:w="850" w:type="dxa"/>
                  <w:shd w:val="clear" w:color="auto" w:fill="EBF3FB"/>
                </w:tcPr>
                <w:p w14:paraId="3A9C152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0.8489</w:t>
                  </w:r>
                </w:p>
              </w:tc>
              <w:tc>
                <w:tcPr>
                  <w:tcW w:w="1247" w:type="dxa"/>
                  <w:shd w:val="clear" w:color="auto" w:fill="EBF3FB"/>
                </w:tcPr>
                <w:p w14:paraId="090FADB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0.511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17243E3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0.783</w:t>
                  </w:r>
                </w:p>
              </w:tc>
              <w:tc>
                <w:tcPr>
                  <w:tcW w:w="850" w:type="dxa"/>
                  <w:shd w:val="clear" w:color="auto" w:fill="EBF3FB"/>
                </w:tcPr>
                <w:p w14:paraId="58857E8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0.619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2E9985E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0.744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4650C42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293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4A70363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280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42169C3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81</w:t>
                  </w:r>
                </w:p>
              </w:tc>
              <w:tc>
                <w:tcPr>
                  <w:tcW w:w="680" w:type="dxa"/>
                  <w:shd w:val="clear" w:color="auto" w:fill="EBF3FB"/>
                </w:tcPr>
                <w:p w14:paraId="53CFD8A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755</w:t>
                  </w:r>
                </w:p>
              </w:tc>
            </w:tr>
            <w:tr w14:paraId="5DFA279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680" w:type="dxa"/>
                  <w:gridSpan w:val="10"/>
                  <w:shd w:val="clear" w:color="auto" w:fill="F2F2F2"/>
                </w:tcPr>
                <w:p w14:paraId="531AE261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测试集：1409条，流失(1): 374条，未流失(0): 1035条。最优 AUC 为 LR 0.8489，最优 DT AUC 为 UnderSample 0.8356</w:t>
                  </w:r>
                </w:p>
              </w:tc>
            </w:tr>
          </w:tbl>
          <w:p w14:paraId="48F838D1"/>
          <w:p w14:paraId="0493C804">
            <w:pPr>
              <w:spacing w:before="0" w:after="40" w:line="240" w:lineRule="auto"/>
              <w:jc w:val="left"/>
            </w:pPr>
          </w:p>
          <w:p w14:paraId="387AAA5C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4.2 分类指标深度分析</w:t>
            </w:r>
          </w:p>
          <w:p w14:paraId="1172258A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（1）为何不能只看 Accuracy</w:t>
            </w:r>
          </w:p>
          <w:p w14:paraId="576B0F7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若模型采用"全部预测为未流失"的 Naive 策略，准确率可达 73.46%（1,035/1,409），远高于"随机猜测"的 50%，看似不差。但其 Recall(流失)=0%，TP=0，即对任何一位即将流失的客户都无法预警，业务价值为零。本实验三个 DT 模型的 Accuracy 为 73.7%~75.8%，略高于 Naive 基准，但 Recall(1) 达 71.4%~80.2%，才是真正有意义的性能提升。</w:t>
            </w:r>
          </w:p>
          <w:p w14:paraId="63590FC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因此，在类别不平衡的流失预测场景中，评估应以 AUC、F1(1)、Recall(1) 为核心，Accuracy 仅作参考。</w:t>
            </w:r>
          </w:p>
          <w:p w14:paraId="13D69B83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（2）三种 DT 策略的 Precision-Recall 权衡分析</w:t>
            </w:r>
          </w:p>
          <w:p w14:paraId="6F0E86BF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SMOTE Pipeline（Recall=0.714，Precision=0.533）：取得相对平衡的 Precision-Recall。每 100 位预测为"流失"的客户中有 53.3 位真实流失；漏报 107 位（漏报率 28.6%）。SMOTE 合成的样本使决策边界更平滑，减少了误报（FP=234 最少）。适合希望在触达率和误扰率之间取得平衡的业务场景（如精准营销挽留）。</w:t>
            </w:r>
          </w:p>
          <w:p w14:paraId="1B9F349B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UnderSample（Recall=0.757，Precision=0.515，AUC 最优=0.8356）：召回率高于 SMOTE，漏报降至 91 位（漏报率 24.3%）；但误报 267 位，每推荐 10 位中仅 5.15 位是真实流失客户。欠采样使树学习了更"激进"的正类判别规则——丢弃多数类信息后，树更倾向于将边界样本判为正类。值得注意的是，UnderSample 获得了三种 DT 策略中最高的测试 AUC（0.8356），说明在该数据集上，减少多数类噪声的正面效果超过了信息损失的负面效果。</w:t>
            </w:r>
          </w:p>
          <w:p w14:paraId="71210A1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ClassWeight（Recall=0.802，Precision=0.503，漏报最少）：Recall 最高，漏报仅 74 位（漏报率 19.8%），意味着每 100 位真实流失客户能找回约 80 位。保留全部 5,634 条原始训练数据，信息损失最小；最优 max_depth=5 表明权重加成已使较浅的树能有效识别少数类，无需深树即可取得高召回率。适合以"最大化发现流失客户数量"为首要目标的业务场景（如用户挽留电话呼出）。</w:t>
            </w:r>
          </w:p>
          <w:p w14:paraId="3966D2C9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（3）SMOTE Pipeline 与 SMOTE 数据泄露的对比分析</w:t>
            </w:r>
          </w:p>
          <w:p w14:paraId="226D619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本实验的重要工程发现：在 SMOTE 策略上，将 SMOTE 放入 Pipeline 内部执行（折内独立合成）与在 GridSearch 外预先执行，CV-AUC 差异达 0.0659（0.8199 vs 0.8858）。这一巨大差距正是数据泄露的定量证明：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718"/>
              <w:gridCol w:w="1718"/>
              <w:gridCol w:w="1718"/>
              <w:gridCol w:w="1718"/>
              <w:gridCol w:w="1718"/>
            </w:tblGrid>
            <w:tr w14:paraId="4E67E128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835" w:type="dxa"/>
                  <w:shd w:val="clear" w:color="auto" w:fill="BDD7EE"/>
                </w:tcPr>
                <w:p w14:paraId="5F1C2CE4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SMOTE 执行方式</w:t>
                  </w:r>
                </w:p>
              </w:tc>
              <w:tc>
                <w:tcPr>
                  <w:tcW w:w="1134" w:type="dxa"/>
                  <w:shd w:val="clear" w:color="auto" w:fill="BDD7EE"/>
                </w:tcPr>
                <w:p w14:paraId="4693D90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CV-AUC</w:t>
                  </w:r>
                </w:p>
              </w:tc>
              <w:tc>
                <w:tcPr>
                  <w:tcW w:w="1134" w:type="dxa"/>
                  <w:shd w:val="clear" w:color="auto" w:fill="BDD7EE"/>
                </w:tcPr>
                <w:p w14:paraId="1A13AD5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测试 AUC</w:t>
                  </w:r>
                </w:p>
              </w:tc>
              <w:tc>
                <w:tcPr>
                  <w:tcW w:w="1134" w:type="dxa"/>
                  <w:shd w:val="clear" w:color="auto" w:fill="BDD7EE"/>
                </w:tcPr>
                <w:p w14:paraId="4553941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CV-Test 差</w:t>
                  </w:r>
                </w:p>
              </w:tc>
              <w:tc>
                <w:tcPr>
                  <w:tcW w:w="2835" w:type="dxa"/>
                  <w:shd w:val="clear" w:color="auto" w:fill="BDD7EE"/>
                </w:tcPr>
                <w:p w14:paraId="43EA7CC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泄露判断</w:t>
                  </w:r>
                </w:p>
              </w:tc>
            </w:tr>
            <w:tr w14:paraId="7ECAF34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835" w:type="dxa"/>
                  <w:shd w:val="clear" w:color="auto" w:fill="FFFFFF"/>
                </w:tcPr>
                <w:p w14:paraId="61DEE8F2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Pipeline 外预先执行（含泄露）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359A8BD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0.8858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7B52578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0.8079</w:t>
                  </w:r>
                </w:p>
              </w:tc>
              <w:tc>
                <w:tcPr>
                  <w:tcW w:w="1134" w:type="dxa"/>
                  <w:shd w:val="clear" w:color="auto" w:fill="FFFFFF"/>
                </w:tcPr>
                <w:p w14:paraId="4584CE5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−0.0779</w:t>
                  </w:r>
                </w:p>
              </w:tc>
              <w:tc>
                <w:tcPr>
                  <w:tcW w:w="2835" w:type="dxa"/>
                  <w:shd w:val="clear" w:color="auto" w:fill="FFFFFF"/>
                </w:tcPr>
                <w:p w14:paraId="28506D4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严重泄露（CV 虚高）</w:t>
                  </w:r>
                </w:p>
              </w:tc>
            </w:tr>
            <w:tr w14:paraId="34C753A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2835" w:type="dxa"/>
                  <w:shd w:val="clear" w:color="auto" w:fill="EBF3FB"/>
                </w:tcPr>
                <w:p w14:paraId="48983975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imblearn Pipeline 内执行（正确）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25594CB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0.8199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0DD86A4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0.8190</w:t>
                  </w:r>
                </w:p>
              </w:tc>
              <w:tc>
                <w:tcPr>
                  <w:tcW w:w="1134" w:type="dxa"/>
                  <w:shd w:val="clear" w:color="auto" w:fill="EBF3FB"/>
                </w:tcPr>
                <w:p w14:paraId="02C2B04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−0.0009</w:t>
                  </w:r>
                </w:p>
              </w:tc>
              <w:tc>
                <w:tcPr>
                  <w:tcW w:w="2835" w:type="dxa"/>
                  <w:shd w:val="clear" w:color="auto" w:fill="EBF3FB"/>
                </w:tcPr>
                <w:p w14:paraId="205B496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无泄露（估计准确）</w:t>
                  </w:r>
                </w:p>
              </w:tc>
            </w:tr>
            <w:tr w14:paraId="7CD92961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2835" w:type="dxa"/>
                  <w:gridSpan w:val="5"/>
                  <w:shd w:val="clear" w:color="auto" w:fill="F2F2F2"/>
                </w:tcPr>
                <w:p w14:paraId="617E26CD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结论：CV-AUC 与测试 AUC 差距越小，说明交叉验证估计越可信。Pipeline 版本 CV-Test 差仅 0.0009，验证了防泄露实现的正确性</w:t>
                  </w:r>
                </w:p>
              </w:tc>
            </w:tr>
          </w:tbl>
          <w:p w14:paraId="73787DDB"/>
          <w:p w14:paraId="6B86B59A">
            <w:pPr>
              <w:spacing w:before="0" w:after="40" w:line="240" w:lineRule="auto"/>
              <w:jc w:val="left"/>
            </w:pPr>
          </w:p>
          <w:p w14:paraId="60DB5F03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（4）DT vs LR 对比分析</w:t>
            </w:r>
          </w:p>
          <w:p w14:paraId="40E92C9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本实验 LR 的测试 AUC（0.8489）略高于最优 DT（0.8356），差距为 0.0133。乍看之下决策树未能体现优势，但深入分析可发现：</w:t>
            </w:r>
          </w:p>
          <w:p w14:paraId="3CDAD6D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原因一：Telco 数据集的特征工程后线性可分性较强。Contract 有序编码（0/1/2）+ tenure 的线性关系在 LR 中可以直接被权重捕捉，与 DT 的分段规则在此场景下效果相近。</w:t>
            </w:r>
          </w:p>
          <w:p w14:paraId="09559B51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原因二：单棵决策树存在结构固有限制。决策树基于轴对齐矩形分割特征空间，对需要"斜线"决策边界的区域（如 MonthlyCharges + tenure 的联合效应）需要更深的树才能近似，而深树又面临过拟合问题，形成两难困境。集成方法（Random Forest 通过 Bagging + 特征随机采样，XGBoost 通过 Boosting 序列叠加）本质上是对多棵树的集成，能从根本上突破单棵树的瓶颈，预计 AUC 可达 0.88+。</w:t>
            </w:r>
          </w:p>
          <w:p w14:paraId="29641139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原因三：本实验 DT 已通过 210 组参数网格搜索、CCP 剪枝、三种不平衡策略和 Pipeline 防泄露等手段充分优化，所得 AUC=0.8356 是单棵 DT 在该数据集上的合理性能上限。</w:t>
            </w:r>
          </w:p>
          <w:p w14:paraId="0D57048A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4.3 可视化图表分析</w:t>
            </w:r>
          </w:p>
          <w:p w14:paraId="76BB28A2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图1  Precision / Recall / F1-Score 分组柱状图</w:t>
            </w:r>
          </w:p>
          <w:p w14:paraId="60AC56BB">
            <w:pPr>
              <w:spacing w:before="80" w:after="40"/>
              <w:jc w:val="center"/>
            </w:pPr>
            <w:r>
              <w:drawing>
                <wp:inline distT="0" distB="0" distL="114300" distR="114300">
                  <wp:extent cx="5759450" cy="2415540"/>
                  <wp:effectExtent l="0" t="0" r="1270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415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64C59">
            <w:pPr>
              <w:spacing w:before="0" w:after="120"/>
              <w:jc w:val="center"/>
            </w:pPr>
            <w:r>
              <w:rPr>
                <w:rFonts w:ascii="SimSun" w:hAnsi="SimSun" w:eastAsia="SimSun"/>
                <w:b w:val="0"/>
                <w:i/>
                <w:color w:val="444444"/>
                <w:sz w:val="20"/>
              </w:rPr>
              <w:t>图1  四模型 Precision / Recall / F1-Score 分组柱状图（左）及流失类 P-R-F1 水平对比（右）</w:t>
            </w:r>
          </w:p>
          <w:p w14:paraId="7BC7BC92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左图四指标分组对比：Recall(1) 三种 DT 策略间差异最显著（0.714~0.802），直接反映对流失客户的捕捉能力差异；Precision(1) SMOTE 最高（0.533），因误报最少；F1(1) 四个模型均在 0.61~0.62，相差不大，但 ClassWeight 和 LR 的 F1 在 Recall 提升的同时保持了整体平衡；Accuracy 三策略差异 3.0%，在不平衡场景参考价值有限。</w:t>
            </w:r>
          </w:p>
          <w:p w14:paraId="52B93A78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右图 Precision-Recall-F1 水平条形图：SMOTE 在 Precision 上领先，体现"合成样本使边界更保守"；ClassWeight 在 Recall 上领先，体现"权重加成鼓励模型对少数类更大胆"；UnderSample 介于两者之间，且拥有最高的 AUC，说明排序能力（AUC）与点预测能力（P/R/F1）并非完全一致，AUC 更能反映模型的整体判别质量。</w:t>
            </w:r>
          </w:p>
          <w:p w14:paraId="08B35FA4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图2  混淆矩阵对比（四个模型）</w:t>
            </w:r>
          </w:p>
          <w:p w14:paraId="44E08370">
            <w:pPr>
              <w:spacing w:before="80" w:after="40"/>
              <w:jc w:val="center"/>
            </w:pPr>
            <w:r>
              <w:drawing>
                <wp:inline distT="0" distB="0" distL="114300" distR="114300">
                  <wp:extent cx="5759450" cy="1475740"/>
                  <wp:effectExtent l="0" t="0" r="12700" b="1016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476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D392D7">
            <w:pPr>
              <w:spacing w:before="0" w:after="120"/>
              <w:jc w:val="center"/>
            </w:pPr>
            <w:r>
              <w:rPr>
                <w:rFonts w:ascii="SimSun" w:hAnsi="SimSun" w:eastAsia="SimSun"/>
                <w:b w:val="0"/>
                <w:i/>
                <w:color w:val="444444"/>
                <w:sz w:val="20"/>
              </w:rPr>
              <w:t>图2  四模型混淆矩阵并排对比（TN/FP/FN/TP，流失=1为正类）</w:t>
            </w:r>
          </w:p>
          <w:p w14:paraId="45B5A35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混淆矩阵数值定量验证了指标分析的结论。关注两个业务关键格：</w:t>
            </w:r>
          </w:p>
          <w:p w14:paraId="4A08E85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左下格 FN（漏报流失）：ClassWeight 最少（74，漏报率 19.8%），意味着 100 位真实流失客户中仅漏掉约 20 位，最大程度减少了业务损失；SMOTE 漏报最多（107，28.6%），因其倾向于保守预测。每个漏报对应一位未被及时挽留的流失客户，直接带来用户和收入的损失。</w:t>
            </w:r>
          </w:p>
          <w:p w14:paraId="0A975407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右上格 FP（误报未流失为流失）：SMOTE 误报最少（234，22.6%），意味着营销资源最精准；ClassWeight 误报最多（296，28.6%），是高召回率的代价——为了多抓到流失客户，不得不增加误扰。在电信场景中，FP 对应一次非必要的挽留电话/优惠券发放，成本远低于 FN（用户永久流失）。</w:t>
            </w:r>
          </w:p>
          <w:p w14:paraId="35CBB1D4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图3  ROC 曲线对比（含 LR 基准 + 关键区域放大）</w:t>
            </w:r>
          </w:p>
          <w:p w14:paraId="27EA7D7C">
            <w:pPr>
              <w:spacing w:before="80" w:after="40"/>
              <w:jc w:val="center"/>
            </w:pPr>
            <w:r>
              <w:drawing>
                <wp:inline distT="0" distB="0" distL="114300" distR="114300">
                  <wp:extent cx="5759450" cy="2572385"/>
                  <wp:effectExtent l="0" t="0" r="12700" b="1841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572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9FFBC7">
            <w:pPr>
              <w:spacing w:before="0" w:after="120"/>
              <w:jc w:val="center"/>
            </w:pPr>
            <w:r>
              <w:rPr>
                <w:rFonts w:ascii="SimSun" w:hAnsi="SimSun" w:eastAsia="SimSun"/>
                <w:b w:val="0"/>
                <w:i/>
                <w:color w:val="444444"/>
                <w:sz w:val="20"/>
              </w:rPr>
              <w:t>图3  四模型 ROC 曲线对比（左：全图；右：FPR∈[0,0.4] 关键区域放大）</w:t>
            </w:r>
          </w:p>
          <w:p w14:paraId="0E2646D0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ROC 曲线全图（左）：四条曲线均明显高于随机基准（虚对角线），AUC 在 0.8161~0.8489 之间。LR（粉色虚线）在大部分 FPR 范围内高于三条 DT 曲线，说明在该阈值范围内 LR 的正负样本排序能力略优；UnderSample DT（橙色）在中高 FPR 区域（0.2~0.5）紧随 LR，是三种 DT 中整体最优。</w:t>
            </w:r>
          </w:p>
          <w:p w14:paraId="0BB60D35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关键区域放大图（右，FPR∈[0, 0.4]）：业务最关注的低误报区域。在 FPR&lt;0.1（严格控制误报）的区段，四个模型 TPR 差异较大；ClassWeight DT 在 FPR 约 0.15–0.25 区间有阶梯式跃升，说明该策略的分类阈值敏感性更强。图中标注的"理想点 (0,1)"是所有模型努力逼近的目标：FPR=0（无误报）且 TPR=1（无漏报）。</w:t>
            </w:r>
          </w:p>
          <w:p w14:paraId="7DC4765F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2"/>
              </w:rPr>
              <w:t>图4  决策树特征重要性 Top-20</w:t>
            </w:r>
          </w:p>
          <w:p w14:paraId="234E24ED">
            <w:pPr>
              <w:spacing w:before="80" w:after="40"/>
              <w:jc w:val="center"/>
            </w:pPr>
            <w:r>
              <w:drawing>
                <wp:inline distT="0" distB="0" distL="114300" distR="114300">
                  <wp:extent cx="5759450" cy="2231390"/>
                  <wp:effectExtent l="0" t="0" r="12700" b="165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231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D6C9B">
            <w:pPr>
              <w:spacing w:before="0" w:after="120"/>
              <w:jc w:val="center"/>
            </w:pPr>
            <w:r>
              <w:rPr>
                <w:rFonts w:ascii="SimSun" w:hAnsi="SimSun" w:eastAsia="SimSun"/>
                <w:b w:val="0"/>
                <w:i/>
                <w:color w:val="444444"/>
                <w:sz w:val="20"/>
              </w:rPr>
              <w:t>图4  三种 DT 策略的特征重要性（Gini Importance）Top-20 对比</w:t>
            </w:r>
          </w:p>
          <w:p w14:paraId="33BD6336">
            <w:pPr>
              <w:spacing w:before="0" w:after="4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特征重要性（Gini Importance）反映各特征在树所有分裂中降低基尼不纯度的加权总贡献，值越大越重要。三种策略均呈现高度一致的前5重要特征，验证了特征重要性结论的鲁棒性：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147"/>
              <w:gridCol w:w="2147"/>
              <w:gridCol w:w="2147"/>
              <w:gridCol w:w="2147"/>
            </w:tblGrid>
            <w:tr w14:paraId="7BC7FD2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17" w:type="dxa"/>
                  <w:shd w:val="clear" w:color="auto" w:fill="BDD7EE"/>
                </w:tcPr>
                <w:p w14:paraId="787ACA1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重要性排序</w:t>
                  </w:r>
                </w:p>
              </w:tc>
              <w:tc>
                <w:tcPr>
                  <w:tcW w:w="2268" w:type="dxa"/>
                  <w:shd w:val="clear" w:color="auto" w:fill="BDD7EE"/>
                </w:tcPr>
                <w:p w14:paraId="0E8B066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特征名</w:t>
                  </w:r>
                </w:p>
              </w:tc>
              <w:tc>
                <w:tcPr>
                  <w:tcW w:w="1701" w:type="dxa"/>
                  <w:shd w:val="clear" w:color="auto" w:fill="BDD7EE"/>
                </w:tcPr>
                <w:p w14:paraId="5D09BACA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类型</w:t>
                  </w:r>
                </w:p>
              </w:tc>
              <w:tc>
                <w:tcPr>
                  <w:tcW w:w="3685" w:type="dxa"/>
                  <w:shd w:val="clear" w:color="auto" w:fill="BDD7EE"/>
                </w:tcPr>
                <w:p w14:paraId="5DD2CE6B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/>
                      <w:i w:val="0"/>
                      <w:sz w:val="20"/>
                    </w:rPr>
                    <w:t>业务解读</w:t>
                  </w:r>
                </w:p>
              </w:tc>
            </w:tr>
            <w:tr w14:paraId="6421D15D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17" w:type="dxa"/>
                  <w:shd w:val="clear" w:color="auto" w:fill="FFFFFF"/>
                </w:tcPr>
                <w:p w14:paraId="0CBA891D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Top-1</w:t>
                  </w:r>
                </w:p>
              </w:tc>
              <w:tc>
                <w:tcPr>
                  <w:tcW w:w="2268" w:type="dxa"/>
                  <w:shd w:val="clear" w:color="auto" w:fill="FFFFFF"/>
                </w:tcPr>
                <w:p w14:paraId="5570790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Contract</w:t>
                  </w:r>
                </w:p>
              </w:tc>
              <w:tc>
                <w:tcPr>
                  <w:tcW w:w="1701" w:type="dxa"/>
                  <w:shd w:val="clear" w:color="auto" w:fill="FFFFFF"/>
                </w:tcPr>
                <w:p w14:paraId="0BC8C8A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原始有序特征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5B8BB85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合约类型是最强流失预测因子：Month-to-month(0) 客户流失率远高于 Two year(2)</w:t>
                  </w:r>
                </w:p>
              </w:tc>
            </w:tr>
            <w:tr w14:paraId="1D22868C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17" w:type="dxa"/>
                  <w:shd w:val="clear" w:color="auto" w:fill="EBF3FB"/>
                </w:tcPr>
                <w:p w14:paraId="66092B1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Top-2</w:t>
                  </w:r>
                </w:p>
              </w:tc>
              <w:tc>
                <w:tcPr>
                  <w:tcW w:w="2268" w:type="dxa"/>
                  <w:shd w:val="clear" w:color="auto" w:fill="EBF3FB"/>
                </w:tcPr>
                <w:p w14:paraId="6182DE4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tenure / tenure_segment</w:t>
                  </w:r>
                </w:p>
              </w:tc>
              <w:tc>
                <w:tcPr>
                  <w:tcW w:w="1701" w:type="dxa"/>
                  <w:shd w:val="clear" w:color="auto" w:fill="EBF3FB"/>
                </w:tcPr>
                <w:p w14:paraId="61EE66D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原始+衍生特征</w:t>
                  </w:r>
                </w:p>
              </w:tc>
              <w:tc>
                <w:tcPr>
                  <w:tcW w:w="3685" w:type="dxa"/>
                  <w:shd w:val="clear" w:color="auto" w:fill="EBF3FB"/>
                </w:tcPr>
                <w:p w14:paraId="2192C8C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入网时长直接反映客户忠诚度，短期用户（&lt;12月）流失率约为长期用户的3倍</w:t>
                  </w:r>
                </w:p>
              </w:tc>
            </w:tr>
            <w:tr w14:paraId="10648053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1417" w:type="dxa"/>
                  <w:shd w:val="clear" w:color="auto" w:fill="FFFFFF"/>
                </w:tcPr>
                <w:p w14:paraId="69E8195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Top-3</w:t>
                  </w:r>
                </w:p>
              </w:tc>
              <w:tc>
                <w:tcPr>
                  <w:tcW w:w="2268" w:type="dxa"/>
                  <w:shd w:val="clear" w:color="auto" w:fill="FFFFFF"/>
                </w:tcPr>
                <w:p w14:paraId="182DB08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monthly_to_total</w:t>
                  </w:r>
                </w:p>
              </w:tc>
              <w:tc>
                <w:tcPr>
                  <w:tcW w:w="1701" w:type="dxa"/>
                  <w:shd w:val="clear" w:color="auto" w:fill="FFFFFF"/>
                </w:tcPr>
                <w:p w14:paraId="6E8D4B6E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衍生特征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7C2D639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消费新鲜度：比值高的客户较新，价格敏感性强，流失意愿高</w:t>
                  </w:r>
                </w:p>
              </w:tc>
            </w:tr>
            <w:tr w14:paraId="7B76CF37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17" w:type="dxa"/>
                  <w:shd w:val="clear" w:color="auto" w:fill="EBF3FB"/>
                </w:tcPr>
                <w:p w14:paraId="649D26E3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Top-4</w:t>
                  </w:r>
                </w:p>
              </w:tc>
              <w:tc>
                <w:tcPr>
                  <w:tcW w:w="2268" w:type="dxa"/>
                  <w:shd w:val="clear" w:color="auto" w:fill="EBF3FB"/>
                </w:tcPr>
                <w:p w14:paraId="5FD8524F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MonthlyCharges / TotalCharges</w:t>
                  </w:r>
                </w:p>
              </w:tc>
              <w:tc>
                <w:tcPr>
                  <w:tcW w:w="1701" w:type="dxa"/>
                  <w:shd w:val="clear" w:color="auto" w:fill="EBF3FB"/>
                </w:tcPr>
                <w:p w14:paraId="7EB819D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原始数值特征</w:t>
                  </w:r>
                </w:p>
              </w:tc>
              <w:tc>
                <w:tcPr>
                  <w:tcW w:w="3685" w:type="dxa"/>
                  <w:shd w:val="clear" w:color="auto" w:fill="EBF3FB"/>
                </w:tcPr>
                <w:p w14:paraId="09512D90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高月费绝对水平和低累计消费（新客）叠加，是复合风险信号</w:t>
                  </w:r>
                </w:p>
              </w:tc>
            </w:tr>
            <w:tr w14:paraId="4800BF4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17" w:type="dxa"/>
                  <w:shd w:val="clear" w:color="auto" w:fill="FFFFFF"/>
                </w:tcPr>
                <w:p w14:paraId="2B23489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Top-5</w:t>
                  </w:r>
                </w:p>
              </w:tc>
              <w:tc>
                <w:tcPr>
                  <w:tcW w:w="2268" w:type="dxa"/>
                  <w:shd w:val="clear" w:color="auto" w:fill="FFFFFF"/>
                </w:tcPr>
                <w:p w14:paraId="3FEE091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InternetService_Fiber optic</w:t>
                  </w:r>
                </w:p>
              </w:tc>
              <w:tc>
                <w:tcPr>
                  <w:tcW w:w="1701" w:type="dxa"/>
                  <w:shd w:val="clear" w:color="auto" w:fill="FFFFFF"/>
                </w:tcPr>
                <w:p w14:paraId="21FADB89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One-Hot</w:t>
                  </w:r>
                </w:p>
              </w:tc>
              <w:tc>
                <w:tcPr>
                  <w:tcW w:w="3685" w:type="dxa"/>
                  <w:shd w:val="clear" w:color="auto" w:fill="FFFFFF"/>
                </w:tcPr>
                <w:p w14:paraId="7985FA81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光纤宽带用户月费高、期望高，一旦服务体验不达预期流失率最高</w:t>
                  </w:r>
                </w:p>
              </w:tc>
            </w:tr>
            <w:tr w14:paraId="0E86643B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17" w:type="dxa"/>
                  <w:shd w:val="clear" w:color="auto" w:fill="EBF3FB"/>
                </w:tcPr>
                <w:p w14:paraId="755F1957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Top-6~10</w:t>
                  </w:r>
                </w:p>
              </w:tc>
              <w:tc>
                <w:tcPr>
                  <w:tcW w:w="2268" w:type="dxa"/>
                  <w:shd w:val="clear" w:color="auto" w:fill="EBF3FB"/>
                </w:tcPr>
                <w:p w14:paraId="7D6F5E96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num_services、risky_combo</w:t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br w:type="textWrapping"/>
                  </w: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PaperlessBilling、is_new_customer等</w:t>
                  </w:r>
                </w:p>
              </w:tc>
              <w:tc>
                <w:tcPr>
                  <w:tcW w:w="1701" w:type="dxa"/>
                  <w:shd w:val="clear" w:color="auto" w:fill="EBF3FB"/>
                </w:tcPr>
                <w:p w14:paraId="7FEE3748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混合</w:t>
                  </w:r>
                </w:p>
              </w:tc>
              <w:tc>
                <w:tcPr>
                  <w:tcW w:w="3685" w:type="dxa"/>
                  <w:shd w:val="clear" w:color="auto" w:fill="EBF3FB"/>
                </w:tcPr>
                <w:p w14:paraId="1B57945C">
                  <w:pPr>
                    <w:spacing w:before="20" w:after="20"/>
                    <w:jc w:val="center"/>
                  </w:pPr>
                  <w:r>
                    <w:rPr>
                      <w:rFonts w:ascii="SimSun" w:hAnsi="SimSun" w:eastAsia="SimSun"/>
                      <w:b w:val="0"/>
                      <w:i w:val="0"/>
                      <w:sz w:val="20"/>
                    </w:rPr>
                    <w:t>衍生特征 risky_combo 排名靠前，验证了特征工程的有效性</w:t>
                  </w:r>
                </w:p>
              </w:tc>
            </w:tr>
            <w:tr w14:paraId="62B25CE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</w:tblPrEx>
              <w:tc>
                <w:tcPr>
                  <w:tcW w:w="3685" w:type="dxa"/>
                  <w:gridSpan w:val="4"/>
                  <w:shd w:val="clear" w:color="auto" w:fill="F2F2F2"/>
                </w:tcPr>
                <w:p w14:paraId="7F25F014">
                  <w:pPr>
                    <w:spacing w:before="20" w:after="20"/>
                  </w:pPr>
                  <w:r>
                    <w:rPr>
                      <w:rFonts w:ascii="SimSun" w:hAnsi="SimSun" w:eastAsia="SimSun"/>
                      <w:b w:val="0"/>
                      <w:i w:val="0"/>
                      <w:color w:val="606060"/>
                      <w:sz w:val="18"/>
                    </w:rPr>
                    <w:t>注：Gini Importance 对高基数特征略有偏差，但在本数据集中与业务认知高度吻合</w:t>
                  </w:r>
                </w:p>
              </w:tc>
            </w:tr>
          </w:tbl>
          <w:p w14:paraId="25C62222"/>
          <w:p w14:paraId="2C796C95">
            <w:pPr>
              <w:spacing w:before="0" w:after="40" w:line="240" w:lineRule="auto"/>
              <w:jc w:val="left"/>
            </w:pPr>
          </w:p>
          <w:p w14:paraId="004AC44D">
            <w:pPr>
              <w:spacing w:before="120" w:after="40" w:line="240" w:lineRule="auto"/>
            </w:pPr>
            <w:r>
              <w:rPr>
                <w:rFonts w:ascii="SimSun" w:hAnsi="SimSun" w:eastAsia="SimSun"/>
                <w:b/>
                <w:i w:val="0"/>
                <w:sz w:val="24"/>
              </w:rPr>
              <w:t>4.4 实验结论与改进方向</w:t>
            </w:r>
          </w:p>
          <w:p w14:paraId="2685DB40">
            <w:pPr>
              <w:spacing w:before="0" w:after="6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① 决策树在本数据集的性能边界：经过充分特征工程（10个衍生特征）、CCP 剪枝、210组参数网格搜索和 三种不平衡策略对比，最优单棵 DT（UnderSample）测试 AUC=0.8356。该结果已逼近单棵决策树在 Telco 数据集上的合理性能上限，进一步提升需要集成方法（Random Forest、XGBoost）；</w:t>
            </w:r>
          </w:p>
          <w:p w14:paraId="58AA5341">
            <w:pPr>
              <w:spacing w:before="0" w:after="6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② 特征工程的有效性：10个衍生特征中 risky_combo、monthly_to_total 进入特征重要性 Top-10，验证了业务驱动特征工程的价值。特别是 risky_combo（月付合约+新客户组合风险）直接在原始 特征空间中显式表达了决策树需要两层分裂才能学到的规则，减少了树深度需求；</w:t>
            </w:r>
          </w:p>
          <w:p w14:paraId="47E606C2">
            <w:pPr>
              <w:spacing w:before="0" w:after="6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③ SMOTE Pipeline 防泄露的重要性：Pipeline 内部执行与外部执行的 CV-AUC 差距高达 0.0659，但测试 AUC 差异仅 0.0111，充分说明预先执行 SMOTE 导致了严重的 CV 估计虚高。这是类别不平衡处理中最容易被忽视、危害最大的数据泄露场景；</w:t>
            </w:r>
          </w:p>
          <w:p w14:paraId="5CFC9DDE">
            <w:pPr>
              <w:spacing w:before="0" w:after="6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④ 不平衡处理策略的业务选择建议：若以最小化漏报（FN）为首要目标（如主动挽留电话外呼），推荐 ClassWeight 策略（FN=74，Recall=0.802）；若以最精准的营销为目标（控制误扰），推荐 SMOTE Pipeline 策略（FP=234，Precision=0.533）；若以最高整体排序能力为目标，推荐 UnderSample 策略（AUC=0.8356 最优）；</w:t>
            </w:r>
          </w:p>
          <w:p w14:paraId="65FD3B51">
            <w:pPr>
              <w:spacing w:before="0" w:after="6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⑤ DT 与 LR 的对比认识：LR（AUC=0.8489）略高于最优 DT（0.8356），差距 0.0133。这说明在特征工程充分后，该数据集具有较强的线性可分性，LR 的简单线性边界即可取得竞争力。要突破此性能边界，建议引入 Random Forest（预估 AUC 0.87+）或 XGBoost（预估 AUC 0.89+），它们能通过集成多棵树自动捕捉 LR 和单棵 DT 均无法处理的高阶非线性交互；</w:t>
            </w:r>
          </w:p>
          <w:p w14:paraId="7A26D48C">
            <w:pPr>
              <w:spacing w:before="0" w:after="60" w:line="240" w:lineRule="auto"/>
              <w:ind w:firstLine="480"/>
              <w:jc w:val="left"/>
            </w:pPr>
            <w:r>
              <w:rPr>
                <w:rFonts w:ascii="SimSun" w:hAnsi="SimSun" w:eastAsia="SimSun"/>
                <w:b w:val="0"/>
                <w:i w:val="0"/>
                <w:sz w:val="24"/>
              </w:rPr>
              <w:t>⑥ 工程最佳实践总结：① 数据预处理需检查 object 类型的数值列（TotalCharges 案例）；② 编码策略应遵循"有序保序，无序展开"原则；③ SMOTE 必须放入 Pipeline；④ GridSearchCV 在不平衡场景下务必使用 roc_auc 而非 accuracy 评分；⑤ 特征重要性分析与业务认知交叉验证，是检验模型可靠性的有效手段。</w:t>
            </w:r>
          </w:p>
        </w:tc>
      </w:tr>
    </w:tbl>
    <w:p w14:paraId="1854CC63"/>
    <w:sectPr>
      <w:headerReference r:id="rId4" w:type="first"/>
      <w:footerReference r:id="rId6" w:type="first"/>
      <w:headerReference r:id="rId3" w:type="default"/>
      <w:footerReference r:id="rId5" w:type="default"/>
      <w:pgSz w:w="10440" w:h="14740"/>
      <w:pgMar w:top="1134" w:right="1588" w:bottom="1134" w:left="1588" w:header="851" w:footer="737" w:gutter="0"/>
      <w:pgNumType w:fmt="decimal" w:start="0"/>
      <w:cols w:space="720" w:num="1"/>
      <w:formProt w:val="0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SimHei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Lohit Devanagari">
    <w:panose1 w:val="020B0600000000000000"/>
    <w:charset w:val="00"/>
    <w:family w:val="auto"/>
    <w:pitch w:val="default"/>
    <w:sig w:usb0="80008023" w:usb1="00002042" w:usb2="00000000" w:usb3="00000000" w:csb0="00000001" w:csb1="00000000"/>
  </w:font>
  <w:font w:name="Liberation Serif">
    <w:panose1 w:val="02020603050405020304"/>
    <w:charset w:val="01"/>
    <w:family w:val="roman"/>
    <w:pitch w:val="default"/>
    <w:sig w:usb0="A00002AF" w:usb1="500078FB" w:usb2="00000000" w:usb3="00000000" w:csb0="6000009F" w:csb1="DFD7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Liberation Sans">
    <w:panose1 w:val="020B0604020202020204"/>
    <w:charset w:val="01"/>
    <w:family w:val="swiss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楷体_GB2312;楷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Droid Sans Fallback"/>
    <w:panose1 w:val="00000000000000000000"/>
    <w:charset w:val="86"/>
    <w:family w:val="modern"/>
    <w:pitch w:val="default"/>
    <w:sig w:usb0="00000000" w:usb1="00000000" w:usb2="00000000" w:usb3="00000000" w:csb0="00000000" w:csb1="00000000"/>
  </w:font>
  <w:font w:name="汉仪叶叶相思体简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汉仪中圆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B4D33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2B1140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11E9B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59965">
    <w:pPr>
      <w:pStyle w:val="9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B7D546"/>
    <w:multiLevelType w:val="multilevel"/>
    <w:tmpl w:val="DBB7D546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">
    <w:nsid w:val="F6DE7BA3"/>
    <w:multiLevelType w:val="singleLevel"/>
    <w:tmpl w:val="F6DE7BA3"/>
    <w:lvl w:ilvl="0" w:tentative="0">
      <w:start w:val="2"/>
      <w:numFmt w:val="taiwaneseCountingThousand"/>
      <w:suff w:val="nothing"/>
      <w:lvlText w:val="%1、"/>
      <w:lvlJc w:val="left"/>
      <w:pPr>
        <w:tabs>
          <w:tab w:val="left" w:pos="0"/>
        </w:tabs>
        <w:ind w:left="0" w:firstLine="0"/>
      </w:pPr>
    </w:lvl>
  </w:abstractNum>
  <w:abstractNum w:abstractNumId="2">
    <w:nsid w:val="F75E10F6"/>
    <w:multiLevelType w:val="multilevel"/>
    <w:tmpl w:val="F75E10F6"/>
    <w:lvl w:ilvl="0" w:tentative="0">
      <w:start w:val="1"/>
      <w:numFmt w:val="taiwaneseCountingThousand"/>
      <w:suff w:val="nothing"/>
      <w:lvlText w:val="%1、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suff w:val="nothing"/>
      <w:lvlText w:val="%2．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decimal"/>
      <w:suff w:val="nothing"/>
      <w:lvlText w:val="（%3）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decimalEnclosedCircle"/>
      <w:suff w:val="nothing"/>
      <w:lvlText w:val="%4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decimal"/>
      <w:suff w:val="nothing"/>
      <w:lvlText w:val="%5）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lowerLetter"/>
      <w:suff w:val="nothing"/>
      <w:lvlText w:val="%6．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lowerLetter"/>
      <w:suff w:val="nothing"/>
      <w:lvlText w:val="%7）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lowerRoman"/>
      <w:suff w:val="nothing"/>
      <w:lvlText w:val="%8．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lowerRoman"/>
      <w:suff w:val="nothing"/>
      <w:lvlText w:val="%9）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autoHyphenation/>
  <w:compat>
    <w:noLeading/>
    <w:doNotExpandShiftReturn/>
    <w:useFELayout/>
    <w:compatSetting w:name="compatibilityMode" w:uri="http://schemas.microsoft.com/office/word" w:val="14"/>
  </w:compat>
  <w:rsids>
    <w:rsidRoot w:val="00000000"/>
    <w:rsid w:val="2FF3C49B"/>
    <w:rsid w:val="5FF93A73"/>
    <w:rsid w:val="FFD6696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SimSun" w:cs="Times New Roman"/>
      <w:color w:val="auto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100" w:after="100"/>
      <w:jc w:val="left"/>
      <w:outlineLvl w:val="0"/>
    </w:pPr>
    <w:rPr>
      <w:rFonts w:ascii="SimSun" w:hAnsi="SimSun" w:eastAsia="SimSun" w:cs="SimSun"/>
      <w:b/>
      <w:kern w:val="2"/>
      <w:sz w:val="48"/>
      <w:szCs w:val="48"/>
      <w:lang w:val="en-US" w:eastAsia="zh-CN" w:bidi="ar"/>
    </w:rPr>
  </w:style>
  <w:style w:type="paragraph" w:styleId="3">
    <w:name w:val="heading 2"/>
    <w:basedOn w:val="1"/>
    <w:next w:val="1"/>
    <w:qFormat/>
    <w:uiPriority w:val="0"/>
    <w:pPr>
      <w:numPr>
        <w:ilvl w:val="1"/>
        <w:numId w:val="1"/>
      </w:numPr>
      <w:spacing w:before="100" w:after="100"/>
      <w:jc w:val="left"/>
      <w:outlineLvl w:val="1"/>
    </w:pPr>
    <w:rPr>
      <w:rFonts w:ascii="SimSun" w:hAnsi="SimSun" w:eastAsia="SimSun" w:cs="SimSun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1"/>
      </w:numPr>
      <w:spacing w:before="100" w:after="100"/>
      <w:jc w:val="left"/>
      <w:outlineLvl w:val="2"/>
    </w:pPr>
    <w:rPr>
      <w:rFonts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numPr>
        <w:ilvl w:val="3"/>
        <w:numId w:val="1"/>
      </w:numPr>
      <w:spacing w:before="100" w:after="100"/>
      <w:jc w:val="left"/>
      <w:outlineLvl w:val="3"/>
    </w:pPr>
    <w:rPr>
      <w:rFonts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Body Text"/>
    <w:basedOn w:val="1"/>
    <w:qFormat/>
    <w:uiPriority w:val="0"/>
    <w:pPr>
      <w:spacing w:before="0" w:after="140" w:line="276" w:lineRule="auto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  <w:style w:type="paragraph" w:styleId="9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kern w:val="2"/>
      <w:sz w:val="18"/>
      <w:szCs w:val="18"/>
    </w:rPr>
  </w:style>
  <w:style w:type="paragraph" w:styleId="10">
    <w:name w:val="List"/>
    <w:basedOn w:val="7"/>
    <w:qFormat/>
    <w:uiPriority w:val="0"/>
    <w:rPr>
      <w:rFonts w:cs="Lohit Devanagari"/>
    </w:rPr>
  </w:style>
  <w:style w:type="character" w:styleId="13">
    <w:name w:val="page number"/>
    <w:qFormat/>
    <w:uiPriority w:val="0"/>
  </w:style>
  <w:style w:type="character" w:styleId="14">
    <w:name w:val="Hyperlink"/>
    <w:qFormat/>
    <w:uiPriority w:val="0"/>
    <w:rPr>
      <w:color w:val="0000FF"/>
      <w:u w:val="single"/>
    </w:rPr>
  </w:style>
  <w:style w:type="character" w:customStyle="1" w:styleId="15">
    <w:name w:val="默认段落字体1"/>
    <w:qFormat/>
    <w:uiPriority w:val="0"/>
  </w:style>
  <w:style w:type="character" w:customStyle="1" w:styleId="16">
    <w:name w:val="Strong Emphasis"/>
    <w:qFormat/>
    <w:uiPriority w:val="0"/>
    <w:rPr>
      <w:b/>
    </w:rPr>
  </w:style>
  <w:style w:type="paragraph" w:customStyle="1" w:styleId="17">
    <w:name w:val="Heading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19">
    <w:name w:val="Header and Footer"/>
    <w:basedOn w:val="1"/>
    <w:qFormat/>
    <w:uiPriority w:val="0"/>
    <w:pPr>
      <w:suppressLineNumbers/>
      <w:tabs>
        <w:tab w:val="center" w:pos="4986"/>
        <w:tab w:val="right" w:pos="9972"/>
      </w:tabs>
    </w:pPr>
  </w:style>
  <w:style w:type="paragraph" w:customStyle="1" w:styleId="20">
    <w:name w:val="HTML 预设格式1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1">
    <w:name w:val="普通(网站)1"/>
    <w:basedOn w:val="1"/>
    <w:qFormat/>
    <w:uiPriority w:val="0"/>
    <w:pPr>
      <w:spacing w:before="100" w:after="100"/>
      <w:ind w:left="0" w:right="0" w:firstLine="0"/>
      <w:jc w:val="left"/>
    </w:pPr>
    <w:rPr>
      <w:kern w:val="0"/>
      <w:sz w:val="24"/>
      <w:lang w:val="en-US" w:eastAsia="zh-CN" w:bidi="ar"/>
    </w:rPr>
  </w:style>
  <w:style w:type="paragraph" w:customStyle="1" w:styleId="22">
    <w:name w:val="列表段落"/>
    <w:basedOn w:val="1"/>
    <w:qFormat/>
    <w:uiPriority w:val="0"/>
    <w:pPr>
      <w:ind w:firstLine="420"/>
    </w:pPr>
  </w:style>
  <w:style w:type="paragraph" w:customStyle="1" w:styleId="23">
    <w:name w:val="Table Contents"/>
    <w:basedOn w:val="1"/>
    <w:qFormat/>
    <w:uiPriority w:val="0"/>
    <w:pPr>
      <w:widowControl w:val="0"/>
      <w:suppressLineNumbers/>
    </w:pPr>
  </w:style>
  <w:style w:type="paragraph" w:customStyle="1" w:styleId="24">
    <w:name w:val="Table Heading"/>
    <w:basedOn w:val="2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TotalTime>0</TotalTime>
  <ScaleCrop>false</ScaleCrop>
  <LinksUpToDate>false</LinksUpToDate>
  <Application>WPS Office_12.1.2.24722_F1E327BC-269C-435d-A152-05C5408002CA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2024-01-03T06:02:00Z</dcterms:created>
  <dc:creator>chasel</dc:creator>
  <cp:lastModifiedBy>generic</cp:lastModifiedBy>
  <dcterms:modified xsi:type="dcterms:W3CDTF">2026-03-20T05:20:34Z</dcterms:modified>
  <dc:title>《操作系统》实验报告</dc:title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3C58AE22AAD248D1A0DA8F3822A8D29F_13</vt:lpwstr>
  </property>
  <property fmtid="{D5CDD505-2E9C-101B-9397-08002B2CF9AE}" pid="3" name="KSOProductBuildVer">
    <vt:lpwstr>2052-12.1.2.24722</vt:lpwstr>
  </property>
  <property fmtid="{D5CDD505-2E9C-101B-9397-08002B2CF9AE}" pid="4" name="KSOTemplateDocerSaveRecord">
    <vt:lpwstr>eyJoZGlkIjoiMjA4MTlmYTk3MWJlOWU1OTQwZDA4NTk2YjQ1MDg0ZTEiLCJ1c2VySWQiOiI3MTY1NzI0OTcifQ==</vt:lpwstr>
  </property>
  <property fmtid="{D5CDD505-2E9C-101B-9397-08002B2CF9AE}" pid="5" name="commondata">
    <vt:lpwstr>commondata</vt:lpwstr>
  </property>
</Properties>
</file>