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60F988" w14:textId="77777777" w:rsidR="00E76A40" w:rsidRDefault="00937A18">
      <w:pPr>
        <w:spacing w:after="160" w:line="25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2751B917" w14:textId="77777777" w:rsidR="00E76A40" w:rsidRDefault="00937A18">
      <w:pPr>
        <w:spacing w:after="160" w:line="25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UNIVERSIDAD NACIONAL TORIBIO RODRÍGUEZ DE MENDOZA DE AMAZONAS</w:t>
      </w:r>
    </w:p>
    <w:p w14:paraId="0536634D" w14:textId="77777777" w:rsidR="00E76A40" w:rsidRDefault="00937A18">
      <w:pPr>
        <w:spacing w:after="160" w:line="256" w:lineRule="auto"/>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114300" distB="114300" distL="114300" distR="114300" wp14:anchorId="31581380" wp14:editId="1AF0D80A">
            <wp:extent cx="1719263" cy="164361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9263" cy="1643615"/>
                    </a:xfrm>
                    <a:prstGeom prst="rect">
                      <a:avLst/>
                    </a:prstGeom>
                    <a:ln/>
                  </pic:spPr>
                </pic:pic>
              </a:graphicData>
            </a:graphic>
          </wp:inline>
        </w:drawing>
      </w:r>
    </w:p>
    <w:p w14:paraId="128C4071" w14:textId="77777777" w:rsidR="00E76A40" w:rsidRDefault="00937A18">
      <w:pPr>
        <w:spacing w:after="16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FACULTAD DE INGENIERÍA Y CIENCIAS AGRARIAS</w:t>
      </w:r>
    </w:p>
    <w:p w14:paraId="2990DCC2" w14:textId="77777777" w:rsidR="00E76A40" w:rsidRDefault="00937A18">
      <w:pPr>
        <w:spacing w:after="16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ESCUELA PROFESIONAL DE INGENIERÍA AGRÓNOMA</w:t>
      </w:r>
    </w:p>
    <w:p w14:paraId="3571D0AD" w14:textId="77777777" w:rsidR="00E76A40" w:rsidRDefault="00937A18">
      <w:pPr>
        <w:spacing w:after="160" w:line="256"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p>
    <w:p w14:paraId="6A5F3A49" w14:textId="77777777" w:rsidR="00E76A40" w:rsidRDefault="00937A18">
      <w:pPr>
        <w:spacing w:after="16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PROYECTO DE TESIS PARA OBTENER EL TÍTULO PROFESIONAL DE INGENIERA AGRÓNOMA</w:t>
      </w:r>
    </w:p>
    <w:p w14:paraId="624C009F" w14:textId="77777777" w:rsidR="00E76A40" w:rsidRDefault="00937A18">
      <w:pPr>
        <w:spacing w:after="16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8C0C881" w14:textId="77777777" w:rsidR="00E76A40" w:rsidRPr="00DC1A20" w:rsidRDefault="00937A18">
      <w:pPr>
        <w:spacing w:line="276" w:lineRule="auto"/>
        <w:jc w:val="center"/>
        <w:rPr>
          <w:rFonts w:ascii="Times New Roman" w:eastAsia="Times New Roman" w:hAnsi="Times New Roman" w:cs="Times New Roman"/>
          <w:b/>
          <w:sz w:val="32"/>
          <w:szCs w:val="32"/>
        </w:rPr>
      </w:pPr>
      <w:r w:rsidRPr="00DC1A20">
        <w:rPr>
          <w:rFonts w:ascii="Times New Roman" w:eastAsia="Times New Roman" w:hAnsi="Times New Roman" w:cs="Times New Roman"/>
          <w:b/>
          <w:sz w:val="32"/>
          <w:szCs w:val="32"/>
        </w:rPr>
        <w:t xml:space="preserve">MICROPROPAGACIÓN IN VITRO DE </w:t>
      </w:r>
      <w:r w:rsidRPr="00DC1A20">
        <w:rPr>
          <w:rFonts w:ascii="Times New Roman" w:eastAsia="Times New Roman" w:hAnsi="Times New Roman" w:cs="Times New Roman"/>
          <w:b/>
          <w:i/>
          <w:sz w:val="32"/>
          <w:szCs w:val="32"/>
        </w:rPr>
        <w:t>GREIGIA</w:t>
      </w:r>
      <w:r w:rsidRPr="00DC1A20">
        <w:rPr>
          <w:rFonts w:ascii="Times New Roman" w:eastAsia="Times New Roman" w:hAnsi="Times New Roman" w:cs="Times New Roman"/>
          <w:b/>
          <w:sz w:val="32"/>
          <w:szCs w:val="32"/>
        </w:rPr>
        <w:t xml:space="preserve"> SP, UNA ESPECIE DE BROMELIA SILVESTRE EN PELIGRO DE EXTINCIÓN, CON FINES DE CONSERVACIÓN GENÉTICA Y VALORIZACIÓN FRUTAL.</w:t>
      </w:r>
    </w:p>
    <w:p w14:paraId="36D8B031" w14:textId="77777777" w:rsidR="00E76A40" w:rsidRDefault="00E76A40">
      <w:pPr>
        <w:rPr>
          <w:rFonts w:ascii="Times New Roman" w:eastAsia="Times New Roman" w:hAnsi="Times New Roman" w:cs="Times New Roman"/>
        </w:rPr>
      </w:pPr>
    </w:p>
    <w:p w14:paraId="31EC0B8A" w14:textId="77777777" w:rsidR="00E76A40" w:rsidRDefault="00937A18">
      <w:pPr>
        <w:spacing w:after="160" w:line="256"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47836867" w14:textId="67F64C06" w:rsidR="00E76A40" w:rsidRDefault="00DC1A20">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Autora</w:t>
      </w:r>
      <w:r w:rsidR="00937A18">
        <w:rPr>
          <w:rFonts w:ascii="Times New Roman" w:eastAsia="Times New Roman" w:hAnsi="Times New Roman" w:cs="Times New Roman"/>
          <w:b/>
        </w:rPr>
        <w:t>: Lili Maricela Barboza Saldaña</w:t>
      </w:r>
    </w:p>
    <w:p w14:paraId="174904E6" w14:textId="77777777" w:rsidR="00E76A40" w:rsidRDefault="00937A18">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Asesor: Dr. Santos Triunfo Leiva Espinoza</w:t>
      </w:r>
    </w:p>
    <w:p w14:paraId="674D97FC" w14:textId="77777777" w:rsidR="00E76A40" w:rsidRDefault="00937A18">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26CC93BD" w14:textId="77777777" w:rsidR="00E76A40" w:rsidRDefault="00937A18">
      <w:pPr>
        <w:spacing w:after="160" w:line="256" w:lineRule="auto"/>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114C7070" w14:textId="77777777" w:rsidR="00E76A40" w:rsidRDefault="00937A18">
      <w:pPr>
        <w:spacing w:after="160" w:line="25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3C8223B2" w14:textId="77777777" w:rsidR="00E76A40" w:rsidRDefault="00937A18">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CHACHAPOYAS – PERÚ</w:t>
      </w:r>
    </w:p>
    <w:p w14:paraId="67A0478B" w14:textId="77777777" w:rsidR="00E76A40" w:rsidRDefault="00937A18">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2025</w:t>
      </w:r>
    </w:p>
    <w:p w14:paraId="0AE57E36" w14:textId="77777777" w:rsidR="00E76A40" w:rsidRDefault="00E76A40">
      <w:pPr>
        <w:rPr>
          <w:rFonts w:ascii="Times New Roman" w:eastAsia="Times New Roman" w:hAnsi="Times New Roman" w:cs="Times New Roman"/>
          <w:b/>
        </w:rPr>
      </w:pPr>
    </w:p>
    <w:p w14:paraId="21278183" w14:textId="77777777" w:rsidR="00E76A40" w:rsidRDefault="00E76A40">
      <w:pPr>
        <w:rPr>
          <w:rFonts w:ascii="Times New Roman" w:eastAsia="Times New Roman" w:hAnsi="Times New Roman" w:cs="Times New Roman"/>
          <w:b/>
        </w:rPr>
      </w:pPr>
    </w:p>
    <w:p w14:paraId="33B62776" w14:textId="262E37D0" w:rsidR="00E76A40" w:rsidRDefault="00E76A40" w:rsidP="00DC1A20">
      <w:pPr>
        <w:rPr>
          <w:rFonts w:ascii="Times New Roman" w:eastAsia="Times New Roman" w:hAnsi="Times New Roman" w:cs="Times New Roman"/>
          <w:b/>
        </w:rPr>
      </w:pPr>
    </w:p>
    <w:p w14:paraId="29536E8B" w14:textId="675611CD" w:rsidR="00E76A40" w:rsidRPr="00DC1A20" w:rsidRDefault="00937A18" w:rsidP="00DC1A20">
      <w:pPr>
        <w:numPr>
          <w:ilvl w:val="0"/>
          <w:numId w:val="2"/>
        </w:numPr>
        <w:spacing w:line="360" w:lineRule="auto"/>
        <w:rPr>
          <w:rFonts w:ascii="Times New Roman" w:eastAsia="Times New Roman" w:hAnsi="Times New Roman" w:cs="Times New Roman"/>
          <w:b/>
        </w:rPr>
      </w:pPr>
      <w:r>
        <w:rPr>
          <w:rFonts w:ascii="Times New Roman" w:eastAsia="Times New Roman" w:hAnsi="Times New Roman" w:cs="Times New Roman"/>
          <w:b/>
        </w:rPr>
        <w:t xml:space="preserve">Título: </w:t>
      </w:r>
    </w:p>
    <w:p w14:paraId="0F327356" w14:textId="561FE8DF" w:rsidR="00E76A40" w:rsidRDefault="00937A18" w:rsidP="00DC1A20">
      <w:pPr>
        <w:spacing w:line="360" w:lineRule="auto"/>
        <w:rPr>
          <w:rFonts w:ascii="Times New Roman" w:eastAsia="Times New Roman" w:hAnsi="Times New Roman" w:cs="Times New Roman"/>
        </w:rPr>
      </w:pPr>
      <w:r>
        <w:rPr>
          <w:rFonts w:ascii="Times New Roman" w:eastAsia="Times New Roman" w:hAnsi="Times New Roman" w:cs="Times New Roman"/>
        </w:rPr>
        <w:t xml:space="preserve">Micropropagación in vitro de </w:t>
      </w:r>
      <w:r>
        <w:rPr>
          <w:rFonts w:ascii="Times New Roman" w:eastAsia="Times New Roman" w:hAnsi="Times New Roman" w:cs="Times New Roman"/>
          <w:i/>
        </w:rPr>
        <w:t>Greigia</w:t>
      </w:r>
      <w:r>
        <w:rPr>
          <w:rFonts w:ascii="Times New Roman" w:eastAsia="Times New Roman" w:hAnsi="Times New Roman" w:cs="Times New Roman"/>
        </w:rPr>
        <w:t xml:space="preserve"> sp, una especie de bromelia silvestre en peligro de extinción, con fines de conservación genética y valorización frutal.</w:t>
      </w:r>
    </w:p>
    <w:p w14:paraId="1D7F6643" w14:textId="77777777" w:rsidR="00E76A40" w:rsidRDefault="00937A18" w:rsidP="00DC1A20">
      <w:pPr>
        <w:numPr>
          <w:ilvl w:val="0"/>
          <w:numId w:val="2"/>
        </w:numPr>
        <w:spacing w:line="360" w:lineRule="auto"/>
        <w:rPr>
          <w:rFonts w:ascii="Times New Roman" w:eastAsia="Times New Roman" w:hAnsi="Times New Roman" w:cs="Times New Roman"/>
          <w:b/>
        </w:rPr>
      </w:pPr>
      <w:r>
        <w:rPr>
          <w:rFonts w:ascii="Times New Roman" w:eastAsia="Times New Roman" w:hAnsi="Times New Roman" w:cs="Times New Roman"/>
          <w:b/>
        </w:rPr>
        <w:t>Problema de investigación.</w:t>
      </w:r>
    </w:p>
    <w:p w14:paraId="28625E07" w14:textId="6BF5E500"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¿Cómo micropropagar in vitro </w:t>
      </w:r>
      <w:r>
        <w:rPr>
          <w:rFonts w:ascii="Times New Roman" w:eastAsia="Times New Roman" w:hAnsi="Times New Roman" w:cs="Times New Roman"/>
          <w:i/>
        </w:rPr>
        <w:t>Greigia</w:t>
      </w:r>
      <w:r>
        <w:rPr>
          <w:rFonts w:ascii="Times New Roman" w:eastAsia="Times New Roman" w:hAnsi="Times New Roman" w:cs="Times New Roman"/>
        </w:rPr>
        <w:t xml:space="preserve"> sp, una especie de bromelia silvestre en peligro de extinción, con fines de conservación genética y valorización frutal?</w:t>
      </w:r>
    </w:p>
    <w:p w14:paraId="60BE0590" w14:textId="77777777" w:rsidR="00E76A40" w:rsidRDefault="00937A18" w:rsidP="00DC1A20">
      <w:pPr>
        <w:numPr>
          <w:ilvl w:val="0"/>
          <w:numId w:val="2"/>
        </w:numPr>
        <w:spacing w:line="360" w:lineRule="auto"/>
        <w:jc w:val="both"/>
        <w:rPr>
          <w:rFonts w:ascii="Times New Roman" w:eastAsia="Times New Roman" w:hAnsi="Times New Roman" w:cs="Times New Roman"/>
          <w:b/>
        </w:rPr>
      </w:pPr>
      <w:r>
        <w:rPr>
          <w:rFonts w:ascii="Times New Roman" w:eastAsia="Times New Roman" w:hAnsi="Times New Roman" w:cs="Times New Roman"/>
          <w:b/>
        </w:rPr>
        <w:t>Objetivos.</w:t>
      </w:r>
    </w:p>
    <w:p w14:paraId="74E8490A" w14:textId="77777777" w:rsidR="00E76A40" w:rsidRDefault="00937A18" w:rsidP="00DC1A20">
      <w:pPr>
        <w:spacing w:before="280" w:after="280" w:line="360" w:lineRule="auto"/>
        <w:rPr>
          <w:rFonts w:ascii="Times New Roman" w:eastAsia="Times New Roman" w:hAnsi="Times New Roman" w:cs="Times New Roman"/>
        </w:rPr>
      </w:pPr>
      <w:r>
        <w:rPr>
          <w:rFonts w:ascii="Times New Roman" w:eastAsia="Times New Roman" w:hAnsi="Times New Roman" w:cs="Times New Roman"/>
          <w:b/>
        </w:rPr>
        <w:t>3.1. Objetivo general</w:t>
      </w:r>
      <w:r>
        <w:rPr>
          <w:rFonts w:ascii="Times New Roman" w:eastAsia="Times New Roman" w:hAnsi="Times New Roman" w:cs="Times New Roman"/>
        </w:rPr>
        <w:t>.</w:t>
      </w:r>
    </w:p>
    <w:p w14:paraId="0E46FBC6" w14:textId="77777777" w:rsidR="00E76A40" w:rsidRDefault="00937A18" w:rsidP="00DC1A20">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 xml:space="preserve">"Desarrollar un protocolo de micropropagación in vitro para </w:t>
      </w:r>
      <w:r>
        <w:rPr>
          <w:rFonts w:ascii="Times New Roman" w:eastAsia="Times New Roman" w:hAnsi="Times New Roman" w:cs="Times New Roman"/>
          <w:i/>
        </w:rPr>
        <w:t>Gre</w:t>
      </w:r>
      <w:r>
        <w:rPr>
          <w:rFonts w:ascii="Times New Roman" w:eastAsia="Times New Roman" w:hAnsi="Times New Roman" w:cs="Times New Roman"/>
          <w:i/>
        </w:rPr>
        <w:t>igia</w:t>
      </w:r>
      <w:r>
        <w:rPr>
          <w:rFonts w:ascii="Times New Roman" w:eastAsia="Times New Roman" w:hAnsi="Times New Roman" w:cs="Times New Roman"/>
        </w:rPr>
        <w:t xml:space="preserve"> sp, con fines de conservación  genética y valorización frutal"</w:t>
      </w:r>
    </w:p>
    <w:p w14:paraId="54358710" w14:textId="77777777" w:rsidR="00E76A40" w:rsidRDefault="00937A18" w:rsidP="00DC1A20">
      <w:pPr>
        <w:spacing w:before="280" w:after="280" w:line="360" w:lineRule="auto"/>
        <w:rPr>
          <w:rFonts w:ascii="Times New Roman" w:eastAsia="Times New Roman" w:hAnsi="Times New Roman" w:cs="Times New Roman"/>
        </w:rPr>
      </w:pPr>
      <w:r>
        <w:rPr>
          <w:rFonts w:ascii="Times New Roman" w:eastAsia="Times New Roman" w:hAnsi="Times New Roman" w:cs="Times New Roman"/>
          <w:b/>
        </w:rPr>
        <w:t>3.2. Objetivos específicos</w:t>
      </w:r>
      <w:r>
        <w:rPr>
          <w:rFonts w:ascii="Times New Roman" w:eastAsia="Times New Roman" w:hAnsi="Times New Roman" w:cs="Times New Roman"/>
        </w:rPr>
        <w:t>:</w:t>
      </w:r>
    </w:p>
    <w:p w14:paraId="248B4A21" w14:textId="77777777" w:rsidR="00E76A40" w:rsidRDefault="00937A18" w:rsidP="00DC1A20">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Establecer las condiciones óptimas para la germinación y establecimiento in vitro de semillas de </w:t>
      </w:r>
      <w:r>
        <w:rPr>
          <w:rFonts w:ascii="Times New Roman" w:eastAsia="Times New Roman" w:hAnsi="Times New Roman" w:cs="Times New Roman"/>
          <w:i/>
        </w:rPr>
        <w:t>Greigia</w:t>
      </w:r>
      <w:r>
        <w:rPr>
          <w:rFonts w:ascii="Times New Roman" w:eastAsia="Times New Roman" w:hAnsi="Times New Roman" w:cs="Times New Roman"/>
        </w:rPr>
        <w:t xml:space="preserve"> sp. </w:t>
      </w:r>
    </w:p>
    <w:p w14:paraId="0EA79B40" w14:textId="77777777" w:rsidR="00E76A40" w:rsidRDefault="00E76A40" w:rsidP="00DC1A20">
      <w:pPr>
        <w:spacing w:line="360" w:lineRule="auto"/>
        <w:ind w:left="720"/>
        <w:jc w:val="both"/>
        <w:rPr>
          <w:rFonts w:ascii="Times New Roman" w:eastAsia="Times New Roman" w:hAnsi="Times New Roman" w:cs="Times New Roman"/>
        </w:rPr>
      </w:pPr>
    </w:p>
    <w:p w14:paraId="4EFB8FC2" w14:textId="77777777" w:rsidR="00E76A40" w:rsidRDefault="00937A18" w:rsidP="00DC1A20">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Optimizar el proceso de multiplicación in vitro d</w:t>
      </w:r>
      <w:r>
        <w:rPr>
          <w:rFonts w:ascii="Times New Roman" w:eastAsia="Times New Roman" w:hAnsi="Times New Roman" w:cs="Times New Roman"/>
        </w:rPr>
        <w:t>e plántulas mediante la selección de medios de cultivo y reguladores de crecimiento apropiados para bromelias.</w:t>
      </w:r>
    </w:p>
    <w:p w14:paraId="23C6F772" w14:textId="77777777" w:rsidR="00E76A40" w:rsidRDefault="00937A18" w:rsidP="00DC1A20">
      <w:pPr>
        <w:numPr>
          <w:ilvl w:val="0"/>
          <w:numId w:val="3"/>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Desarrollar protocolos efectivos para el enraizamiento, y evaluar el porcentaje de  aclimatación de las plántulas de </w:t>
      </w:r>
      <w:r>
        <w:rPr>
          <w:rFonts w:ascii="Times New Roman" w:eastAsia="Times New Roman" w:hAnsi="Times New Roman" w:cs="Times New Roman"/>
          <w:i/>
        </w:rPr>
        <w:t>Greigia</w:t>
      </w:r>
      <w:r>
        <w:rPr>
          <w:rFonts w:ascii="Times New Roman" w:eastAsia="Times New Roman" w:hAnsi="Times New Roman" w:cs="Times New Roman"/>
        </w:rPr>
        <w:t xml:space="preserve"> sp. transferidas a c</w:t>
      </w:r>
      <w:r>
        <w:rPr>
          <w:rFonts w:ascii="Times New Roman" w:eastAsia="Times New Roman" w:hAnsi="Times New Roman" w:cs="Times New Roman"/>
        </w:rPr>
        <w:t>ondiciones ex vitro.</w:t>
      </w:r>
    </w:p>
    <w:p w14:paraId="230F8E75" w14:textId="77777777" w:rsidR="00E76A40" w:rsidRDefault="00937A18" w:rsidP="00DC1A20">
      <w:pPr>
        <w:numPr>
          <w:ilvl w:val="0"/>
          <w:numId w:val="2"/>
        </w:num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rPr>
        <w:t>Antecedentes de la investigación.</w:t>
      </w:r>
    </w:p>
    <w:p w14:paraId="26D8E144" w14:textId="77777777"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género </w:t>
      </w:r>
      <w:r>
        <w:rPr>
          <w:rFonts w:ascii="Times New Roman" w:eastAsia="Times New Roman" w:hAnsi="Times New Roman" w:cs="Times New Roman"/>
          <w:i/>
        </w:rPr>
        <w:t>Greigia</w:t>
      </w:r>
      <w:r>
        <w:rPr>
          <w:rFonts w:ascii="Times New Roman" w:eastAsia="Times New Roman" w:hAnsi="Times New Roman" w:cs="Times New Roman"/>
        </w:rPr>
        <w:t xml:space="preserve"> de la familia Bromeliaceae comprende aproximadamente 36 especies en América Central y del Sur, presenta una distribución extraordinariamente disjunta en hábitats húmedos (Barrientos e</w:t>
      </w:r>
      <w:r>
        <w:rPr>
          <w:rFonts w:ascii="Times New Roman" w:eastAsia="Times New Roman" w:hAnsi="Times New Roman" w:cs="Times New Roman"/>
        </w:rPr>
        <w:t>t al., 2020), en bosques andinos de países como Colombia, Venezuela, Perú, Ecuador, Centroamérica y el sur de México (Aravena-Sanhueza et al., 2020). Es una planta que forma parte del sotobosque, crecen bajo las sombras de los árboles nativos, además son r</w:t>
      </w:r>
      <w:r>
        <w:rPr>
          <w:rFonts w:ascii="Times New Roman" w:eastAsia="Times New Roman" w:hAnsi="Times New Roman" w:cs="Times New Roman"/>
        </w:rPr>
        <w:t xml:space="preserve">etenedoras de suelo (Tellez, 2015). En el Perú, aunque el género ha sido reportado, no </w:t>
      </w:r>
      <w:r>
        <w:rPr>
          <w:rFonts w:ascii="Times New Roman" w:eastAsia="Times New Roman" w:hAnsi="Times New Roman" w:cs="Times New Roman"/>
        </w:rPr>
        <w:lastRenderedPageBreak/>
        <w:t>se han identificado especies en sí para ser reportadas lo que representa una brecha en el conocimiento taxonómico y ecológico del país.</w:t>
      </w:r>
    </w:p>
    <w:p w14:paraId="6946C179" w14:textId="77777777" w:rsidR="00E76A40" w:rsidRDefault="00E76A40" w:rsidP="00DC1A20">
      <w:pPr>
        <w:spacing w:line="360" w:lineRule="auto"/>
        <w:jc w:val="both"/>
        <w:rPr>
          <w:rFonts w:ascii="Times New Roman" w:eastAsia="Times New Roman" w:hAnsi="Times New Roman" w:cs="Times New Roman"/>
        </w:rPr>
      </w:pPr>
    </w:p>
    <w:p w14:paraId="732656DD" w14:textId="2F6ADF78"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i/>
        </w:rPr>
        <w:t xml:space="preserve">Greigia </w:t>
      </w:r>
      <w:r>
        <w:rPr>
          <w:rFonts w:ascii="Times New Roman" w:eastAsia="Times New Roman" w:hAnsi="Times New Roman" w:cs="Times New Roman"/>
        </w:rPr>
        <w:t xml:space="preserve">sp. Conocida comúnmente </w:t>
      </w:r>
      <w:r>
        <w:rPr>
          <w:rFonts w:ascii="Times New Roman" w:eastAsia="Times New Roman" w:hAnsi="Times New Roman" w:cs="Times New Roman"/>
        </w:rPr>
        <w:t xml:space="preserve">por los pobladores como; sugare, chupallas, piña piña, etc, es una planta de tamaño arbustivo, de carácter herbáceo y de aspecto similar a su pariente más conocido en el mundo, la piña (Tellez, 2015). Los frutos comestibles de </w:t>
      </w:r>
      <w:r>
        <w:rPr>
          <w:rFonts w:ascii="Times New Roman" w:eastAsia="Times New Roman" w:hAnsi="Times New Roman" w:cs="Times New Roman"/>
          <w:i/>
        </w:rPr>
        <w:t xml:space="preserve">Greigia </w:t>
      </w:r>
      <w:r>
        <w:rPr>
          <w:rFonts w:ascii="Times New Roman" w:eastAsia="Times New Roman" w:hAnsi="Times New Roman" w:cs="Times New Roman"/>
        </w:rPr>
        <w:t>sp</w:t>
      </w:r>
      <w:r>
        <w:rPr>
          <w:rFonts w:ascii="Times New Roman" w:eastAsia="Times New Roman" w:hAnsi="Times New Roman" w:cs="Times New Roman"/>
          <w:i/>
        </w:rPr>
        <w:t xml:space="preserve">. </w:t>
      </w:r>
      <w:r>
        <w:rPr>
          <w:rFonts w:ascii="Times New Roman" w:eastAsia="Times New Roman" w:hAnsi="Times New Roman" w:cs="Times New Roman"/>
        </w:rPr>
        <w:t>son de color negr</w:t>
      </w:r>
      <w:r>
        <w:rPr>
          <w:rFonts w:ascii="Times New Roman" w:eastAsia="Times New Roman" w:hAnsi="Times New Roman" w:cs="Times New Roman"/>
        </w:rPr>
        <w:t>o brillante cuando están en su punto de maduración, jugosos, dulces y con un sabor similar al de la manzana y la piña, se consumen crudos, preparados en infusión o con bebida fermentada (Barrientos et al., 2020). Se ha reportado que esta fruta presenta div</w:t>
      </w:r>
      <w:r>
        <w:rPr>
          <w:rFonts w:ascii="Times New Roman" w:eastAsia="Times New Roman" w:hAnsi="Times New Roman" w:cs="Times New Roman"/>
        </w:rPr>
        <w:t xml:space="preserve">ersos tipos de antioxidantes, principalmente polifenoles y flavononas (Flagg et al., 2000). Según Barrientos et al., (2020) los frutos de </w:t>
      </w:r>
      <w:r>
        <w:rPr>
          <w:rFonts w:ascii="Times New Roman" w:eastAsia="Times New Roman" w:hAnsi="Times New Roman" w:cs="Times New Roman"/>
          <w:i/>
        </w:rPr>
        <w:t xml:space="preserve">Greigia spp. </w:t>
      </w:r>
      <w:r>
        <w:rPr>
          <w:rFonts w:ascii="Times New Roman" w:eastAsia="Times New Roman" w:hAnsi="Times New Roman" w:cs="Times New Roman"/>
        </w:rPr>
        <w:t>contiene inhibidores de acetilcolinesterasa y butirilcolinesterasa el cual sugiere que los productos natu</w:t>
      </w:r>
      <w:r>
        <w:rPr>
          <w:rFonts w:ascii="Times New Roman" w:eastAsia="Times New Roman" w:hAnsi="Times New Roman" w:cs="Times New Roman"/>
        </w:rPr>
        <w:t xml:space="preserve">rales o suplementos derivados con frutos de </w:t>
      </w:r>
      <w:r>
        <w:rPr>
          <w:rFonts w:ascii="Times New Roman" w:eastAsia="Times New Roman" w:hAnsi="Times New Roman" w:cs="Times New Roman"/>
          <w:i/>
        </w:rPr>
        <w:t xml:space="preserve">Greigia spp. </w:t>
      </w:r>
      <w:r>
        <w:rPr>
          <w:rFonts w:ascii="Times New Roman" w:eastAsia="Times New Roman" w:hAnsi="Times New Roman" w:cs="Times New Roman"/>
        </w:rPr>
        <w:t xml:space="preserve"> son de interés por su potencial </w:t>
      </w:r>
      <w:proofErr w:type="spellStart"/>
      <w:r>
        <w:rPr>
          <w:rFonts w:ascii="Times New Roman" w:eastAsia="Times New Roman" w:hAnsi="Times New Roman" w:cs="Times New Roman"/>
        </w:rPr>
        <w:t>neuroprotector</w:t>
      </w:r>
      <w:proofErr w:type="spellEnd"/>
      <w:r>
        <w:rPr>
          <w:rFonts w:ascii="Times New Roman" w:eastAsia="Times New Roman" w:hAnsi="Times New Roman" w:cs="Times New Roman"/>
        </w:rPr>
        <w:t>.</w:t>
      </w:r>
    </w:p>
    <w:p w14:paraId="20DF58E5" w14:textId="77777777" w:rsidR="00E76A40" w:rsidRDefault="00E76A40" w:rsidP="00DC1A20">
      <w:pPr>
        <w:spacing w:line="360" w:lineRule="auto"/>
        <w:jc w:val="both"/>
        <w:rPr>
          <w:rFonts w:ascii="Times New Roman" w:eastAsia="Times New Roman" w:hAnsi="Times New Roman" w:cs="Times New Roman"/>
        </w:rPr>
      </w:pPr>
    </w:p>
    <w:p w14:paraId="3361FF5E" w14:textId="77777777"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Por otro lado, la pérdida de biodiversidad ha sido una de las principales preocupaciones de la comunidad científica en las últimas décadas (Díaz et </w:t>
      </w:r>
      <w:r>
        <w:rPr>
          <w:rFonts w:ascii="Times New Roman" w:eastAsia="Times New Roman" w:hAnsi="Times New Roman" w:cs="Times New Roman"/>
        </w:rPr>
        <w:t>al., 2019; Storch et al., 2022), debido a que la diversidad vegetal se encuentra bajo una grave amenaza a nivel global, regional local lo que a su vez representa un riesgo para el bienestar humano. Se cree que aproximadamente el 25% de las especies vegetal</w:t>
      </w:r>
      <w:r>
        <w:rPr>
          <w:rFonts w:ascii="Times New Roman" w:eastAsia="Times New Roman" w:hAnsi="Times New Roman" w:cs="Times New Roman"/>
        </w:rPr>
        <w:t>es evaluadas se encuentran en peligro de extinción (Ren et al., 2019), lo que conlleva a la posible pérdida de recursos genéticos de numerosas especies vegetales que podrían extinguirse (Sun et al., 2024). Para ello, las áreas protegidas se consideran el e</w:t>
      </w:r>
      <w:r>
        <w:rPr>
          <w:rFonts w:ascii="Times New Roman" w:eastAsia="Times New Roman" w:hAnsi="Times New Roman" w:cs="Times New Roman"/>
        </w:rPr>
        <w:t>nfoque de conservación más eficaz (Morales-Hidalgo et al., 2015).En este contexto, el Parque Nacional de Cutervo, ubicado en la provincia de Cutervo- región Cajamarca-Perú. Caracterizado por su gran complejidad florística, endemismo y gran variedad de orqu</w:t>
      </w:r>
      <w:r>
        <w:rPr>
          <w:rFonts w:ascii="Times New Roman" w:eastAsia="Times New Roman" w:hAnsi="Times New Roman" w:cs="Times New Roman"/>
        </w:rPr>
        <w:t>ídeas, albergan a los bosques de la cordillera de Tarros, el cual en la actualidad enfrenta una creciente amenaza debido a la explotación irracional de sus bosques, la extracción de madera y la expansión de frontera agrícola y ganadera (Sánchez Recuay &amp; Ca</w:t>
      </w:r>
      <w:r>
        <w:rPr>
          <w:rFonts w:ascii="Times New Roman" w:eastAsia="Times New Roman" w:hAnsi="Times New Roman" w:cs="Times New Roman"/>
        </w:rPr>
        <w:t xml:space="preserve">lderón Rodríguez, 2010), provocando la destrucción  masiva de hábitats, afectando gravemente a especies endémicas y en peligro de extinción, como </w:t>
      </w:r>
      <w:r>
        <w:rPr>
          <w:rFonts w:ascii="Times New Roman" w:eastAsia="Times New Roman" w:hAnsi="Times New Roman" w:cs="Times New Roman"/>
          <w:i/>
        </w:rPr>
        <w:t xml:space="preserve">Greigia </w:t>
      </w:r>
      <w:r>
        <w:rPr>
          <w:rFonts w:ascii="Times New Roman" w:eastAsia="Times New Roman" w:hAnsi="Times New Roman" w:cs="Times New Roman"/>
        </w:rPr>
        <w:t>sp</w:t>
      </w:r>
      <w:r>
        <w:rPr>
          <w:rFonts w:ascii="Times New Roman" w:eastAsia="Times New Roman" w:hAnsi="Times New Roman" w:cs="Times New Roman"/>
          <w:i/>
        </w:rPr>
        <w:t>.</w:t>
      </w:r>
      <w:r>
        <w:rPr>
          <w:rFonts w:ascii="Times New Roman" w:eastAsia="Times New Roman" w:hAnsi="Times New Roman" w:cs="Times New Roman"/>
        </w:rPr>
        <w:t>( Zuñiga, 2020)</w:t>
      </w:r>
      <w:r>
        <w:rPr>
          <w:rFonts w:ascii="Times New Roman" w:eastAsia="Times New Roman" w:hAnsi="Times New Roman" w:cs="Times New Roman"/>
          <w:i/>
        </w:rPr>
        <w:t xml:space="preserve">. </w:t>
      </w:r>
      <w:r>
        <w:rPr>
          <w:rFonts w:ascii="Times New Roman" w:eastAsia="Times New Roman" w:hAnsi="Times New Roman" w:cs="Times New Roman"/>
        </w:rPr>
        <w:t xml:space="preserve">La cual según los pobladores de localidades aledañas comentan que ha ido mermando </w:t>
      </w:r>
      <w:r>
        <w:rPr>
          <w:rFonts w:ascii="Times New Roman" w:eastAsia="Times New Roman" w:hAnsi="Times New Roman" w:cs="Times New Roman"/>
        </w:rPr>
        <w:t>la población y hoy en día es poco probable encontrarla en gran cantidad.</w:t>
      </w:r>
    </w:p>
    <w:p w14:paraId="518E7923" w14:textId="77777777" w:rsidR="00E76A40" w:rsidRDefault="00937A18" w:rsidP="00DC1A20">
      <w:pPr>
        <w:spacing w:line="360" w:lineRule="auto"/>
        <w:ind w:left="420"/>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61CA1233" w14:textId="77777777" w:rsidR="00E2117E" w:rsidRDefault="00937A18" w:rsidP="00DC1A20">
      <w:pPr>
        <w:spacing w:line="360" w:lineRule="auto"/>
        <w:jc w:val="both"/>
        <w:rPr>
          <w:rFonts w:ascii="Times New Roman" w:eastAsia="Times New Roman" w:hAnsi="Times New Roman" w:cs="Times New Roman"/>
          <w:color w:val="FFD966"/>
        </w:rPr>
      </w:pPr>
      <w:r>
        <w:rPr>
          <w:rFonts w:ascii="Times New Roman" w:eastAsia="Times New Roman" w:hAnsi="Times New Roman" w:cs="Times New Roman"/>
        </w:rPr>
        <w:t xml:space="preserve">Sin embargo los esfuerzos tradicionales como la protección de áreas naturales, han demostrado ser insuficiente para garantizar la supervivencia de esta especie (Zhu et al., 2025). Además, la regeneración natural de estas especies como </w:t>
      </w:r>
      <w:r>
        <w:rPr>
          <w:rFonts w:ascii="Times New Roman" w:eastAsia="Times New Roman" w:hAnsi="Times New Roman" w:cs="Times New Roman"/>
          <w:i/>
        </w:rPr>
        <w:t xml:space="preserve">Greigia </w:t>
      </w:r>
      <w:r>
        <w:rPr>
          <w:rFonts w:ascii="Times New Roman" w:eastAsia="Times New Roman" w:hAnsi="Times New Roman" w:cs="Times New Roman"/>
        </w:rPr>
        <w:t>sp. es extrem</w:t>
      </w:r>
      <w:r>
        <w:rPr>
          <w:rFonts w:ascii="Times New Roman" w:eastAsia="Times New Roman" w:hAnsi="Times New Roman" w:cs="Times New Roman"/>
        </w:rPr>
        <w:t>adamente lenta debido a sus bajas probabilidades de germinación (Cartagena et al., 2024). Por lo tanto los métodos de propagación in vitro mediante cultivo de tejidos son esenciales para garantizar la preservación de especies vegetales en peligro de extinc</w:t>
      </w:r>
      <w:r>
        <w:rPr>
          <w:rFonts w:ascii="Times New Roman" w:eastAsia="Times New Roman" w:hAnsi="Times New Roman" w:cs="Times New Roman"/>
        </w:rPr>
        <w:t xml:space="preserve">ión, siendo un método base para la conservación de embriones como forma de preservar la diversidad genética </w:t>
      </w:r>
      <w:r w:rsidR="00E2117E">
        <w:rPr>
          <w:rFonts w:ascii="Times New Roman" w:eastAsia="Times New Roman" w:hAnsi="Times New Roman" w:cs="Times New Roman"/>
        </w:rPr>
        <w:fldChar w:fldCharType="begin"/>
      </w:r>
      <w:r w:rsidR="00E2117E">
        <w:rPr>
          <w:rFonts w:ascii="Times New Roman" w:eastAsia="Times New Roman" w:hAnsi="Times New Roman" w:cs="Times New Roman"/>
        </w:rPr>
        <w:instrText xml:space="preserve"> ADDIN ZOTERO_ITEM CSL_CITATION {"citationID":"k0OFDm3U","properties":{"formattedCitation":"(Pence, 2011)","plainCitation":"(Pence, 2011)","noteIndex":0},"citationItems":[{"id":289,"uris":["http://zotero.org/users/14454901/items/YCK65YTP"],"itemData":{"id":289,"type":"article-journal","abstract":"In vitro methods provide opportunities for propagating and preserving endangered plant species when seed-based methods are not adequate. Such species include those that produce few or no seeds, as well as species with recalcitrant seeds. Tissue culture propagation methods can be used to produce such plants for reintroduction, research, education, display, and commerce. They can also be the basis for tissue banking as a way to preserve genetic diversity when seeds cannot be banked. With some recalcitrant species, embryo banking, a method which also utilizes in vitro culture for recovery germination, is possible. The number of endangered species that will require in vitro methods is estimated to be at least 5,000 worldwide. Further information is needed to identify these species, and the ongoing collection of information into databases on endangered species and recalcitrant species will help provide this. The costs of these methods are higher than for traditional propagation and preservation, but they may be necessary for species under higher threat. The multiplication rate of a culture, as well as the rates of rooting and acclimatization, has a major effect on the number of transfers needed for producing plants or tissue for banking, and improvements that will increase the efficiency of these steps can help lower costs. Further research into factors affecting the growth of tissues in vitro, as well as coordination of efforts among institutions with infrastructure for in vitro work, should facilitate the application of in vitro methods to the endangered species that cannot be propagated or preserved using seeds.","container-title":"In Vitro Cellular &amp; Developmental Biology - Plant","DOI":"10.1007/s11627-010-9323-6","ISSN":"1475-2689","issue":"1","journalAbbreviation":"In Vitro Cell.Dev.Biol.-Plant","language":"en","page":"176-187","source":"Springer Link","title":"Evaluating costs for the in vitro propagation and preservation of endangered plants","volume":"47","author":[{"family":"Pence","given":"Valerie C."}],"issued":{"date-parts":[["2011",2,1]]}}}],"schema":"https://github.com/citation-style-language/schema/raw/master/csl-citation.json"} </w:instrText>
      </w:r>
      <w:r w:rsidR="00E2117E">
        <w:rPr>
          <w:rFonts w:ascii="Times New Roman" w:eastAsia="Times New Roman" w:hAnsi="Times New Roman" w:cs="Times New Roman"/>
        </w:rPr>
        <w:fldChar w:fldCharType="separate"/>
      </w:r>
      <w:r w:rsidR="00E2117E">
        <w:rPr>
          <w:rFonts w:ascii="Times New Roman" w:eastAsia="Times New Roman" w:hAnsi="Times New Roman" w:cs="Times New Roman"/>
          <w:noProof/>
        </w:rPr>
        <w:t>(Pence, 2011)</w:t>
      </w:r>
      <w:r w:rsidR="00E2117E">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20290A3E" w14:textId="77777777" w:rsidR="00E2117E" w:rsidRDefault="00E2117E" w:rsidP="00DC1A20">
      <w:pPr>
        <w:spacing w:line="360" w:lineRule="auto"/>
        <w:jc w:val="both"/>
        <w:rPr>
          <w:rFonts w:ascii="Times New Roman" w:eastAsia="Times New Roman" w:hAnsi="Times New Roman" w:cs="Times New Roman"/>
          <w:color w:val="FFD966"/>
        </w:rPr>
      </w:pPr>
    </w:p>
    <w:p w14:paraId="617AAC96" w14:textId="77777777"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género </w:t>
      </w:r>
      <w:r>
        <w:rPr>
          <w:rFonts w:ascii="Times New Roman" w:eastAsia="Times New Roman" w:hAnsi="Times New Roman" w:cs="Times New Roman"/>
          <w:i/>
        </w:rPr>
        <w:t xml:space="preserve">Greigia </w:t>
      </w:r>
      <w:r>
        <w:rPr>
          <w:rFonts w:ascii="Times New Roman" w:eastAsia="Times New Roman" w:hAnsi="Times New Roman" w:cs="Times New Roman"/>
        </w:rPr>
        <w:t>sp</w:t>
      </w:r>
      <w:r>
        <w:rPr>
          <w:rFonts w:ascii="Times New Roman" w:eastAsia="Times New Roman" w:hAnsi="Times New Roman" w:cs="Times New Roman"/>
          <w:i/>
        </w:rPr>
        <w:t xml:space="preserve"> </w:t>
      </w:r>
      <w:r>
        <w:rPr>
          <w:rFonts w:ascii="Times New Roman" w:eastAsia="Times New Roman" w:hAnsi="Times New Roman" w:cs="Times New Roman"/>
        </w:rPr>
        <w:t xml:space="preserve">presenta una escasa investigación con respecto a su regeneración in vitro, Cartagena et al., (2024) propusieron una metodología de propagación in vitro en </w:t>
      </w:r>
      <w:r>
        <w:rPr>
          <w:rFonts w:ascii="Times New Roman" w:eastAsia="Times New Roman" w:hAnsi="Times New Roman" w:cs="Times New Roman"/>
          <w:i/>
        </w:rPr>
        <w:t xml:space="preserve">greigia sphaselata </w:t>
      </w:r>
      <w:r>
        <w:rPr>
          <w:rFonts w:ascii="Times New Roman" w:eastAsia="Times New Roman" w:hAnsi="Times New Roman" w:cs="Times New Roman"/>
        </w:rPr>
        <w:t>usando sus semilla</w:t>
      </w:r>
      <w:r>
        <w:rPr>
          <w:rFonts w:ascii="Times New Roman" w:eastAsia="Times New Roman" w:hAnsi="Times New Roman" w:cs="Times New Roman"/>
        </w:rPr>
        <w:t>s, para realizar la prueba de inhibición usaron agua destilada, escarificación con ácido sulfúrico 98% x 1 minuto y dejaron absorber agua durante 25 días a 25°C. En la prueba de germinación la estratificación fue a 4°C durante 30, 60 y 90 días y un tratami</w:t>
      </w:r>
      <w:r>
        <w:rPr>
          <w:rFonts w:ascii="Times New Roman" w:eastAsia="Times New Roman" w:hAnsi="Times New Roman" w:cs="Times New Roman"/>
        </w:rPr>
        <w:t>ento de ácido giberélico con 500 ppm, la cámara de germinación fue a 20°C por 120 días. Para su germinación in vitro realizaron desinfección con Tween 20 a 0,01% más hipoclorito de sodio al 1% durante 15 minutos, el medio utilizado fue semisólido con MS al</w:t>
      </w:r>
      <w:r>
        <w:rPr>
          <w:rFonts w:ascii="Times New Roman" w:eastAsia="Times New Roman" w:hAnsi="Times New Roman" w:cs="Times New Roman"/>
        </w:rPr>
        <w:t xml:space="preserve"> 25%, temperatura de 20°C y 16:8 de fotoperiodo, el  monitoreo de germinación se realizó cada 7 días.</w:t>
      </w:r>
    </w:p>
    <w:p w14:paraId="14A6FDAB" w14:textId="13E67739"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En este contexto surge la idea de la propagación in vitro como una alternativa viable para producir un gran número de plantas en condiciones controladas, </w:t>
      </w:r>
      <w:r>
        <w:rPr>
          <w:rFonts w:ascii="Times New Roman" w:eastAsia="Times New Roman" w:hAnsi="Times New Roman" w:cs="Times New Roman"/>
        </w:rPr>
        <w:t xml:space="preserve">superando toda limitación de los métodos tradicionales. Además de este estudio que aún no ha sido publicado completamente, no existen aún otros antecedentes de propagación in vitro del género </w:t>
      </w:r>
      <w:r>
        <w:rPr>
          <w:rFonts w:ascii="Times New Roman" w:eastAsia="Times New Roman" w:hAnsi="Times New Roman" w:cs="Times New Roman"/>
          <w:i/>
        </w:rPr>
        <w:t>Greigia</w:t>
      </w:r>
      <w:r>
        <w:rPr>
          <w:rFonts w:ascii="Times New Roman" w:eastAsia="Times New Roman" w:hAnsi="Times New Roman" w:cs="Times New Roman"/>
        </w:rPr>
        <w:t>, por lo cual es de interés desarrollar los objetivos pla</w:t>
      </w:r>
      <w:r>
        <w:rPr>
          <w:rFonts w:ascii="Times New Roman" w:eastAsia="Times New Roman" w:hAnsi="Times New Roman" w:cs="Times New Roman"/>
        </w:rPr>
        <w:t xml:space="preserve">nteados de dicho proyecto. </w:t>
      </w:r>
    </w:p>
    <w:p w14:paraId="655E44B0" w14:textId="77777777" w:rsidR="00E76A40" w:rsidRDefault="00937A18" w:rsidP="00DC1A20">
      <w:pPr>
        <w:numPr>
          <w:ilvl w:val="0"/>
          <w:numId w:val="2"/>
        </w:numPr>
        <w:spacing w:line="360" w:lineRule="auto"/>
        <w:rPr>
          <w:rFonts w:ascii="Times New Roman" w:eastAsia="Times New Roman" w:hAnsi="Times New Roman" w:cs="Times New Roman"/>
          <w:b/>
        </w:rPr>
      </w:pPr>
      <w:r>
        <w:rPr>
          <w:rFonts w:ascii="Times New Roman" w:eastAsia="Times New Roman" w:hAnsi="Times New Roman" w:cs="Times New Roman"/>
          <w:b/>
        </w:rPr>
        <w:t>Hipótesis.</w:t>
      </w:r>
    </w:p>
    <w:p w14:paraId="6C7DFD49" w14:textId="77777777" w:rsidR="00E76A40" w:rsidRDefault="00937A18" w:rsidP="00DC1A20">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rPr>
        <w:t>Es posible establecer un protocolo de micropropagación in vitro eficiente a partir de semillas de Greigia sp. que permita la regeneración masiva de plántulas genéticamente estables, contribuyendo así a su conservac</w:t>
      </w:r>
      <w:r>
        <w:rPr>
          <w:rFonts w:ascii="Times New Roman" w:eastAsia="Times New Roman" w:hAnsi="Times New Roman" w:cs="Times New Roman"/>
        </w:rPr>
        <w:t xml:space="preserve">ión y sentando las bases para su futura valorización frutal </w:t>
      </w:r>
    </w:p>
    <w:p w14:paraId="386AC232" w14:textId="77777777" w:rsidR="00E76A40" w:rsidRDefault="00937A18" w:rsidP="00DC1A20">
      <w:pPr>
        <w:numPr>
          <w:ilvl w:val="0"/>
          <w:numId w:val="2"/>
        </w:num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rPr>
        <w:t>Metodología.</w:t>
      </w:r>
    </w:p>
    <w:p w14:paraId="72A8C88F" w14:textId="77777777" w:rsidR="00E76A40" w:rsidRDefault="00937A18" w:rsidP="00DC1A20">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6.1. Población, muestra y muestreo.</w:t>
      </w:r>
    </w:p>
    <w:p w14:paraId="50231254" w14:textId="77777777" w:rsidR="00E76A40" w:rsidRDefault="00937A18" w:rsidP="00DC1A20">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rPr>
        <w:t>En esta investigación la muestra será equivalente a la población de estudio, además, la muestra estará conformada por 1/2  kg del fruto de Greigia</w:t>
      </w:r>
      <w:r>
        <w:rPr>
          <w:rFonts w:ascii="Times New Roman" w:eastAsia="Times New Roman" w:hAnsi="Times New Roman" w:cs="Times New Roman"/>
        </w:rPr>
        <w:t xml:space="preserve"> sp. Utilizando un muestreo censal para desarrollar y evaluar el protocolo de micropropagación in vitro.</w:t>
      </w:r>
    </w:p>
    <w:p w14:paraId="6C830E6F" w14:textId="77777777" w:rsidR="00E76A40" w:rsidRDefault="00937A18" w:rsidP="00DC1A20">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rPr>
        <w:t>6.2. Variables de estudio.</w:t>
      </w:r>
    </w:p>
    <w:p w14:paraId="7ACDA411" w14:textId="77777777" w:rsidR="00E76A40" w:rsidRDefault="00937A18" w:rsidP="00DC1A2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Variables independientes: </w:t>
      </w:r>
    </w:p>
    <w:p w14:paraId="3E1C2805" w14:textId="77777777" w:rsidR="00E76A40" w:rsidRDefault="00937A18" w:rsidP="00DC1A20">
      <w:pPr>
        <w:numPr>
          <w:ilvl w:val="0"/>
          <w:numId w:val="1"/>
        </w:numPr>
        <w:spacing w:before="240" w:line="360" w:lineRule="auto"/>
        <w:jc w:val="both"/>
        <w:rPr>
          <w:rFonts w:ascii="Times New Roman" w:eastAsia="Times New Roman" w:hAnsi="Times New Roman" w:cs="Times New Roman"/>
        </w:rPr>
      </w:pPr>
      <w:r>
        <w:rPr>
          <w:rFonts w:ascii="Times New Roman" w:eastAsia="Times New Roman" w:hAnsi="Times New Roman" w:cs="Times New Roman"/>
        </w:rPr>
        <w:t>Concentraciones de ácido giberélico</w:t>
      </w:r>
    </w:p>
    <w:p w14:paraId="59382DCB" w14:textId="77777777" w:rsidR="00E76A40" w:rsidRDefault="00937A18" w:rsidP="00DC1A2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Tiempo de escarificación en frío</w:t>
      </w:r>
    </w:p>
    <w:p w14:paraId="5B41A6C0" w14:textId="77777777" w:rsidR="00E76A40" w:rsidRDefault="00937A18" w:rsidP="00DC1A2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Temperatura</w:t>
      </w:r>
    </w:p>
    <w:p w14:paraId="00A70412" w14:textId="77777777" w:rsidR="00E76A40" w:rsidRDefault="00937A18" w:rsidP="00DC1A2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Tipo de medio de</w:t>
      </w:r>
      <w:r>
        <w:rPr>
          <w:rFonts w:ascii="Times New Roman" w:eastAsia="Times New Roman" w:hAnsi="Times New Roman" w:cs="Times New Roman"/>
        </w:rPr>
        <w:t xml:space="preserve"> cultivo.</w:t>
      </w:r>
    </w:p>
    <w:p w14:paraId="2253E4BB" w14:textId="77777777" w:rsidR="00E76A40" w:rsidRDefault="00937A18" w:rsidP="00DC1A2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Concentración de reguladores de crecimiento.</w:t>
      </w:r>
    </w:p>
    <w:p w14:paraId="077AAAA3" w14:textId="77777777" w:rsidR="00E76A40" w:rsidRDefault="00937A18" w:rsidP="00DC1A20">
      <w:pPr>
        <w:numPr>
          <w:ilvl w:val="0"/>
          <w:numId w:val="1"/>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Condiciones de aclimatación</w:t>
      </w:r>
    </w:p>
    <w:p w14:paraId="07F0DFE2" w14:textId="77777777" w:rsidR="00E76A40" w:rsidRDefault="00937A18" w:rsidP="00DC1A2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Variables dependientes: </w:t>
      </w:r>
    </w:p>
    <w:p w14:paraId="3EC9A6D3" w14:textId="77777777" w:rsidR="00E76A40" w:rsidRDefault="00937A18" w:rsidP="00DC1A20">
      <w:pPr>
        <w:numPr>
          <w:ilvl w:val="0"/>
          <w:numId w:val="4"/>
        </w:numPr>
        <w:spacing w:before="240" w:line="360" w:lineRule="auto"/>
        <w:jc w:val="both"/>
        <w:rPr>
          <w:rFonts w:ascii="Times New Roman" w:eastAsia="Times New Roman" w:hAnsi="Times New Roman" w:cs="Times New Roman"/>
        </w:rPr>
      </w:pPr>
      <w:r>
        <w:rPr>
          <w:rFonts w:ascii="Times New Roman" w:eastAsia="Times New Roman" w:hAnsi="Times New Roman" w:cs="Times New Roman"/>
        </w:rPr>
        <w:t>Porcentaje de germinación de las semillas (grp).</w:t>
      </w:r>
    </w:p>
    <w:p w14:paraId="5911B3F2" w14:textId="77777777" w:rsidR="00E76A40" w:rsidRDefault="00937A18" w:rsidP="00DC1A2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Tiempo medio de germinación (mgt)</w:t>
      </w:r>
    </w:p>
    <w:p w14:paraId="1731317E" w14:textId="77777777" w:rsidR="00E76A40" w:rsidRDefault="00937A18" w:rsidP="00DC1A2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Longitud de plántulas  </w:t>
      </w:r>
    </w:p>
    <w:p w14:paraId="55447BCC" w14:textId="77777777" w:rsidR="00E76A40" w:rsidRDefault="00937A18" w:rsidP="00DC1A2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Número de hojas y brotes por explante.</w:t>
      </w:r>
    </w:p>
    <w:p w14:paraId="3F4E36D2" w14:textId="77777777" w:rsidR="00E76A40" w:rsidRDefault="00937A18" w:rsidP="00DC1A2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Tamaño de los brotes.</w:t>
      </w:r>
    </w:p>
    <w:p w14:paraId="3699FDD7" w14:textId="77777777" w:rsidR="00E76A40" w:rsidRDefault="00937A18" w:rsidP="00DC1A2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Número y longitud de raíces por brote</w:t>
      </w:r>
    </w:p>
    <w:p w14:paraId="4CABFBFE" w14:textId="77777777" w:rsidR="00E76A40" w:rsidRDefault="00937A18" w:rsidP="00DC1A2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Porcentaje de enrraizamiento.</w:t>
      </w:r>
    </w:p>
    <w:p w14:paraId="7CEF25C6" w14:textId="77777777" w:rsidR="00E76A40" w:rsidRDefault="00937A18" w:rsidP="00DC1A20">
      <w:pPr>
        <w:numPr>
          <w:ilvl w:val="0"/>
          <w:numId w:val="4"/>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Porcentaje de plántulas aclimatadas </w:t>
      </w:r>
    </w:p>
    <w:p w14:paraId="7D890959" w14:textId="77777777" w:rsidR="00E76A40" w:rsidRDefault="00937A18" w:rsidP="00DC1A20">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rPr>
        <w:t>6.3. Métodos.</w:t>
      </w:r>
    </w:p>
    <w:p w14:paraId="0D38953E" w14:textId="77777777" w:rsidR="00E76A40" w:rsidRDefault="00937A18" w:rsidP="00DC1A20">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rPr>
        <w:t>6.3.1. Diseño experimental.</w:t>
      </w:r>
    </w:p>
    <w:p w14:paraId="4EC23361" w14:textId="77777777" w:rsidR="00E76A40" w:rsidRDefault="00937A18" w:rsidP="00DC1A20">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rPr>
        <w:t>Germinación de semillas.</w:t>
      </w:r>
    </w:p>
    <w:p w14:paraId="0B39F180" w14:textId="77777777"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En el presente estudio, para poder establecer las condiciones </w:t>
      </w:r>
      <w:r>
        <w:rPr>
          <w:rFonts w:ascii="Times New Roman" w:eastAsia="Times New Roman" w:hAnsi="Times New Roman" w:cs="Times New Roman"/>
        </w:rPr>
        <w:t xml:space="preserve">óptimas para la germinación y establecimiento in vitro de semillas de </w:t>
      </w:r>
      <w:r>
        <w:rPr>
          <w:rFonts w:ascii="Times New Roman" w:eastAsia="Times New Roman" w:hAnsi="Times New Roman" w:cs="Times New Roman"/>
          <w:i/>
        </w:rPr>
        <w:t>Greigia</w:t>
      </w:r>
      <w:r>
        <w:rPr>
          <w:rFonts w:ascii="Times New Roman" w:eastAsia="Times New Roman" w:hAnsi="Times New Roman" w:cs="Times New Roman"/>
        </w:rPr>
        <w:t xml:space="preserve"> sp. se evaluará el efecto del ácido Giberélico (AG) y la estratificación en frío sobre la germinación de semillas de </w:t>
      </w:r>
      <w:r>
        <w:rPr>
          <w:rFonts w:ascii="Times New Roman" w:eastAsia="Times New Roman" w:hAnsi="Times New Roman" w:cs="Times New Roman"/>
          <w:i/>
        </w:rPr>
        <w:t>Greigia</w:t>
      </w:r>
      <w:r>
        <w:rPr>
          <w:rFonts w:ascii="Times New Roman" w:eastAsia="Times New Roman" w:hAnsi="Times New Roman" w:cs="Times New Roman"/>
        </w:rPr>
        <w:t xml:space="preserve"> sp., para ello  se empleará un diseño factorial, dond</w:t>
      </w:r>
      <w:r>
        <w:rPr>
          <w:rFonts w:ascii="Times New Roman" w:eastAsia="Times New Roman" w:hAnsi="Times New Roman" w:cs="Times New Roman"/>
        </w:rPr>
        <w:t>e el factor 1 corresponderá a las concentraciones de Ácido Giberélico (0, 0.25, 1.00 y 1.50 ppm), y el factor 2 a los tiempos de escarificación en frío (B1: 0 días, B2: 10 días, B3: 20 días y B4: 30 días). Esto dará lugar a 16 tratamientos (4 concentracion</w:t>
      </w:r>
      <w:r>
        <w:rPr>
          <w:rFonts w:ascii="Times New Roman" w:eastAsia="Times New Roman" w:hAnsi="Times New Roman" w:cs="Times New Roman"/>
        </w:rPr>
        <w:t>es de AG x 4 tiempos de exposición) cada tratamiento tendrá 4 réplicas. Cada réplica consistirá en una placa Petri el cual contendrá 20 ml de medio. El número de semillas consistirá en 25 por cada placa.</w:t>
      </w:r>
    </w:p>
    <w:p w14:paraId="48F26622" w14:textId="77777777" w:rsidR="00E76A40" w:rsidRDefault="00E76A40" w:rsidP="00DC1A20">
      <w:pPr>
        <w:spacing w:line="360" w:lineRule="auto"/>
        <w:jc w:val="both"/>
        <w:rPr>
          <w:rFonts w:ascii="Times New Roman" w:eastAsia="Times New Roman" w:hAnsi="Times New Roman" w:cs="Times New Roman"/>
        </w:rPr>
      </w:pPr>
    </w:p>
    <w:p w14:paraId="722D7210" w14:textId="2BE9E26A" w:rsidR="00E76A40" w:rsidRPr="00DC1A20" w:rsidRDefault="00937A18" w:rsidP="00DC1A2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Optimización de la multiplicación.</w:t>
      </w:r>
    </w:p>
    <w:p w14:paraId="547DBE8E" w14:textId="77777777"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optimizar </w:t>
      </w:r>
      <w:r>
        <w:rPr>
          <w:rFonts w:ascii="Times New Roman" w:eastAsia="Times New Roman" w:hAnsi="Times New Roman" w:cs="Times New Roman"/>
        </w:rPr>
        <w:t>el proceso de multiplicación in vitro de plántulas mediante la selección de medios de cultivo y reguladores de crecimiento, se empleará un Diseño Completamente al Azar (DCA). El cual estará compuesto por 6 tratamientos con 4 repeticiones cada uno, dando 24</w:t>
      </w:r>
      <w:r>
        <w:rPr>
          <w:rFonts w:ascii="Times New Roman" w:eastAsia="Times New Roman" w:hAnsi="Times New Roman" w:cs="Times New Roman"/>
        </w:rPr>
        <w:t xml:space="preserve"> unidades experimentales, cada unidad experimental estará representada por un pote tipo magenta de capacidad para 1 litro con 8 explantes.</w:t>
      </w:r>
    </w:p>
    <w:p w14:paraId="77043941" w14:textId="77777777" w:rsidR="00E76A40" w:rsidRDefault="00E76A40">
      <w:pPr>
        <w:jc w:val="both"/>
        <w:rPr>
          <w:rFonts w:ascii="Times New Roman" w:eastAsia="Times New Roman" w:hAnsi="Times New Roman" w:cs="Times New Roman"/>
          <w:b/>
        </w:rPr>
      </w:pPr>
    </w:p>
    <w:p w14:paraId="7815737D" w14:textId="77777777" w:rsidR="00E76A40" w:rsidRDefault="00937A18">
      <w:pPr>
        <w:jc w:val="both"/>
        <w:rPr>
          <w:rFonts w:ascii="Times New Roman" w:eastAsia="Times New Roman" w:hAnsi="Times New Roman" w:cs="Times New Roman"/>
        </w:rPr>
      </w:pPr>
      <w:r>
        <w:rPr>
          <w:rFonts w:ascii="Times New Roman" w:eastAsia="Times New Roman" w:hAnsi="Times New Roman" w:cs="Times New Roman"/>
          <w:b/>
        </w:rPr>
        <w:t xml:space="preserve">Tabla 1. </w:t>
      </w:r>
      <w:r>
        <w:rPr>
          <w:rFonts w:ascii="Times New Roman" w:eastAsia="Times New Roman" w:hAnsi="Times New Roman" w:cs="Times New Roman"/>
        </w:rPr>
        <w:t xml:space="preserve">Efecto del medio de cultivo en la multiplicación de plántulas de </w:t>
      </w:r>
      <w:r>
        <w:rPr>
          <w:rFonts w:ascii="Times New Roman" w:eastAsia="Times New Roman" w:hAnsi="Times New Roman" w:cs="Times New Roman"/>
          <w:i/>
        </w:rPr>
        <w:t>Greigia</w:t>
      </w:r>
      <w:r>
        <w:rPr>
          <w:rFonts w:ascii="Times New Roman" w:eastAsia="Times New Roman" w:hAnsi="Times New Roman" w:cs="Times New Roman"/>
        </w:rPr>
        <w:t xml:space="preserve"> sp. según tratamientos.</w:t>
      </w:r>
    </w:p>
    <w:p w14:paraId="69FC6C6E" w14:textId="77777777" w:rsidR="00E76A40" w:rsidRDefault="00E76A40">
      <w:pPr>
        <w:jc w:val="both"/>
        <w:rPr>
          <w:rFonts w:ascii="Times New Roman" w:eastAsia="Times New Roman" w:hAnsi="Times New Roman" w:cs="Times New Roman"/>
        </w:rPr>
      </w:pPr>
    </w:p>
    <w:sdt>
      <w:sdtPr>
        <w:tag w:val="goog_rdk_0"/>
        <w:id w:val="2077322031"/>
        <w:lock w:val="contentLocked"/>
      </w:sdtPr>
      <w:sdtEndPr/>
      <w:sdtContent>
        <w:tbl>
          <w:tblPr>
            <w:tblStyle w:val="a"/>
            <w:tblW w:w="8805" w:type="dxa"/>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560"/>
            <w:gridCol w:w="1140"/>
            <w:gridCol w:w="1245"/>
            <w:gridCol w:w="1785"/>
            <w:gridCol w:w="1650"/>
          </w:tblGrid>
          <w:tr w:rsidR="00E76A40" w14:paraId="1FB67668" w14:textId="77777777">
            <w:trPr>
              <w:trHeight w:val="506"/>
            </w:trPr>
            <w:tc>
              <w:tcPr>
                <w:tcW w:w="1425" w:type="dxa"/>
                <w:shd w:val="clear" w:color="auto" w:fill="auto"/>
                <w:tcMar>
                  <w:top w:w="100" w:type="dxa"/>
                  <w:left w:w="100" w:type="dxa"/>
                  <w:bottom w:w="100" w:type="dxa"/>
                  <w:right w:w="100" w:type="dxa"/>
                </w:tcMar>
              </w:tcPr>
              <w:p w14:paraId="13D8B911"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Tratamientos</w:t>
                </w:r>
              </w:p>
            </w:tc>
            <w:tc>
              <w:tcPr>
                <w:tcW w:w="1560" w:type="dxa"/>
                <w:shd w:val="clear" w:color="auto" w:fill="auto"/>
                <w:tcMar>
                  <w:top w:w="100" w:type="dxa"/>
                  <w:left w:w="100" w:type="dxa"/>
                  <w:bottom w:w="100" w:type="dxa"/>
                  <w:right w:w="100" w:type="dxa"/>
                </w:tcMar>
              </w:tcPr>
              <w:p w14:paraId="7C407360"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Repeticiones</w:t>
                </w:r>
              </w:p>
            </w:tc>
            <w:tc>
              <w:tcPr>
                <w:tcW w:w="1140" w:type="dxa"/>
                <w:shd w:val="clear" w:color="auto" w:fill="auto"/>
                <w:tcMar>
                  <w:top w:w="100" w:type="dxa"/>
                  <w:left w:w="100" w:type="dxa"/>
                  <w:bottom w:w="100" w:type="dxa"/>
                  <w:right w:w="100" w:type="dxa"/>
                </w:tcMar>
              </w:tcPr>
              <w:p w14:paraId="4F971E8A"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BAP mg/L</w:t>
                </w:r>
              </w:p>
            </w:tc>
            <w:tc>
              <w:tcPr>
                <w:tcW w:w="1245" w:type="dxa"/>
                <w:shd w:val="clear" w:color="auto" w:fill="auto"/>
                <w:tcMar>
                  <w:top w:w="100" w:type="dxa"/>
                  <w:left w:w="100" w:type="dxa"/>
                  <w:bottom w:w="100" w:type="dxa"/>
                  <w:right w:w="100" w:type="dxa"/>
                </w:tcMar>
              </w:tcPr>
              <w:p w14:paraId="737B66ED"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ANA mg/L</w:t>
                </w:r>
              </w:p>
            </w:tc>
            <w:tc>
              <w:tcPr>
                <w:tcW w:w="1785" w:type="dxa"/>
                <w:shd w:val="clear" w:color="auto" w:fill="auto"/>
                <w:tcMar>
                  <w:top w:w="100" w:type="dxa"/>
                  <w:left w:w="100" w:type="dxa"/>
                  <w:bottom w:w="100" w:type="dxa"/>
                  <w:right w:w="100" w:type="dxa"/>
                </w:tcMar>
              </w:tcPr>
              <w:p w14:paraId="60288749"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Thiamine mg/L</w:t>
                </w:r>
              </w:p>
            </w:tc>
            <w:tc>
              <w:tcPr>
                <w:tcW w:w="1650" w:type="dxa"/>
                <w:shd w:val="clear" w:color="auto" w:fill="auto"/>
                <w:tcMar>
                  <w:top w:w="100" w:type="dxa"/>
                  <w:left w:w="100" w:type="dxa"/>
                  <w:bottom w:w="100" w:type="dxa"/>
                  <w:right w:w="100" w:type="dxa"/>
                </w:tcMar>
              </w:tcPr>
              <w:p w14:paraId="0DDAD8A9"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Ácido nicotínico mg/L</w:t>
                </w:r>
              </w:p>
            </w:tc>
          </w:tr>
          <w:tr w:rsidR="00E76A40" w14:paraId="08A8B79C" w14:textId="77777777">
            <w:trPr>
              <w:trHeight w:val="995"/>
            </w:trPr>
            <w:tc>
              <w:tcPr>
                <w:tcW w:w="1425" w:type="dxa"/>
                <w:shd w:val="clear" w:color="auto" w:fill="auto"/>
                <w:tcMar>
                  <w:top w:w="100" w:type="dxa"/>
                  <w:left w:w="100" w:type="dxa"/>
                  <w:bottom w:w="100" w:type="dxa"/>
                  <w:right w:w="100" w:type="dxa"/>
                </w:tcMar>
              </w:tcPr>
              <w:p w14:paraId="35E9314C"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T1 </w:t>
                </w:r>
              </w:p>
            </w:tc>
            <w:tc>
              <w:tcPr>
                <w:tcW w:w="1560" w:type="dxa"/>
                <w:shd w:val="clear" w:color="auto" w:fill="auto"/>
                <w:tcMar>
                  <w:top w:w="100" w:type="dxa"/>
                  <w:left w:w="100" w:type="dxa"/>
                  <w:bottom w:w="100" w:type="dxa"/>
                  <w:right w:w="100" w:type="dxa"/>
                </w:tcMar>
              </w:tcPr>
              <w:p w14:paraId="4E150F51"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w:t>
                </w:r>
              </w:p>
              <w:p w14:paraId="18F9870C"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R2</w:t>
                </w:r>
              </w:p>
              <w:p w14:paraId="37BE8B10"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R3</w:t>
                </w:r>
              </w:p>
              <w:p w14:paraId="23E9A507"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R4</w:t>
                </w:r>
              </w:p>
            </w:tc>
            <w:tc>
              <w:tcPr>
                <w:tcW w:w="1140" w:type="dxa"/>
                <w:shd w:val="clear" w:color="auto" w:fill="auto"/>
                <w:tcMar>
                  <w:top w:w="100" w:type="dxa"/>
                  <w:left w:w="100" w:type="dxa"/>
                  <w:bottom w:w="100" w:type="dxa"/>
                  <w:right w:w="100" w:type="dxa"/>
                </w:tcMar>
              </w:tcPr>
              <w:p w14:paraId="556CCA91"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245" w:type="dxa"/>
                <w:shd w:val="clear" w:color="auto" w:fill="auto"/>
                <w:tcMar>
                  <w:top w:w="100" w:type="dxa"/>
                  <w:left w:w="100" w:type="dxa"/>
                  <w:bottom w:w="100" w:type="dxa"/>
                  <w:right w:w="100" w:type="dxa"/>
                </w:tcMar>
              </w:tcPr>
              <w:p w14:paraId="49A41263"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785" w:type="dxa"/>
                <w:shd w:val="clear" w:color="auto" w:fill="auto"/>
                <w:tcMar>
                  <w:top w:w="100" w:type="dxa"/>
                  <w:left w:w="100" w:type="dxa"/>
                  <w:bottom w:w="100" w:type="dxa"/>
                  <w:right w:w="100" w:type="dxa"/>
                </w:tcMar>
              </w:tcPr>
              <w:p w14:paraId="36624784"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0,4</w:t>
                </w:r>
              </w:p>
            </w:tc>
            <w:tc>
              <w:tcPr>
                <w:tcW w:w="1650" w:type="dxa"/>
                <w:shd w:val="clear" w:color="auto" w:fill="auto"/>
                <w:tcMar>
                  <w:top w:w="100" w:type="dxa"/>
                  <w:left w:w="100" w:type="dxa"/>
                  <w:bottom w:w="100" w:type="dxa"/>
                  <w:right w:w="100" w:type="dxa"/>
                </w:tcMar>
              </w:tcPr>
              <w:p w14:paraId="735E6DD7"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0,5</w:t>
                </w:r>
              </w:p>
            </w:tc>
          </w:tr>
          <w:tr w:rsidR="00E76A40" w14:paraId="694BB780" w14:textId="77777777">
            <w:tc>
              <w:tcPr>
                <w:tcW w:w="1425" w:type="dxa"/>
                <w:shd w:val="clear" w:color="auto" w:fill="auto"/>
                <w:tcMar>
                  <w:top w:w="100" w:type="dxa"/>
                  <w:left w:w="100" w:type="dxa"/>
                  <w:bottom w:w="100" w:type="dxa"/>
                  <w:right w:w="100" w:type="dxa"/>
                </w:tcMar>
              </w:tcPr>
              <w:p w14:paraId="4B98A1BB"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T2</w:t>
                </w:r>
              </w:p>
            </w:tc>
            <w:tc>
              <w:tcPr>
                <w:tcW w:w="1560" w:type="dxa"/>
                <w:shd w:val="clear" w:color="auto" w:fill="auto"/>
                <w:tcMar>
                  <w:top w:w="100" w:type="dxa"/>
                  <w:left w:w="100" w:type="dxa"/>
                  <w:bottom w:w="100" w:type="dxa"/>
                  <w:right w:w="100" w:type="dxa"/>
                </w:tcMar>
              </w:tcPr>
              <w:p w14:paraId="39815668"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w:t>
                </w:r>
              </w:p>
              <w:p w14:paraId="31DC9498"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R2</w:t>
                </w:r>
              </w:p>
              <w:p w14:paraId="763D69A0"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R3</w:t>
                </w:r>
              </w:p>
              <w:p w14:paraId="2D0A1A3C"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R4</w:t>
                </w:r>
              </w:p>
            </w:tc>
            <w:tc>
              <w:tcPr>
                <w:tcW w:w="1140" w:type="dxa"/>
                <w:shd w:val="clear" w:color="auto" w:fill="auto"/>
                <w:tcMar>
                  <w:top w:w="100" w:type="dxa"/>
                  <w:left w:w="100" w:type="dxa"/>
                  <w:bottom w:w="100" w:type="dxa"/>
                  <w:right w:w="100" w:type="dxa"/>
                </w:tcMar>
              </w:tcPr>
              <w:p w14:paraId="779D340E"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245" w:type="dxa"/>
                <w:shd w:val="clear" w:color="auto" w:fill="auto"/>
                <w:tcMar>
                  <w:top w:w="100" w:type="dxa"/>
                  <w:left w:w="100" w:type="dxa"/>
                  <w:bottom w:w="100" w:type="dxa"/>
                  <w:right w:w="100" w:type="dxa"/>
                </w:tcMar>
              </w:tcPr>
              <w:p w14:paraId="64E2E921"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0,1</w:t>
                </w:r>
              </w:p>
            </w:tc>
            <w:tc>
              <w:tcPr>
                <w:tcW w:w="1785" w:type="dxa"/>
                <w:shd w:val="clear" w:color="auto" w:fill="auto"/>
                <w:tcMar>
                  <w:top w:w="100" w:type="dxa"/>
                  <w:left w:w="100" w:type="dxa"/>
                  <w:bottom w:w="100" w:type="dxa"/>
                  <w:right w:w="100" w:type="dxa"/>
                </w:tcMar>
              </w:tcPr>
              <w:p w14:paraId="70169457"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0,4</w:t>
                </w:r>
              </w:p>
            </w:tc>
            <w:tc>
              <w:tcPr>
                <w:tcW w:w="1650" w:type="dxa"/>
                <w:shd w:val="clear" w:color="auto" w:fill="auto"/>
                <w:tcMar>
                  <w:top w:w="100" w:type="dxa"/>
                  <w:left w:w="100" w:type="dxa"/>
                  <w:bottom w:w="100" w:type="dxa"/>
                  <w:right w:w="100" w:type="dxa"/>
                </w:tcMar>
              </w:tcPr>
              <w:p w14:paraId="2D45C963"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0,5</w:t>
                </w:r>
              </w:p>
            </w:tc>
          </w:tr>
          <w:tr w:rsidR="00E76A40" w14:paraId="08D8818E" w14:textId="77777777">
            <w:tc>
              <w:tcPr>
                <w:tcW w:w="1425" w:type="dxa"/>
                <w:shd w:val="clear" w:color="auto" w:fill="auto"/>
                <w:tcMar>
                  <w:top w:w="100" w:type="dxa"/>
                  <w:left w:w="100" w:type="dxa"/>
                  <w:bottom w:w="100" w:type="dxa"/>
                  <w:right w:w="100" w:type="dxa"/>
                </w:tcMar>
              </w:tcPr>
              <w:p w14:paraId="18CB8FDB"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T3</w:t>
                </w:r>
              </w:p>
            </w:tc>
            <w:tc>
              <w:tcPr>
                <w:tcW w:w="1560" w:type="dxa"/>
                <w:shd w:val="clear" w:color="auto" w:fill="auto"/>
                <w:tcMar>
                  <w:top w:w="100" w:type="dxa"/>
                  <w:left w:w="100" w:type="dxa"/>
                  <w:bottom w:w="100" w:type="dxa"/>
                  <w:right w:w="100" w:type="dxa"/>
                </w:tcMar>
              </w:tcPr>
              <w:p w14:paraId="545A7CAE"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w:t>
                </w:r>
              </w:p>
              <w:p w14:paraId="2E6DFAED"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R2</w:t>
                </w:r>
              </w:p>
              <w:p w14:paraId="4C401629"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R3</w:t>
                </w:r>
              </w:p>
              <w:p w14:paraId="519F0859"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R4</w:t>
                </w:r>
              </w:p>
            </w:tc>
            <w:tc>
              <w:tcPr>
                <w:tcW w:w="1140" w:type="dxa"/>
                <w:shd w:val="clear" w:color="auto" w:fill="auto"/>
                <w:tcMar>
                  <w:top w:w="100" w:type="dxa"/>
                  <w:left w:w="100" w:type="dxa"/>
                  <w:bottom w:w="100" w:type="dxa"/>
                  <w:right w:w="100" w:type="dxa"/>
                </w:tcMar>
              </w:tcPr>
              <w:p w14:paraId="5D1015EC"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245" w:type="dxa"/>
                <w:shd w:val="clear" w:color="auto" w:fill="auto"/>
                <w:tcMar>
                  <w:top w:w="100" w:type="dxa"/>
                  <w:left w:w="100" w:type="dxa"/>
                  <w:bottom w:w="100" w:type="dxa"/>
                  <w:right w:w="100" w:type="dxa"/>
                </w:tcMar>
              </w:tcPr>
              <w:p w14:paraId="4D25E589"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0,2</w:t>
                </w:r>
              </w:p>
            </w:tc>
            <w:tc>
              <w:tcPr>
                <w:tcW w:w="1785" w:type="dxa"/>
                <w:shd w:val="clear" w:color="auto" w:fill="auto"/>
                <w:tcMar>
                  <w:top w:w="100" w:type="dxa"/>
                  <w:left w:w="100" w:type="dxa"/>
                  <w:bottom w:w="100" w:type="dxa"/>
                  <w:right w:w="100" w:type="dxa"/>
                </w:tcMar>
              </w:tcPr>
              <w:p w14:paraId="41E39AB3"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0,4 </w:t>
                </w:r>
              </w:p>
            </w:tc>
            <w:tc>
              <w:tcPr>
                <w:tcW w:w="1650" w:type="dxa"/>
                <w:shd w:val="clear" w:color="auto" w:fill="auto"/>
                <w:tcMar>
                  <w:top w:w="100" w:type="dxa"/>
                  <w:left w:w="100" w:type="dxa"/>
                  <w:bottom w:w="100" w:type="dxa"/>
                  <w:right w:w="100" w:type="dxa"/>
                </w:tcMar>
              </w:tcPr>
              <w:p w14:paraId="53B2AE60"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0,5</w:t>
                </w:r>
              </w:p>
            </w:tc>
          </w:tr>
          <w:tr w:rsidR="00E76A40" w14:paraId="7CBC9108" w14:textId="77777777">
            <w:tc>
              <w:tcPr>
                <w:tcW w:w="1425" w:type="dxa"/>
                <w:shd w:val="clear" w:color="auto" w:fill="auto"/>
                <w:tcMar>
                  <w:top w:w="100" w:type="dxa"/>
                  <w:left w:w="100" w:type="dxa"/>
                  <w:bottom w:w="100" w:type="dxa"/>
                  <w:right w:w="100" w:type="dxa"/>
                </w:tcMar>
              </w:tcPr>
              <w:p w14:paraId="74EECE8B"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T4</w:t>
                </w:r>
              </w:p>
            </w:tc>
            <w:tc>
              <w:tcPr>
                <w:tcW w:w="1560" w:type="dxa"/>
                <w:shd w:val="clear" w:color="auto" w:fill="auto"/>
                <w:tcMar>
                  <w:top w:w="100" w:type="dxa"/>
                  <w:left w:w="100" w:type="dxa"/>
                  <w:bottom w:w="100" w:type="dxa"/>
                  <w:right w:w="100" w:type="dxa"/>
                </w:tcMar>
              </w:tcPr>
              <w:p w14:paraId="08769FEA"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w:t>
                </w:r>
              </w:p>
              <w:p w14:paraId="49E17966"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R2</w:t>
                </w:r>
              </w:p>
              <w:p w14:paraId="69FB0A08"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R3</w:t>
                </w:r>
              </w:p>
              <w:p w14:paraId="5EBCB5C9"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R4</w:t>
                </w:r>
              </w:p>
            </w:tc>
            <w:tc>
              <w:tcPr>
                <w:tcW w:w="1140" w:type="dxa"/>
                <w:shd w:val="clear" w:color="auto" w:fill="auto"/>
                <w:tcMar>
                  <w:top w:w="100" w:type="dxa"/>
                  <w:left w:w="100" w:type="dxa"/>
                  <w:bottom w:w="100" w:type="dxa"/>
                  <w:right w:w="100" w:type="dxa"/>
                </w:tcMar>
              </w:tcPr>
              <w:p w14:paraId="0896DAE8"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3</w:t>
                </w:r>
              </w:p>
            </w:tc>
            <w:tc>
              <w:tcPr>
                <w:tcW w:w="1245" w:type="dxa"/>
                <w:shd w:val="clear" w:color="auto" w:fill="auto"/>
                <w:tcMar>
                  <w:top w:w="100" w:type="dxa"/>
                  <w:left w:w="100" w:type="dxa"/>
                  <w:bottom w:w="100" w:type="dxa"/>
                  <w:right w:w="100" w:type="dxa"/>
                </w:tcMar>
              </w:tcPr>
              <w:p w14:paraId="1E58A590"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0,3</w:t>
                </w:r>
              </w:p>
            </w:tc>
            <w:tc>
              <w:tcPr>
                <w:tcW w:w="1785" w:type="dxa"/>
                <w:shd w:val="clear" w:color="auto" w:fill="auto"/>
                <w:tcMar>
                  <w:top w:w="100" w:type="dxa"/>
                  <w:left w:w="100" w:type="dxa"/>
                  <w:bottom w:w="100" w:type="dxa"/>
                  <w:right w:w="100" w:type="dxa"/>
                </w:tcMar>
              </w:tcPr>
              <w:p w14:paraId="49D45064"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0,4</w:t>
                </w:r>
              </w:p>
            </w:tc>
            <w:tc>
              <w:tcPr>
                <w:tcW w:w="1650" w:type="dxa"/>
                <w:shd w:val="clear" w:color="auto" w:fill="auto"/>
                <w:tcMar>
                  <w:top w:w="100" w:type="dxa"/>
                  <w:left w:w="100" w:type="dxa"/>
                  <w:bottom w:w="100" w:type="dxa"/>
                  <w:right w:w="100" w:type="dxa"/>
                </w:tcMar>
              </w:tcPr>
              <w:p w14:paraId="711CE650"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0,5</w:t>
                </w:r>
              </w:p>
            </w:tc>
          </w:tr>
          <w:tr w:rsidR="00E76A40" w14:paraId="2D58A100" w14:textId="77777777">
            <w:tc>
              <w:tcPr>
                <w:tcW w:w="1425" w:type="dxa"/>
                <w:shd w:val="clear" w:color="auto" w:fill="auto"/>
                <w:tcMar>
                  <w:top w:w="100" w:type="dxa"/>
                  <w:left w:w="100" w:type="dxa"/>
                  <w:bottom w:w="100" w:type="dxa"/>
                  <w:right w:w="100" w:type="dxa"/>
                </w:tcMar>
              </w:tcPr>
              <w:p w14:paraId="6914D76A"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T5</w:t>
                </w:r>
              </w:p>
            </w:tc>
            <w:tc>
              <w:tcPr>
                <w:tcW w:w="1560" w:type="dxa"/>
                <w:shd w:val="clear" w:color="auto" w:fill="auto"/>
                <w:tcMar>
                  <w:top w:w="100" w:type="dxa"/>
                  <w:left w:w="100" w:type="dxa"/>
                  <w:bottom w:w="100" w:type="dxa"/>
                  <w:right w:w="100" w:type="dxa"/>
                </w:tcMar>
              </w:tcPr>
              <w:p w14:paraId="5F98F2EB"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w:t>
                </w:r>
              </w:p>
              <w:p w14:paraId="09AC136A"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R2</w:t>
                </w:r>
              </w:p>
              <w:p w14:paraId="29718E85"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R3</w:t>
                </w:r>
              </w:p>
              <w:p w14:paraId="047542F6"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R4</w:t>
                </w:r>
              </w:p>
            </w:tc>
            <w:tc>
              <w:tcPr>
                <w:tcW w:w="1140" w:type="dxa"/>
                <w:shd w:val="clear" w:color="auto" w:fill="auto"/>
                <w:tcMar>
                  <w:top w:w="100" w:type="dxa"/>
                  <w:left w:w="100" w:type="dxa"/>
                  <w:bottom w:w="100" w:type="dxa"/>
                  <w:right w:w="100" w:type="dxa"/>
                </w:tcMar>
              </w:tcPr>
              <w:p w14:paraId="21968527"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245" w:type="dxa"/>
                <w:shd w:val="clear" w:color="auto" w:fill="auto"/>
                <w:tcMar>
                  <w:top w:w="100" w:type="dxa"/>
                  <w:left w:w="100" w:type="dxa"/>
                  <w:bottom w:w="100" w:type="dxa"/>
                  <w:right w:w="100" w:type="dxa"/>
                </w:tcMar>
              </w:tcPr>
              <w:p w14:paraId="267EDBF9"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0,4</w:t>
                </w:r>
              </w:p>
            </w:tc>
            <w:tc>
              <w:tcPr>
                <w:tcW w:w="1785" w:type="dxa"/>
                <w:shd w:val="clear" w:color="auto" w:fill="auto"/>
                <w:tcMar>
                  <w:top w:w="100" w:type="dxa"/>
                  <w:left w:w="100" w:type="dxa"/>
                  <w:bottom w:w="100" w:type="dxa"/>
                  <w:right w:w="100" w:type="dxa"/>
                </w:tcMar>
              </w:tcPr>
              <w:p w14:paraId="6BC998C6"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0,4 </w:t>
                </w:r>
              </w:p>
            </w:tc>
            <w:tc>
              <w:tcPr>
                <w:tcW w:w="1650" w:type="dxa"/>
                <w:shd w:val="clear" w:color="auto" w:fill="auto"/>
                <w:tcMar>
                  <w:top w:w="100" w:type="dxa"/>
                  <w:left w:w="100" w:type="dxa"/>
                  <w:bottom w:w="100" w:type="dxa"/>
                  <w:right w:w="100" w:type="dxa"/>
                </w:tcMar>
              </w:tcPr>
              <w:p w14:paraId="2FF6E269"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0,5</w:t>
                </w:r>
              </w:p>
            </w:tc>
          </w:tr>
          <w:tr w:rsidR="00E76A40" w14:paraId="65032079" w14:textId="77777777">
            <w:tc>
              <w:tcPr>
                <w:tcW w:w="1425" w:type="dxa"/>
                <w:shd w:val="clear" w:color="auto" w:fill="auto"/>
                <w:tcMar>
                  <w:top w:w="100" w:type="dxa"/>
                  <w:left w:w="100" w:type="dxa"/>
                  <w:bottom w:w="100" w:type="dxa"/>
                  <w:right w:w="100" w:type="dxa"/>
                </w:tcMar>
              </w:tcPr>
              <w:p w14:paraId="3C254216"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T6</w:t>
                </w:r>
              </w:p>
            </w:tc>
            <w:tc>
              <w:tcPr>
                <w:tcW w:w="1560" w:type="dxa"/>
                <w:shd w:val="clear" w:color="auto" w:fill="auto"/>
                <w:tcMar>
                  <w:top w:w="100" w:type="dxa"/>
                  <w:left w:w="100" w:type="dxa"/>
                  <w:bottom w:w="100" w:type="dxa"/>
                  <w:right w:w="100" w:type="dxa"/>
                </w:tcMar>
              </w:tcPr>
              <w:p w14:paraId="7C650B99"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w:t>
                </w:r>
              </w:p>
              <w:p w14:paraId="4B7AE2F8"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R2</w:t>
                </w:r>
              </w:p>
              <w:p w14:paraId="44621DA2"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R3</w:t>
                </w:r>
              </w:p>
              <w:p w14:paraId="0317AC04"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R4</w:t>
                </w:r>
              </w:p>
            </w:tc>
            <w:tc>
              <w:tcPr>
                <w:tcW w:w="1140" w:type="dxa"/>
                <w:shd w:val="clear" w:color="auto" w:fill="auto"/>
                <w:tcMar>
                  <w:top w:w="100" w:type="dxa"/>
                  <w:left w:w="100" w:type="dxa"/>
                  <w:bottom w:w="100" w:type="dxa"/>
                  <w:right w:w="100" w:type="dxa"/>
                </w:tcMar>
              </w:tcPr>
              <w:p w14:paraId="3E2ED8F7" w14:textId="77777777" w:rsidR="00E76A40" w:rsidRDefault="00937A18">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245" w:type="dxa"/>
                <w:shd w:val="clear" w:color="auto" w:fill="auto"/>
                <w:tcMar>
                  <w:top w:w="100" w:type="dxa"/>
                  <w:left w:w="100" w:type="dxa"/>
                  <w:bottom w:w="100" w:type="dxa"/>
                  <w:right w:w="100" w:type="dxa"/>
                </w:tcMar>
              </w:tcPr>
              <w:p w14:paraId="26464876" w14:textId="77777777" w:rsidR="00E76A40" w:rsidRDefault="00937A18">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0,5</w:t>
                </w:r>
              </w:p>
            </w:tc>
            <w:tc>
              <w:tcPr>
                <w:tcW w:w="1785" w:type="dxa"/>
                <w:shd w:val="clear" w:color="auto" w:fill="auto"/>
                <w:tcMar>
                  <w:top w:w="100" w:type="dxa"/>
                  <w:left w:w="100" w:type="dxa"/>
                  <w:bottom w:w="100" w:type="dxa"/>
                  <w:right w:w="100" w:type="dxa"/>
                </w:tcMar>
              </w:tcPr>
              <w:p w14:paraId="7156A158" w14:textId="77777777" w:rsidR="00E76A40" w:rsidRDefault="00937A1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0,4 </w:t>
                </w:r>
              </w:p>
            </w:tc>
            <w:tc>
              <w:tcPr>
                <w:tcW w:w="1650" w:type="dxa"/>
                <w:shd w:val="clear" w:color="auto" w:fill="auto"/>
                <w:tcMar>
                  <w:top w:w="100" w:type="dxa"/>
                  <w:left w:w="100" w:type="dxa"/>
                  <w:bottom w:w="100" w:type="dxa"/>
                  <w:right w:w="100" w:type="dxa"/>
                </w:tcMar>
              </w:tcPr>
              <w:p w14:paraId="23789BF1" w14:textId="77777777" w:rsidR="00E76A40" w:rsidRDefault="00937A1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r>
        </w:tbl>
      </w:sdtContent>
    </w:sdt>
    <w:p w14:paraId="4401BD70" w14:textId="77777777" w:rsidR="00E76A40" w:rsidRDefault="00E76A40">
      <w:pPr>
        <w:jc w:val="both"/>
        <w:rPr>
          <w:rFonts w:ascii="Times New Roman" w:eastAsia="Times New Roman" w:hAnsi="Times New Roman" w:cs="Times New Roman"/>
        </w:rPr>
      </w:pPr>
    </w:p>
    <w:p w14:paraId="0DD134F5" w14:textId="0B78949C" w:rsidR="00E76A40" w:rsidRPr="00DC1A20" w:rsidRDefault="00937A18" w:rsidP="00DC1A2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Optimización del enraizamiento</w:t>
      </w:r>
    </w:p>
    <w:p w14:paraId="2DE951A1" w14:textId="77777777"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t>Para optimizar el proceso de enraizamiento in vitro de los brotes mediante la selección de medios de cultivo para el enraizamiento, se empleará un Diseño Completamente al Azar (DCA). El cual estará compuesto por</w:t>
      </w:r>
      <w:r>
        <w:rPr>
          <w:rFonts w:ascii="Times New Roman" w:eastAsia="Times New Roman" w:hAnsi="Times New Roman" w:cs="Times New Roman"/>
        </w:rPr>
        <w:t xml:space="preserve"> 6 tratamientos con 4 repeticiones cada uno, dando 24 unidades experimentales</w:t>
      </w:r>
    </w:p>
    <w:p w14:paraId="6AED50EC" w14:textId="77777777" w:rsidR="00E76A40" w:rsidRDefault="00E76A40" w:rsidP="00DC1A20">
      <w:pPr>
        <w:spacing w:line="360" w:lineRule="auto"/>
        <w:jc w:val="both"/>
        <w:rPr>
          <w:rFonts w:ascii="Times New Roman" w:eastAsia="Times New Roman" w:hAnsi="Times New Roman" w:cs="Times New Roman"/>
        </w:rPr>
      </w:pPr>
    </w:p>
    <w:p w14:paraId="2D4659DB" w14:textId="77777777"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b/>
        </w:rPr>
        <w:t xml:space="preserve">Tabla 2. </w:t>
      </w:r>
      <w:r>
        <w:rPr>
          <w:rFonts w:ascii="Times New Roman" w:eastAsia="Times New Roman" w:hAnsi="Times New Roman" w:cs="Times New Roman"/>
        </w:rPr>
        <w:t xml:space="preserve">Efecto del medio de cultivo en el enraizamiento de plántulas de </w:t>
      </w:r>
      <w:r>
        <w:rPr>
          <w:rFonts w:ascii="Times New Roman" w:eastAsia="Times New Roman" w:hAnsi="Times New Roman" w:cs="Times New Roman"/>
          <w:i/>
        </w:rPr>
        <w:t>Greigia</w:t>
      </w:r>
      <w:r>
        <w:rPr>
          <w:rFonts w:ascii="Times New Roman" w:eastAsia="Times New Roman" w:hAnsi="Times New Roman" w:cs="Times New Roman"/>
        </w:rPr>
        <w:t xml:space="preserve"> sp. según tratamientos.</w:t>
      </w:r>
    </w:p>
    <w:p w14:paraId="7EF20497" w14:textId="77777777" w:rsidR="00E76A40" w:rsidRDefault="00E76A40">
      <w:pPr>
        <w:jc w:val="both"/>
        <w:rPr>
          <w:rFonts w:ascii="Times New Roman" w:eastAsia="Times New Roman" w:hAnsi="Times New Roman" w:cs="Times New Roman"/>
        </w:rPr>
      </w:pPr>
    </w:p>
    <w:sdt>
      <w:sdtPr>
        <w:tag w:val="goog_rdk_1"/>
        <w:id w:val="848473103"/>
        <w:lock w:val="contentLocked"/>
      </w:sdtPr>
      <w:sdtEndPr/>
      <w:sdtContent>
        <w:tbl>
          <w:tblPr>
            <w:tblStyle w:val="a0"/>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9"/>
            <w:gridCol w:w="2209"/>
            <w:gridCol w:w="2210"/>
            <w:gridCol w:w="2210"/>
          </w:tblGrid>
          <w:tr w:rsidR="00E76A40" w14:paraId="1D63DE33" w14:textId="77777777">
            <w:tc>
              <w:tcPr>
                <w:tcW w:w="2209" w:type="dxa"/>
                <w:shd w:val="clear" w:color="auto" w:fill="auto"/>
                <w:tcMar>
                  <w:top w:w="100" w:type="dxa"/>
                  <w:left w:w="100" w:type="dxa"/>
                  <w:bottom w:w="100" w:type="dxa"/>
                  <w:right w:w="100" w:type="dxa"/>
                </w:tcMar>
              </w:tcPr>
              <w:p w14:paraId="25A7137C" w14:textId="77777777" w:rsidR="00E76A40" w:rsidRDefault="00937A18">
                <w:pPr>
                  <w:widowControl w:val="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Tratamientos</w:t>
                </w:r>
              </w:p>
            </w:tc>
            <w:tc>
              <w:tcPr>
                <w:tcW w:w="2209" w:type="dxa"/>
                <w:shd w:val="clear" w:color="auto" w:fill="auto"/>
                <w:tcMar>
                  <w:top w:w="100" w:type="dxa"/>
                  <w:left w:w="100" w:type="dxa"/>
                  <w:bottom w:w="100" w:type="dxa"/>
                  <w:right w:w="100" w:type="dxa"/>
                </w:tcMar>
              </w:tcPr>
              <w:p w14:paraId="15A354D7" w14:textId="77777777" w:rsidR="00E76A40" w:rsidRDefault="00937A18">
                <w:pPr>
                  <w:widowControl w:val="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Repeticiones</w:t>
                </w:r>
              </w:p>
            </w:tc>
            <w:tc>
              <w:tcPr>
                <w:tcW w:w="2209" w:type="dxa"/>
                <w:shd w:val="clear" w:color="auto" w:fill="auto"/>
                <w:tcMar>
                  <w:top w:w="100" w:type="dxa"/>
                  <w:left w:w="100" w:type="dxa"/>
                  <w:bottom w:w="100" w:type="dxa"/>
                  <w:right w:w="100" w:type="dxa"/>
                </w:tcMar>
              </w:tcPr>
              <w:p w14:paraId="35FA78F3" w14:textId="77777777" w:rsidR="00E76A40" w:rsidRDefault="00937A18">
                <w:pPr>
                  <w:widowControl w:val="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ANA mg/L</w:t>
                </w:r>
              </w:p>
            </w:tc>
            <w:tc>
              <w:tcPr>
                <w:tcW w:w="2209" w:type="dxa"/>
                <w:shd w:val="clear" w:color="auto" w:fill="auto"/>
                <w:tcMar>
                  <w:top w:w="100" w:type="dxa"/>
                  <w:left w:w="100" w:type="dxa"/>
                  <w:bottom w:w="100" w:type="dxa"/>
                  <w:right w:w="100" w:type="dxa"/>
                </w:tcMar>
              </w:tcPr>
              <w:p w14:paraId="64FEC8A2" w14:textId="77777777" w:rsidR="00E76A40" w:rsidRDefault="00937A18">
                <w:pPr>
                  <w:widowControl w:val="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Sacarosa g/L</w:t>
                </w:r>
              </w:p>
            </w:tc>
          </w:tr>
          <w:tr w:rsidR="00E76A40" w14:paraId="1FCFF3B8" w14:textId="77777777">
            <w:tc>
              <w:tcPr>
                <w:tcW w:w="2209" w:type="dxa"/>
                <w:shd w:val="clear" w:color="auto" w:fill="auto"/>
                <w:tcMar>
                  <w:top w:w="100" w:type="dxa"/>
                  <w:left w:w="100" w:type="dxa"/>
                  <w:bottom w:w="100" w:type="dxa"/>
                  <w:right w:w="100" w:type="dxa"/>
                </w:tcMar>
              </w:tcPr>
              <w:p w14:paraId="1B4FFADC"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T1</w:t>
                </w:r>
              </w:p>
            </w:tc>
            <w:tc>
              <w:tcPr>
                <w:tcW w:w="2209" w:type="dxa"/>
                <w:shd w:val="clear" w:color="auto" w:fill="auto"/>
                <w:tcMar>
                  <w:top w:w="100" w:type="dxa"/>
                  <w:left w:w="100" w:type="dxa"/>
                  <w:bottom w:w="100" w:type="dxa"/>
                  <w:right w:w="100" w:type="dxa"/>
                </w:tcMar>
              </w:tcPr>
              <w:p w14:paraId="66578377"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w:t>
                </w:r>
              </w:p>
              <w:p w14:paraId="465B5940"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R2</w:t>
                </w:r>
              </w:p>
              <w:p w14:paraId="397BD11B"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R3</w:t>
                </w:r>
              </w:p>
              <w:p w14:paraId="5E11BF04"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R4</w:t>
                </w:r>
              </w:p>
            </w:tc>
            <w:tc>
              <w:tcPr>
                <w:tcW w:w="2209" w:type="dxa"/>
                <w:shd w:val="clear" w:color="auto" w:fill="auto"/>
                <w:tcMar>
                  <w:top w:w="100" w:type="dxa"/>
                  <w:left w:w="100" w:type="dxa"/>
                  <w:bottom w:w="100" w:type="dxa"/>
                  <w:right w:w="100" w:type="dxa"/>
                </w:tcMar>
              </w:tcPr>
              <w:p w14:paraId="69D9DDDC"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w:t>
                </w:r>
              </w:p>
            </w:tc>
            <w:tc>
              <w:tcPr>
                <w:tcW w:w="2209" w:type="dxa"/>
                <w:shd w:val="clear" w:color="auto" w:fill="auto"/>
                <w:tcMar>
                  <w:top w:w="100" w:type="dxa"/>
                  <w:left w:w="100" w:type="dxa"/>
                  <w:bottom w:w="100" w:type="dxa"/>
                  <w:right w:w="100" w:type="dxa"/>
                </w:tcMar>
              </w:tcPr>
              <w:p w14:paraId="66211FDB"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r w:rsidR="00E76A40" w14:paraId="5E2F7E4B" w14:textId="77777777">
            <w:tc>
              <w:tcPr>
                <w:tcW w:w="2209" w:type="dxa"/>
                <w:shd w:val="clear" w:color="auto" w:fill="auto"/>
                <w:tcMar>
                  <w:top w:w="100" w:type="dxa"/>
                  <w:left w:w="100" w:type="dxa"/>
                  <w:bottom w:w="100" w:type="dxa"/>
                  <w:right w:w="100" w:type="dxa"/>
                </w:tcMar>
              </w:tcPr>
              <w:p w14:paraId="07C5A78C"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T2</w:t>
                </w:r>
              </w:p>
            </w:tc>
            <w:tc>
              <w:tcPr>
                <w:tcW w:w="2209" w:type="dxa"/>
                <w:shd w:val="clear" w:color="auto" w:fill="auto"/>
                <w:tcMar>
                  <w:top w:w="100" w:type="dxa"/>
                  <w:left w:w="100" w:type="dxa"/>
                  <w:bottom w:w="100" w:type="dxa"/>
                  <w:right w:w="100" w:type="dxa"/>
                </w:tcMar>
              </w:tcPr>
              <w:p w14:paraId="44B96732"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w:t>
                </w:r>
              </w:p>
              <w:p w14:paraId="17B8D1FE"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R2</w:t>
                </w:r>
              </w:p>
              <w:p w14:paraId="285CB52C"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R3</w:t>
                </w:r>
              </w:p>
              <w:p w14:paraId="079F1FCC"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R4</w:t>
                </w:r>
              </w:p>
            </w:tc>
            <w:tc>
              <w:tcPr>
                <w:tcW w:w="2209" w:type="dxa"/>
                <w:shd w:val="clear" w:color="auto" w:fill="auto"/>
                <w:tcMar>
                  <w:top w:w="100" w:type="dxa"/>
                  <w:left w:w="100" w:type="dxa"/>
                  <w:bottom w:w="100" w:type="dxa"/>
                  <w:right w:w="100" w:type="dxa"/>
                </w:tcMar>
              </w:tcPr>
              <w:p w14:paraId="7E937B2B"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w:t>
                </w:r>
              </w:p>
            </w:tc>
            <w:tc>
              <w:tcPr>
                <w:tcW w:w="2209" w:type="dxa"/>
                <w:shd w:val="clear" w:color="auto" w:fill="auto"/>
                <w:tcMar>
                  <w:top w:w="100" w:type="dxa"/>
                  <w:left w:w="100" w:type="dxa"/>
                  <w:bottom w:w="100" w:type="dxa"/>
                  <w:right w:w="100" w:type="dxa"/>
                </w:tcMar>
              </w:tcPr>
              <w:p w14:paraId="7AE92B4F"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r w:rsidR="00E76A40" w14:paraId="1F6208FC" w14:textId="77777777">
            <w:tc>
              <w:tcPr>
                <w:tcW w:w="2209" w:type="dxa"/>
                <w:shd w:val="clear" w:color="auto" w:fill="auto"/>
                <w:tcMar>
                  <w:top w:w="100" w:type="dxa"/>
                  <w:left w:w="100" w:type="dxa"/>
                  <w:bottom w:w="100" w:type="dxa"/>
                  <w:right w:w="100" w:type="dxa"/>
                </w:tcMar>
              </w:tcPr>
              <w:p w14:paraId="5F0CE22E"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T3</w:t>
                </w:r>
              </w:p>
            </w:tc>
            <w:tc>
              <w:tcPr>
                <w:tcW w:w="2209" w:type="dxa"/>
                <w:shd w:val="clear" w:color="auto" w:fill="auto"/>
                <w:tcMar>
                  <w:top w:w="100" w:type="dxa"/>
                  <w:left w:w="100" w:type="dxa"/>
                  <w:bottom w:w="100" w:type="dxa"/>
                  <w:right w:w="100" w:type="dxa"/>
                </w:tcMar>
              </w:tcPr>
              <w:p w14:paraId="0C4DDDE0"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w:t>
                </w:r>
              </w:p>
              <w:p w14:paraId="224581B7"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R2</w:t>
                </w:r>
              </w:p>
              <w:p w14:paraId="5F8E0AD1"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R3</w:t>
                </w:r>
              </w:p>
              <w:p w14:paraId="6741DCC0"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R4</w:t>
                </w:r>
              </w:p>
            </w:tc>
            <w:tc>
              <w:tcPr>
                <w:tcW w:w="2209" w:type="dxa"/>
                <w:shd w:val="clear" w:color="auto" w:fill="auto"/>
                <w:tcMar>
                  <w:top w:w="100" w:type="dxa"/>
                  <w:left w:w="100" w:type="dxa"/>
                  <w:bottom w:w="100" w:type="dxa"/>
                  <w:right w:w="100" w:type="dxa"/>
                </w:tcMar>
              </w:tcPr>
              <w:p w14:paraId="64BE9002"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0,20</w:t>
                </w:r>
              </w:p>
            </w:tc>
            <w:tc>
              <w:tcPr>
                <w:tcW w:w="2209" w:type="dxa"/>
                <w:shd w:val="clear" w:color="auto" w:fill="auto"/>
                <w:tcMar>
                  <w:top w:w="100" w:type="dxa"/>
                  <w:left w:w="100" w:type="dxa"/>
                  <w:bottom w:w="100" w:type="dxa"/>
                  <w:right w:w="100" w:type="dxa"/>
                </w:tcMar>
              </w:tcPr>
              <w:p w14:paraId="7DA789E5"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r w:rsidR="00E76A40" w14:paraId="72B58BC7" w14:textId="77777777">
            <w:tc>
              <w:tcPr>
                <w:tcW w:w="2209" w:type="dxa"/>
                <w:shd w:val="clear" w:color="auto" w:fill="auto"/>
                <w:tcMar>
                  <w:top w:w="100" w:type="dxa"/>
                  <w:left w:w="100" w:type="dxa"/>
                  <w:bottom w:w="100" w:type="dxa"/>
                  <w:right w:w="100" w:type="dxa"/>
                </w:tcMar>
              </w:tcPr>
              <w:p w14:paraId="0EFF6984"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T4</w:t>
                </w:r>
              </w:p>
            </w:tc>
            <w:tc>
              <w:tcPr>
                <w:tcW w:w="2209" w:type="dxa"/>
                <w:shd w:val="clear" w:color="auto" w:fill="auto"/>
                <w:tcMar>
                  <w:top w:w="100" w:type="dxa"/>
                  <w:left w:w="100" w:type="dxa"/>
                  <w:bottom w:w="100" w:type="dxa"/>
                  <w:right w:w="100" w:type="dxa"/>
                </w:tcMar>
              </w:tcPr>
              <w:p w14:paraId="777FA8BE"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w:t>
                </w:r>
              </w:p>
              <w:p w14:paraId="77797F46"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R2</w:t>
                </w:r>
              </w:p>
              <w:p w14:paraId="0B14A32F"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R3</w:t>
                </w:r>
              </w:p>
              <w:p w14:paraId="31C4F434"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R4</w:t>
                </w:r>
              </w:p>
            </w:tc>
            <w:tc>
              <w:tcPr>
                <w:tcW w:w="2209" w:type="dxa"/>
                <w:shd w:val="clear" w:color="auto" w:fill="auto"/>
                <w:tcMar>
                  <w:top w:w="100" w:type="dxa"/>
                  <w:left w:w="100" w:type="dxa"/>
                  <w:bottom w:w="100" w:type="dxa"/>
                  <w:right w:w="100" w:type="dxa"/>
                </w:tcMar>
              </w:tcPr>
              <w:p w14:paraId="6BD93638"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0,30</w:t>
                </w:r>
              </w:p>
            </w:tc>
            <w:tc>
              <w:tcPr>
                <w:tcW w:w="2209" w:type="dxa"/>
                <w:shd w:val="clear" w:color="auto" w:fill="auto"/>
                <w:tcMar>
                  <w:top w:w="100" w:type="dxa"/>
                  <w:left w:w="100" w:type="dxa"/>
                  <w:bottom w:w="100" w:type="dxa"/>
                  <w:right w:w="100" w:type="dxa"/>
                </w:tcMar>
              </w:tcPr>
              <w:p w14:paraId="0701FF8D"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r w:rsidR="00E76A40" w14:paraId="7AA885C2" w14:textId="77777777">
            <w:tc>
              <w:tcPr>
                <w:tcW w:w="2209" w:type="dxa"/>
                <w:shd w:val="clear" w:color="auto" w:fill="auto"/>
                <w:tcMar>
                  <w:top w:w="100" w:type="dxa"/>
                  <w:left w:w="100" w:type="dxa"/>
                  <w:bottom w:w="100" w:type="dxa"/>
                  <w:right w:w="100" w:type="dxa"/>
                </w:tcMar>
              </w:tcPr>
              <w:p w14:paraId="39C03D0A"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T5</w:t>
                </w:r>
              </w:p>
            </w:tc>
            <w:tc>
              <w:tcPr>
                <w:tcW w:w="2209" w:type="dxa"/>
                <w:shd w:val="clear" w:color="auto" w:fill="auto"/>
                <w:tcMar>
                  <w:top w:w="100" w:type="dxa"/>
                  <w:left w:w="100" w:type="dxa"/>
                  <w:bottom w:w="100" w:type="dxa"/>
                  <w:right w:w="100" w:type="dxa"/>
                </w:tcMar>
              </w:tcPr>
              <w:p w14:paraId="1EF28A1E"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w:t>
                </w:r>
              </w:p>
              <w:p w14:paraId="59A96070"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R2</w:t>
                </w:r>
              </w:p>
              <w:p w14:paraId="51E583B9"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R3</w:t>
                </w:r>
              </w:p>
              <w:p w14:paraId="6CFB44A5"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R4</w:t>
                </w:r>
              </w:p>
            </w:tc>
            <w:tc>
              <w:tcPr>
                <w:tcW w:w="2209" w:type="dxa"/>
                <w:shd w:val="clear" w:color="auto" w:fill="auto"/>
                <w:tcMar>
                  <w:top w:w="100" w:type="dxa"/>
                  <w:left w:w="100" w:type="dxa"/>
                  <w:bottom w:w="100" w:type="dxa"/>
                  <w:right w:w="100" w:type="dxa"/>
                </w:tcMar>
              </w:tcPr>
              <w:p w14:paraId="7E85521E"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0,40</w:t>
                </w:r>
              </w:p>
            </w:tc>
            <w:tc>
              <w:tcPr>
                <w:tcW w:w="2209" w:type="dxa"/>
                <w:shd w:val="clear" w:color="auto" w:fill="auto"/>
                <w:tcMar>
                  <w:top w:w="100" w:type="dxa"/>
                  <w:left w:w="100" w:type="dxa"/>
                  <w:bottom w:w="100" w:type="dxa"/>
                  <w:right w:w="100" w:type="dxa"/>
                </w:tcMar>
              </w:tcPr>
              <w:p w14:paraId="5BAC438E"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r w:rsidR="00E76A40" w14:paraId="7788546A" w14:textId="77777777">
            <w:tc>
              <w:tcPr>
                <w:tcW w:w="2209" w:type="dxa"/>
                <w:shd w:val="clear" w:color="auto" w:fill="auto"/>
                <w:tcMar>
                  <w:top w:w="100" w:type="dxa"/>
                  <w:left w:w="100" w:type="dxa"/>
                  <w:bottom w:w="100" w:type="dxa"/>
                  <w:right w:w="100" w:type="dxa"/>
                </w:tcMar>
              </w:tcPr>
              <w:p w14:paraId="2E206840"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T6</w:t>
                </w:r>
              </w:p>
            </w:tc>
            <w:tc>
              <w:tcPr>
                <w:tcW w:w="2209" w:type="dxa"/>
                <w:shd w:val="clear" w:color="auto" w:fill="auto"/>
                <w:tcMar>
                  <w:top w:w="100" w:type="dxa"/>
                  <w:left w:w="100" w:type="dxa"/>
                  <w:bottom w:w="100" w:type="dxa"/>
                  <w:right w:w="100" w:type="dxa"/>
                </w:tcMar>
              </w:tcPr>
              <w:p w14:paraId="2C4C33FF"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R1</w:t>
                </w:r>
              </w:p>
              <w:p w14:paraId="027381D3"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R2</w:t>
                </w:r>
              </w:p>
              <w:p w14:paraId="24483A5F"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R3</w:t>
                </w:r>
              </w:p>
              <w:p w14:paraId="01F40345"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R4</w:t>
                </w:r>
              </w:p>
            </w:tc>
            <w:tc>
              <w:tcPr>
                <w:tcW w:w="2209" w:type="dxa"/>
                <w:shd w:val="clear" w:color="auto" w:fill="auto"/>
                <w:tcMar>
                  <w:top w:w="100" w:type="dxa"/>
                  <w:left w:w="100" w:type="dxa"/>
                  <w:bottom w:w="100" w:type="dxa"/>
                  <w:right w:w="100" w:type="dxa"/>
                </w:tcMar>
              </w:tcPr>
              <w:p w14:paraId="092E0D64"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0,50</w:t>
                </w:r>
              </w:p>
            </w:tc>
            <w:tc>
              <w:tcPr>
                <w:tcW w:w="2209" w:type="dxa"/>
                <w:shd w:val="clear" w:color="auto" w:fill="auto"/>
                <w:tcMar>
                  <w:top w:w="100" w:type="dxa"/>
                  <w:left w:w="100" w:type="dxa"/>
                  <w:bottom w:w="100" w:type="dxa"/>
                  <w:right w:w="100" w:type="dxa"/>
                </w:tcMar>
              </w:tcPr>
              <w:p w14:paraId="46C465F5" w14:textId="77777777" w:rsidR="00E76A40" w:rsidRDefault="00937A1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bl>
      </w:sdtContent>
    </w:sdt>
    <w:p w14:paraId="441B510E" w14:textId="77777777" w:rsidR="00E76A40" w:rsidRDefault="00E76A40">
      <w:pPr>
        <w:jc w:val="both"/>
        <w:rPr>
          <w:rFonts w:ascii="Times New Roman" w:eastAsia="Times New Roman" w:hAnsi="Times New Roman" w:cs="Times New Roman"/>
          <w:b/>
        </w:rPr>
      </w:pPr>
    </w:p>
    <w:p w14:paraId="3C79055F" w14:textId="4C67F7C6" w:rsidR="00E76A40" w:rsidRDefault="00937A18" w:rsidP="00DC1A2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6.3.2. </w:t>
      </w:r>
      <w:r>
        <w:rPr>
          <w:rFonts w:ascii="Times New Roman" w:eastAsia="Times New Roman" w:hAnsi="Times New Roman" w:cs="Times New Roman"/>
          <w:b/>
        </w:rPr>
        <w:t>Material de estudio.</w:t>
      </w:r>
    </w:p>
    <w:p w14:paraId="09CFE28F" w14:textId="77777777" w:rsidR="00E76A40" w:rsidRDefault="00937A18" w:rsidP="00DC1A2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Las semillas de sugare o chupón (</w:t>
      </w:r>
      <w:r>
        <w:rPr>
          <w:rFonts w:ascii="Times New Roman" w:eastAsia="Times New Roman" w:hAnsi="Times New Roman" w:cs="Times New Roman"/>
          <w:i/>
        </w:rPr>
        <w:t>Greigia</w:t>
      </w:r>
      <w:r>
        <w:rPr>
          <w:rFonts w:ascii="Times New Roman" w:eastAsia="Times New Roman" w:hAnsi="Times New Roman" w:cs="Times New Roman"/>
        </w:rPr>
        <w:t xml:space="preserve"> spp.) Serán obtenidas a partir de frutos de Greigia sp. los cuales serán recolectados del Parque Nacional de Cutervo ubicado en la cordillera de Tarros, distrito Santo Domingo de la Capilla, provincia de Cutervo en el departamento de Cajamarca. </w:t>
      </w:r>
    </w:p>
    <w:p w14:paraId="073341A6" w14:textId="77777777" w:rsidR="00E76A40" w:rsidRDefault="00937A18" w:rsidP="00DC1A2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Posterior</w:t>
      </w:r>
      <w:r>
        <w:rPr>
          <w:rFonts w:ascii="Times New Roman" w:eastAsia="Times New Roman" w:hAnsi="Times New Roman" w:cs="Times New Roman"/>
        </w:rPr>
        <w:t>mente las semillas serán extraídas de cada fruto de sugare para después ser  puestas a secar a temperatura ambiente y por último estas semillas serán llevadas al laboratorio de investigación en Fisiología y Biotecnología Vegetal (FISIOBVEG) de la Universid</w:t>
      </w:r>
      <w:r>
        <w:rPr>
          <w:rFonts w:ascii="Times New Roman" w:eastAsia="Times New Roman" w:hAnsi="Times New Roman" w:cs="Times New Roman"/>
        </w:rPr>
        <w:t>ad Nacional Toribio Rodriguez de Mendoza de Amazonas, para proceder con la desinfección y siembra en un medio de cultivo in vitro.</w:t>
      </w:r>
    </w:p>
    <w:p w14:paraId="08150362" w14:textId="4B99415E" w:rsidR="00E76A40" w:rsidRDefault="00937A18" w:rsidP="00DC1A20">
      <w:pPr>
        <w:spacing w:line="360" w:lineRule="auto"/>
        <w:jc w:val="both"/>
        <w:rPr>
          <w:rFonts w:ascii="Times New Roman" w:eastAsia="Times New Roman" w:hAnsi="Times New Roman" w:cs="Times New Roman"/>
          <w:i/>
        </w:rPr>
      </w:pPr>
      <w:r>
        <w:rPr>
          <w:rFonts w:ascii="Times New Roman" w:eastAsia="Times New Roman" w:hAnsi="Times New Roman" w:cs="Times New Roman"/>
        </w:rPr>
        <w:t>La investigación se realizará en el laboratorio FISIOBVEG, utilizando instalaciones para cultivos in vitro. Se emplearán cond</w:t>
      </w:r>
      <w:r>
        <w:rPr>
          <w:rFonts w:ascii="Times New Roman" w:eastAsia="Times New Roman" w:hAnsi="Times New Roman" w:cs="Times New Roman"/>
        </w:rPr>
        <w:t xml:space="preserve">iciones asépticas, cámaras de frío y de crecimiento controladas para evaluar la germinación y desarrollo de plántulas de </w:t>
      </w:r>
      <w:proofErr w:type="spellStart"/>
      <w:r>
        <w:rPr>
          <w:rFonts w:ascii="Times New Roman" w:eastAsia="Times New Roman" w:hAnsi="Times New Roman" w:cs="Times New Roman"/>
          <w:i/>
        </w:rPr>
        <w:t>greigia</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sp</w:t>
      </w:r>
      <w:proofErr w:type="spellEnd"/>
      <w:r>
        <w:rPr>
          <w:rFonts w:ascii="Times New Roman" w:eastAsia="Times New Roman" w:hAnsi="Times New Roman" w:cs="Times New Roman"/>
          <w:i/>
        </w:rPr>
        <w:t>.</w:t>
      </w:r>
    </w:p>
    <w:p w14:paraId="292F8D8F" w14:textId="77777777" w:rsidR="00E76A40" w:rsidRDefault="00937A18" w:rsidP="00DC1A20">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rPr>
        <w:t>Preparación de medios de cultivo de germinación.</w:t>
      </w:r>
    </w:p>
    <w:p w14:paraId="20568151" w14:textId="77777777"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t>Se preparará un medio semisólido constituido por las sales basales más vi</w:t>
      </w:r>
      <w:r>
        <w:rPr>
          <w:rFonts w:ascii="Times New Roman" w:eastAsia="Times New Roman" w:hAnsi="Times New Roman" w:cs="Times New Roman"/>
        </w:rPr>
        <w:t>taminas MS (Murashige &amp; Skoog, 1962) al 100%, 30 g/L de sacarosa, 2 g/L phytagel, el ácido giberélico (AG) se ajustarán a 20, 80 y 120 ppm para cada tratamiento el cual estará compuesto por 80 ml de medio y se ajustará a un pH de 5.8. El medio se esteriliz</w:t>
      </w:r>
      <w:r>
        <w:rPr>
          <w:rFonts w:ascii="Times New Roman" w:eastAsia="Times New Roman" w:hAnsi="Times New Roman" w:cs="Times New Roman"/>
        </w:rPr>
        <w:t>ará en autoclave a 121 °C con una presión de 2.1 bar durante 15 minutos. Posteriormente se colocará en placas un aproximado de 20ml para cada placa  y se dejará gelifica</w:t>
      </w:r>
      <w:r>
        <w:rPr>
          <w:rFonts w:ascii="Arial" w:eastAsia="Arial" w:hAnsi="Arial" w:cs="Arial"/>
        </w:rPr>
        <w:t>r.</w:t>
      </w:r>
    </w:p>
    <w:p w14:paraId="31ABB627" w14:textId="77777777" w:rsidR="00E76A40" w:rsidRDefault="00937A18" w:rsidP="00DC1A20">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rPr>
        <w:t>Desinfección y siembra de las semillas de Greigia spp.</w:t>
      </w:r>
    </w:p>
    <w:p w14:paraId="2377B2B6" w14:textId="77777777"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t>El proceso comenzará con la d</w:t>
      </w:r>
      <w:r>
        <w:rPr>
          <w:rFonts w:ascii="Times New Roman" w:eastAsia="Times New Roman" w:hAnsi="Times New Roman" w:cs="Times New Roman"/>
        </w:rPr>
        <w:t xml:space="preserve">esinfección de las semillas, para lo cual se utilizará 100 g de semillas de Greigia spp y serán enjuagadas 3 veces con agua destilada, posteriormente se inhibirá en agua destilada estéril durante 15 horas. Posteriormente, las semillas serán </w:t>
      </w:r>
      <w:r>
        <w:rPr>
          <w:rFonts w:ascii="Times New Roman" w:eastAsia="Times New Roman" w:hAnsi="Times New Roman" w:cs="Times New Roman"/>
        </w:rPr>
        <w:lastRenderedPageBreak/>
        <w:t>colocadas en pa</w:t>
      </w:r>
      <w:r>
        <w:rPr>
          <w:rFonts w:ascii="Times New Roman" w:eastAsia="Times New Roman" w:hAnsi="Times New Roman" w:cs="Times New Roman"/>
        </w:rPr>
        <w:t>pel filtro para facilitar la desinfección en una cabina de flujo laminar, este protocolo consistirá en sumergirlas en etanol al 70% (v/v) durante un minuto, seguido de un lavado con abundante agua destilada durante 5 minutos, seguido de su inmersión en una</w:t>
      </w:r>
      <w:r>
        <w:rPr>
          <w:rFonts w:ascii="Times New Roman" w:eastAsia="Times New Roman" w:hAnsi="Times New Roman" w:cs="Times New Roman"/>
        </w:rPr>
        <w:t xml:space="preserve"> solución compuesta por hipoclorito de sodio (NaClO) al 1.25% más Tween-80 al 0.01% durante 15 minutos. Finalizado este proceso, las semillas serán enjuagadas 3 veces durante 5 minutos  con agua destilada estéril, posteriormente se dejará reposar durante 5</w:t>
      </w:r>
      <w:r>
        <w:rPr>
          <w:rFonts w:ascii="Times New Roman" w:eastAsia="Times New Roman" w:hAnsi="Times New Roman" w:cs="Times New Roman"/>
        </w:rPr>
        <w:t xml:space="preserve"> minutos en agua destilada. Después, se procederá a enjuagar con abundante agua y por último se sacará las semillas a una placa petri la cual contiene en su interior papel esterilizado. </w:t>
      </w:r>
    </w:p>
    <w:p w14:paraId="420FC0F7" w14:textId="77777777"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t>Finalmente, las semillas esterilizadas serán sembradas en placas petr</w:t>
      </w:r>
      <w:r>
        <w:rPr>
          <w:rFonts w:ascii="Times New Roman" w:eastAsia="Times New Roman" w:hAnsi="Times New Roman" w:cs="Times New Roman"/>
        </w:rPr>
        <w:t>i que contendrán medio de cultivo MS (Murashige &amp; Skoog, 1962) y serán sometidas a un proceso de escarificación en frío, exponiéndolas a una temperatura de 4 °C durante 5, 10 y 20 días (tratamientos) en oscuridad. Pasados los días de escarificación corresp</w:t>
      </w:r>
      <w:r>
        <w:rPr>
          <w:rFonts w:ascii="Times New Roman" w:eastAsia="Times New Roman" w:hAnsi="Times New Roman" w:cs="Times New Roman"/>
        </w:rPr>
        <w:t>ondiente para cada tratamiento, se procederá a incubar los tratamientos bajo condiciones controladas con una temperatura constante de 25 ± 1 °C, y un fotoperiodo de 16 horas de luz y 8 horas de oscuridad.</w:t>
      </w:r>
    </w:p>
    <w:p w14:paraId="716A9D31" w14:textId="77777777" w:rsidR="00E76A40" w:rsidRDefault="00E76A40" w:rsidP="00DC1A20">
      <w:pPr>
        <w:spacing w:line="360" w:lineRule="auto"/>
        <w:jc w:val="both"/>
        <w:rPr>
          <w:rFonts w:ascii="Times New Roman" w:eastAsia="Times New Roman" w:hAnsi="Times New Roman" w:cs="Times New Roman"/>
        </w:rPr>
      </w:pPr>
    </w:p>
    <w:p w14:paraId="221D5C5C" w14:textId="77777777" w:rsidR="00E76A40" w:rsidRDefault="00937A18" w:rsidP="00DC1A2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Transferencia de las plántulas para multiplicación</w:t>
      </w:r>
      <w:r>
        <w:rPr>
          <w:rFonts w:ascii="Times New Roman" w:eastAsia="Times New Roman" w:hAnsi="Times New Roman" w:cs="Times New Roman"/>
          <w:b/>
        </w:rPr>
        <w:t xml:space="preserve"> e inducción de brotes, en los potes tipo magenta con membranas.</w:t>
      </w:r>
    </w:p>
    <w:p w14:paraId="5B6CFD20" w14:textId="77777777" w:rsidR="00E76A40" w:rsidRDefault="00E76A40" w:rsidP="00DC1A20">
      <w:pPr>
        <w:spacing w:line="360" w:lineRule="auto"/>
        <w:jc w:val="both"/>
        <w:rPr>
          <w:rFonts w:ascii="Times New Roman" w:eastAsia="Times New Roman" w:hAnsi="Times New Roman" w:cs="Times New Roman"/>
          <w:b/>
        </w:rPr>
      </w:pPr>
    </w:p>
    <w:p w14:paraId="7F37AE4E" w14:textId="47C4220C" w:rsidR="00E76A40" w:rsidRDefault="00937A18" w:rsidP="00937A18">
      <w:pPr>
        <w:spacing w:line="360" w:lineRule="auto"/>
        <w:jc w:val="both"/>
        <w:rPr>
          <w:rFonts w:ascii="Times New Roman" w:eastAsia="Times New Roman" w:hAnsi="Times New Roman" w:cs="Times New Roman"/>
          <w:lang w:eastAsia="es-PE"/>
        </w:rPr>
      </w:pPr>
      <w:r>
        <w:rPr>
          <w:rFonts w:ascii="Times New Roman" w:eastAsia="Times New Roman" w:hAnsi="Times New Roman" w:cs="Times New Roman"/>
        </w:rPr>
        <w:t>Las plántulas obtenidas a la edad de dos meses serán transferidas a medios de cultivo líquido constituidos por MS (Murashige &amp; Skoog, 1962) suplementado con Thiamine-HCl 0,4 mg/L + ácido nic</w:t>
      </w:r>
      <w:r>
        <w:rPr>
          <w:rFonts w:ascii="Times New Roman" w:eastAsia="Times New Roman" w:hAnsi="Times New Roman" w:cs="Times New Roman"/>
        </w:rPr>
        <w:t>otínico 0,5mg/L + 6-bencil amino purina (BAP) 2 mg/L + ácido neftalen acético (ANA) 0,3 mg/L + sacarosa 30 g/L. Con un pH de 5,8. Se seguirá el protocolo establecido por</w:t>
      </w:r>
      <w:r w:rsidR="00E006AE">
        <w:rPr>
          <w:rFonts w:ascii="Times New Roman" w:eastAsia="Times New Roman" w:hAnsi="Times New Roman" w:cs="Times New Roman"/>
          <w:lang w:eastAsia="es-PE"/>
        </w:rPr>
        <w:t xml:space="preserve"> </w:t>
      </w:r>
      <w:r w:rsidR="00E006AE" w:rsidRPr="00E006AE">
        <w:rPr>
          <w:rFonts w:ascii="Times New Roman" w:eastAsia="Times New Roman" w:hAnsi="Times New Roman" w:cs="Times New Roman"/>
          <w:lang w:eastAsia="es-PE"/>
        </w:rPr>
        <w:t xml:space="preserve">Henri et al., </w:t>
      </w:r>
      <w:r w:rsidR="00E006AE">
        <w:rPr>
          <w:rFonts w:ascii="Times New Roman" w:eastAsia="Times New Roman" w:hAnsi="Times New Roman" w:cs="Times New Roman"/>
          <w:lang w:eastAsia="es-PE"/>
        </w:rPr>
        <w:t>(</w:t>
      </w:r>
      <w:r w:rsidR="00E006AE" w:rsidRPr="00E006AE">
        <w:rPr>
          <w:rFonts w:ascii="Times New Roman" w:eastAsia="Times New Roman" w:hAnsi="Times New Roman" w:cs="Times New Roman"/>
          <w:lang w:eastAsia="es-PE"/>
        </w:rPr>
        <w:t>2019)</w:t>
      </w:r>
      <w:r>
        <w:rPr>
          <w:rFonts w:ascii="Times New Roman" w:eastAsia="Times New Roman" w:hAnsi="Times New Roman" w:cs="Times New Roman"/>
        </w:rPr>
        <w:t xml:space="preserve"> para la propagación de piña (bromelia), con ligeras modificaciones en el BAP (</w:t>
      </w:r>
      <w:proofErr w:type="gramStart"/>
      <w:r>
        <w:rPr>
          <w:rFonts w:ascii="Times New Roman" w:eastAsia="Times New Roman" w:hAnsi="Times New Roman" w:cs="Times New Roman"/>
        </w:rPr>
        <w:t>1,  2</w:t>
      </w:r>
      <w:proofErr w:type="gramEnd"/>
      <w:r>
        <w:rPr>
          <w:rFonts w:ascii="Times New Roman" w:eastAsia="Times New Roman" w:hAnsi="Times New Roman" w:cs="Times New Roman"/>
        </w:rPr>
        <w:t>, 3, 4, 5  mg/L) y para ANA (0,1; 0,2; 0,3; 0,4; 0,5 mg/L) además de una muestra control. Las plántulas en cultivo in vitro utilizarán de soporte una base de polipro</w:t>
      </w:r>
      <w:r>
        <w:rPr>
          <w:rFonts w:ascii="Times New Roman" w:eastAsia="Times New Roman" w:hAnsi="Times New Roman" w:cs="Times New Roman"/>
        </w:rPr>
        <w:t xml:space="preserve">pileno invertida con agujeros adaptados de acuerdo al espesor de la plántula con el fin de garantizar su estabilidad. Por último, los potes con capacidad de 1000 ml  se cubrirán con tapas de polipropileno perforadas y equipadas con membranas a base de dos </w:t>
      </w:r>
      <w:r>
        <w:rPr>
          <w:rFonts w:ascii="Times New Roman" w:eastAsia="Times New Roman" w:hAnsi="Times New Roman" w:cs="Times New Roman"/>
        </w:rPr>
        <w:t>capas de micropore las cuales en su interior contendrán una capa de teflón para garantizar una ventilación segura e intercambio gaseoso. En cada frasco, se vertirá 100 ml de medio. Todos los cultivos se mantendrán en una sala de cultivo bajo condiciones co</w:t>
      </w:r>
      <w:r>
        <w:rPr>
          <w:rFonts w:ascii="Times New Roman" w:eastAsia="Times New Roman" w:hAnsi="Times New Roman" w:cs="Times New Roman"/>
        </w:rPr>
        <w:t xml:space="preserve">ntroladas con una </w:t>
      </w:r>
      <w:r>
        <w:rPr>
          <w:rFonts w:ascii="Times New Roman" w:eastAsia="Times New Roman" w:hAnsi="Times New Roman" w:cs="Times New Roman"/>
        </w:rPr>
        <w:lastRenderedPageBreak/>
        <w:t xml:space="preserve">temperatura constante de 25 ± 1 °C, y un fotoperiodo de 16 horas de luz y 8 horas de oscuridad </w:t>
      </w:r>
      <w:r w:rsidRPr="00937A18">
        <w:rPr>
          <w:rFonts w:ascii="Times New Roman" w:eastAsia="Times New Roman" w:hAnsi="Times New Roman" w:cs="Times New Roman"/>
          <w:lang w:eastAsia="es-PE"/>
        </w:rPr>
        <w:t>(</w:t>
      </w:r>
      <w:proofErr w:type="spellStart"/>
      <w:r w:rsidRPr="00937A18">
        <w:rPr>
          <w:rFonts w:ascii="Times New Roman" w:eastAsia="Times New Roman" w:hAnsi="Times New Roman" w:cs="Times New Roman"/>
          <w:lang w:eastAsia="es-PE"/>
        </w:rPr>
        <w:t>Szarvas</w:t>
      </w:r>
      <w:proofErr w:type="spellEnd"/>
      <w:r w:rsidRPr="00937A18">
        <w:rPr>
          <w:rFonts w:ascii="Times New Roman" w:eastAsia="Times New Roman" w:hAnsi="Times New Roman" w:cs="Times New Roman"/>
          <w:lang w:eastAsia="es-PE"/>
        </w:rPr>
        <w:t xml:space="preserve"> et al., 2024)</w:t>
      </w:r>
      <w:r>
        <w:rPr>
          <w:rFonts w:ascii="Times New Roman" w:eastAsia="Times New Roman" w:hAnsi="Times New Roman" w:cs="Times New Roman"/>
        </w:rPr>
        <w:t>. El periodo de cultivo durará aproximadamente 8 semanas.</w:t>
      </w:r>
    </w:p>
    <w:p w14:paraId="6D500EE9" w14:textId="401FC831"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Pasado este tiempo se procederá a evaluar el número de </w:t>
      </w:r>
      <w:proofErr w:type="gramStart"/>
      <w:r>
        <w:rPr>
          <w:rFonts w:ascii="Times New Roman" w:eastAsia="Times New Roman" w:hAnsi="Times New Roman" w:cs="Times New Roman"/>
        </w:rPr>
        <w:t>hojas ,</w:t>
      </w:r>
      <w:proofErr w:type="gramEnd"/>
      <w:r>
        <w:rPr>
          <w:rFonts w:ascii="Times New Roman" w:eastAsia="Times New Roman" w:hAnsi="Times New Roman" w:cs="Times New Roman"/>
        </w:rPr>
        <w:t xml:space="preserve"> brotes y tamaño de brot</w:t>
      </w:r>
      <w:r>
        <w:rPr>
          <w:rFonts w:ascii="Times New Roman" w:eastAsia="Times New Roman" w:hAnsi="Times New Roman" w:cs="Times New Roman"/>
        </w:rPr>
        <w:t xml:space="preserve">es por </w:t>
      </w:r>
      <w:proofErr w:type="spellStart"/>
      <w:r>
        <w:rPr>
          <w:rFonts w:ascii="Times New Roman" w:eastAsia="Times New Roman" w:hAnsi="Times New Roman" w:cs="Times New Roman"/>
        </w:rPr>
        <w:t>explante</w:t>
      </w:r>
      <w:proofErr w:type="spellEnd"/>
      <w:r>
        <w:rPr>
          <w:rFonts w:ascii="Times New Roman" w:eastAsia="Times New Roman" w:hAnsi="Times New Roman" w:cs="Times New Roman"/>
        </w:rPr>
        <w:t xml:space="preserve"> para cada tratamiento.</w:t>
      </w:r>
    </w:p>
    <w:p w14:paraId="335901F9" w14:textId="77777777"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b/>
        </w:rPr>
        <w:t>Enraizamiento in vitro y aclimatación ex vitro</w:t>
      </w:r>
    </w:p>
    <w:p w14:paraId="315DA09D" w14:textId="4E95BAB2"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t>Posteriormente los brotes se separarán en brotes individuales que luego se cultivarán durante 4 semanas en un medio de enraizamiento que contendrá medio MS de máxima con</w:t>
      </w:r>
      <w:r>
        <w:rPr>
          <w:rFonts w:ascii="Times New Roman" w:eastAsia="Times New Roman" w:hAnsi="Times New Roman" w:cs="Times New Roman"/>
        </w:rPr>
        <w:t>centración suplementado con 2 mg/L de sacarosa, y diferentes concentraciones de ANA (00; 0,10; 0,20; 0,30; 0,40; 0,50).</w:t>
      </w:r>
    </w:p>
    <w:p w14:paraId="6FE77AE1" w14:textId="6BF38979" w:rsidR="00E76A40" w:rsidRDefault="00937A18" w:rsidP="00DC1A20">
      <w:pPr>
        <w:spacing w:line="360" w:lineRule="auto"/>
        <w:jc w:val="both"/>
        <w:rPr>
          <w:rFonts w:ascii="Times New Roman" w:eastAsia="Times New Roman" w:hAnsi="Times New Roman" w:cs="Times New Roman"/>
          <w:lang w:eastAsia="es-PE"/>
        </w:rPr>
      </w:pPr>
      <w:r>
        <w:rPr>
          <w:rFonts w:ascii="Times New Roman" w:eastAsia="Times New Roman" w:hAnsi="Times New Roman" w:cs="Times New Roman"/>
        </w:rPr>
        <w:t>Las plántulas enraizadas se extraerán cuidadosamente del medio líquido y se lavarán a fondo con agua destilada. Posteriormente, se tran</w:t>
      </w:r>
      <w:r>
        <w:rPr>
          <w:rFonts w:ascii="Times New Roman" w:eastAsia="Times New Roman" w:hAnsi="Times New Roman" w:cs="Times New Roman"/>
        </w:rPr>
        <w:t>sferirán a macetas con sustrato comercial humedecido con agua potable. Las macetas se cubrirán con tapas de plástico transparente durante dos semanas para mantener la humedad adecuada. El proceso de aclimatación durará ocho semanas aproximadamente en una c</w:t>
      </w:r>
      <w:r>
        <w:rPr>
          <w:rFonts w:ascii="Times New Roman" w:eastAsia="Times New Roman" w:hAnsi="Times New Roman" w:cs="Times New Roman"/>
        </w:rPr>
        <w:t xml:space="preserve">ámara climática bajo condiciones controladas con una temperatura constante de 25 ± 1 °C, y un fotoperiodo de 16 horas de luz y 8 horas de oscuridad </w:t>
      </w:r>
      <w:r w:rsidRPr="00937A18">
        <w:rPr>
          <w:rFonts w:ascii="Times New Roman" w:eastAsia="Times New Roman" w:hAnsi="Times New Roman" w:cs="Times New Roman"/>
          <w:lang w:eastAsia="es-PE"/>
        </w:rPr>
        <w:t>(</w:t>
      </w:r>
      <w:proofErr w:type="spellStart"/>
      <w:r w:rsidRPr="00937A18">
        <w:rPr>
          <w:rFonts w:ascii="Times New Roman" w:eastAsia="Times New Roman" w:hAnsi="Times New Roman" w:cs="Times New Roman"/>
          <w:lang w:eastAsia="es-PE"/>
        </w:rPr>
        <w:t>Szarvas</w:t>
      </w:r>
      <w:proofErr w:type="spellEnd"/>
      <w:r w:rsidRPr="00937A18">
        <w:rPr>
          <w:rFonts w:ascii="Times New Roman" w:eastAsia="Times New Roman" w:hAnsi="Times New Roman" w:cs="Times New Roman"/>
          <w:lang w:eastAsia="es-PE"/>
        </w:rPr>
        <w:t xml:space="preserve"> et al., 2024)</w:t>
      </w:r>
      <w:r>
        <w:rPr>
          <w:rFonts w:ascii="Times New Roman" w:eastAsia="Times New Roman" w:hAnsi="Times New Roman" w:cs="Times New Roman"/>
          <w:lang w:eastAsia="es-PE"/>
        </w:rPr>
        <w:t>.</w:t>
      </w:r>
    </w:p>
    <w:p w14:paraId="41725607" w14:textId="32B1796E" w:rsidR="00E76A40" w:rsidRDefault="00937A18" w:rsidP="00DC1A20">
      <w:pPr>
        <w:spacing w:line="360" w:lineRule="auto"/>
        <w:jc w:val="both"/>
        <w:rPr>
          <w:rFonts w:ascii="Times New Roman" w:eastAsia="Times New Roman" w:hAnsi="Times New Roman" w:cs="Times New Roman"/>
        </w:rPr>
      </w:pPr>
      <w:r>
        <w:rPr>
          <w:rFonts w:ascii="Times New Roman" w:eastAsia="Times New Roman" w:hAnsi="Times New Roman" w:cs="Times New Roman"/>
        </w:rPr>
        <w:t>Finalmente se calculará el número y porcentaje de brotes enraizados, número de raíces por brote, la longitu</w:t>
      </w:r>
      <w:r>
        <w:rPr>
          <w:rFonts w:ascii="Times New Roman" w:eastAsia="Times New Roman" w:hAnsi="Times New Roman" w:cs="Times New Roman"/>
        </w:rPr>
        <w:t>d de las raíces y por último el porcentaje de plántulas que se aclimataron con éxito y continuaron desarrollándose.</w:t>
      </w:r>
    </w:p>
    <w:p w14:paraId="5A5B28BB" w14:textId="77777777" w:rsidR="00E76A40" w:rsidRDefault="00E76A40">
      <w:pPr>
        <w:jc w:val="both"/>
        <w:rPr>
          <w:rFonts w:ascii="Times New Roman" w:eastAsia="Times New Roman" w:hAnsi="Times New Roman" w:cs="Times New Roman"/>
        </w:rPr>
      </w:pPr>
    </w:p>
    <w:p w14:paraId="763664C6" w14:textId="77777777" w:rsidR="00E76A40" w:rsidRDefault="00937A18">
      <w:pPr>
        <w:jc w:val="both"/>
        <w:rPr>
          <w:rFonts w:ascii="Times New Roman" w:eastAsia="Times New Roman" w:hAnsi="Times New Roman" w:cs="Times New Roman"/>
          <w:b/>
        </w:rPr>
      </w:pPr>
      <w:r>
        <w:rPr>
          <w:rFonts w:ascii="Times New Roman" w:eastAsia="Times New Roman" w:hAnsi="Times New Roman" w:cs="Times New Roman"/>
          <w:b/>
        </w:rPr>
        <w:t>6.4. Cronograma.</w:t>
      </w:r>
    </w:p>
    <w:p w14:paraId="1FC4EDC7" w14:textId="77777777" w:rsidR="00E76A40" w:rsidRDefault="00E76A40">
      <w:pPr>
        <w:jc w:val="both"/>
        <w:rPr>
          <w:rFonts w:ascii="Times New Roman" w:eastAsia="Times New Roman" w:hAnsi="Times New Roman" w:cs="Times New Roman"/>
        </w:rPr>
      </w:pPr>
    </w:p>
    <w:p w14:paraId="60E2A9B5" w14:textId="77777777" w:rsidR="00E76A40" w:rsidRDefault="00E76A40">
      <w:pPr>
        <w:jc w:val="both"/>
        <w:rPr>
          <w:rFonts w:ascii="Times New Roman" w:eastAsia="Times New Roman" w:hAnsi="Times New Roman" w:cs="Times New Roman"/>
        </w:rPr>
      </w:pPr>
    </w:p>
    <w:tbl>
      <w:tblPr>
        <w:tblStyle w:val="a1"/>
        <w:tblW w:w="9510" w:type="dxa"/>
        <w:tblInd w:w="-660" w:type="dxa"/>
        <w:tblBorders>
          <w:top w:val="nil"/>
          <w:left w:val="nil"/>
          <w:bottom w:val="nil"/>
          <w:right w:val="nil"/>
          <w:insideH w:val="nil"/>
          <w:insideV w:val="nil"/>
        </w:tblBorders>
        <w:tblLayout w:type="fixed"/>
        <w:tblLook w:val="0600" w:firstRow="0" w:lastRow="0" w:firstColumn="0" w:lastColumn="0" w:noHBand="1" w:noVBand="1"/>
      </w:tblPr>
      <w:tblGrid>
        <w:gridCol w:w="2115"/>
        <w:gridCol w:w="1065"/>
        <w:gridCol w:w="1020"/>
        <w:gridCol w:w="705"/>
        <w:gridCol w:w="795"/>
        <w:gridCol w:w="705"/>
        <w:gridCol w:w="600"/>
        <w:gridCol w:w="615"/>
        <w:gridCol w:w="615"/>
        <w:gridCol w:w="555"/>
        <w:gridCol w:w="720"/>
      </w:tblGrid>
      <w:tr w:rsidR="00E76A40" w14:paraId="23402F9E" w14:textId="77777777">
        <w:trPr>
          <w:trHeight w:val="285"/>
        </w:trPr>
        <w:tc>
          <w:tcPr>
            <w:tcW w:w="2115" w:type="dxa"/>
            <w:vMerge w:val="restart"/>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tcPr>
          <w:p w14:paraId="72956A5B" w14:textId="77777777" w:rsidR="00E76A40" w:rsidRDefault="00E76A40">
            <w:pPr>
              <w:spacing w:before="240" w:line="276" w:lineRule="auto"/>
              <w:rPr>
                <w:rFonts w:ascii="Times New Roman" w:eastAsia="Times New Roman" w:hAnsi="Times New Roman" w:cs="Times New Roman"/>
                <w:b/>
                <w:sz w:val="18"/>
                <w:szCs w:val="18"/>
              </w:rPr>
            </w:pPr>
          </w:p>
          <w:p w14:paraId="691E0A96" w14:textId="77777777" w:rsidR="00E76A40" w:rsidRDefault="00937A18">
            <w:pPr>
              <w:spacing w:before="240" w:line="276" w:lineRule="auto"/>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Actividades</w:t>
            </w:r>
          </w:p>
        </w:tc>
        <w:tc>
          <w:tcPr>
            <w:tcW w:w="2085" w:type="dxa"/>
            <w:gridSpan w:val="2"/>
            <w:tcBorders>
              <w:top w:val="single" w:sz="5" w:space="0" w:color="000000"/>
              <w:left w:val="nil"/>
              <w:bottom w:val="single" w:sz="5" w:space="0" w:color="000000"/>
              <w:right w:val="single" w:sz="5" w:space="0" w:color="000000"/>
            </w:tcBorders>
            <w:tcMar>
              <w:top w:w="0" w:type="dxa"/>
              <w:left w:w="80" w:type="dxa"/>
              <w:bottom w:w="0" w:type="dxa"/>
              <w:right w:w="80" w:type="dxa"/>
            </w:tcMar>
          </w:tcPr>
          <w:p w14:paraId="4088FB20" w14:textId="77777777" w:rsidR="00E76A40" w:rsidRDefault="00937A18">
            <w:pPr>
              <w:spacing w:before="240" w:line="276" w:lineRule="auto"/>
              <w:ind w:left="280"/>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2025</w:t>
            </w:r>
          </w:p>
        </w:tc>
        <w:tc>
          <w:tcPr>
            <w:tcW w:w="5310" w:type="dxa"/>
            <w:gridSpan w:val="8"/>
            <w:tcBorders>
              <w:top w:val="single" w:sz="5" w:space="0" w:color="000000"/>
              <w:left w:val="nil"/>
              <w:bottom w:val="single" w:sz="5" w:space="0" w:color="000000"/>
              <w:right w:val="single" w:sz="5" w:space="0" w:color="000000"/>
            </w:tcBorders>
            <w:shd w:val="clear" w:color="auto" w:fill="auto"/>
            <w:tcMar>
              <w:top w:w="0" w:type="dxa"/>
              <w:left w:w="80" w:type="dxa"/>
              <w:bottom w:w="0" w:type="dxa"/>
              <w:right w:w="80" w:type="dxa"/>
            </w:tcMar>
          </w:tcPr>
          <w:p w14:paraId="6216E446" w14:textId="77777777" w:rsidR="00E76A40" w:rsidRDefault="00937A18">
            <w:pPr>
              <w:spacing w:before="240" w:line="276" w:lineRule="auto"/>
              <w:ind w:left="280"/>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Año 2026</w:t>
            </w:r>
          </w:p>
        </w:tc>
      </w:tr>
      <w:tr w:rsidR="00E76A40" w14:paraId="3ABB01C9" w14:textId="77777777">
        <w:trPr>
          <w:trHeight w:val="570"/>
        </w:trPr>
        <w:tc>
          <w:tcPr>
            <w:tcW w:w="211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06F803C" w14:textId="77777777" w:rsidR="00E76A40" w:rsidRDefault="00E76A40">
            <w:pPr>
              <w:ind w:left="280"/>
              <w:jc w:val="both"/>
              <w:rPr>
                <w:rFonts w:ascii="Times New Roman" w:eastAsia="Times New Roman" w:hAnsi="Times New Roman" w:cs="Times New Roman"/>
              </w:rPr>
            </w:pPr>
          </w:p>
        </w:tc>
        <w:tc>
          <w:tcPr>
            <w:tcW w:w="106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009774B6" w14:textId="77777777" w:rsidR="00E76A40" w:rsidRDefault="00937A18">
            <w:pPr>
              <w:spacing w:before="240" w:line="276"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Noviembre</w:t>
            </w:r>
          </w:p>
        </w:tc>
        <w:tc>
          <w:tcPr>
            <w:tcW w:w="10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4D6527C8" w14:textId="77777777" w:rsidR="00E76A40" w:rsidRDefault="00937A18">
            <w:pPr>
              <w:spacing w:before="240" w:line="276"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Diciembre</w:t>
            </w:r>
          </w:p>
        </w:tc>
        <w:tc>
          <w:tcPr>
            <w:tcW w:w="70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3CB4104E" w14:textId="77777777" w:rsidR="00E76A40" w:rsidRDefault="00937A18">
            <w:pPr>
              <w:spacing w:before="240" w:line="276"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Enero</w:t>
            </w:r>
          </w:p>
        </w:tc>
        <w:tc>
          <w:tcPr>
            <w:tcW w:w="79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62E24DCF" w14:textId="77777777" w:rsidR="00E76A40" w:rsidRDefault="00937A18">
            <w:pPr>
              <w:spacing w:before="240" w:line="276"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Febrero</w:t>
            </w:r>
          </w:p>
        </w:tc>
        <w:tc>
          <w:tcPr>
            <w:tcW w:w="70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1ECFF75C" w14:textId="77777777" w:rsidR="00E76A40" w:rsidRDefault="00937A18">
            <w:pPr>
              <w:spacing w:before="240" w:line="276"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Marzo</w:t>
            </w:r>
          </w:p>
        </w:tc>
        <w:tc>
          <w:tcPr>
            <w:tcW w:w="60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2B51533F" w14:textId="77777777" w:rsidR="00E76A40" w:rsidRDefault="00937A18">
            <w:pPr>
              <w:spacing w:before="240" w:line="276"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Abril</w:t>
            </w:r>
          </w:p>
        </w:tc>
        <w:tc>
          <w:tcPr>
            <w:tcW w:w="61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69F37505" w14:textId="77777777" w:rsidR="00E76A40" w:rsidRDefault="00937A18">
            <w:pPr>
              <w:spacing w:before="240" w:line="276"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Mayo</w:t>
            </w:r>
          </w:p>
        </w:tc>
        <w:tc>
          <w:tcPr>
            <w:tcW w:w="61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3BDD388D" w14:textId="77777777" w:rsidR="00E76A40" w:rsidRDefault="00937A18">
            <w:pPr>
              <w:spacing w:before="240" w:line="276"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Junio</w:t>
            </w:r>
          </w:p>
        </w:tc>
        <w:tc>
          <w:tcPr>
            <w:tcW w:w="55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30CF5D1A" w14:textId="77777777" w:rsidR="00E76A40" w:rsidRDefault="00937A18">
            <w:pPr>
              <w:spacing w:before="240" w:line="276"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Julio</w:t>
            </w:r>
          </w:p>
        </w:tc>
        <w:tc>
          <w:tcPr>
            <w:tcW w:w="7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1E338D28" w14:textId="77777777" w:rsidR="00E76A40" w:rsidRDefault="00937A18">
            <w:pPr>
              <w:spacing w:before="240" w:line="276"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Agosto</w:t>
            </w:r>
          </w:p>
        </w:tc>
      </w:tr>
      <w:tr w:rsidR="00E76A40" w14:paraId="1A59841A" w14:textId="77777777">
        <w:trPr>
          <w:trHeight w:val="696"/>
        </w:trPr>
        <w:tc>
          <w:tcPr>
            <w:tcW w:w="2115" w:type="dxa"/>
            <w:tcBorders>
              <w:top w:val="nil"/>
              <w:left w:val="single" w:sz="5" w:space="0" w:color="000000"/>
              <w:bottom w:val="single" w:sz="5" w:space="0" w:color="000000"/>
              <w:right w:val="single" w:sz="5" w:space="0" w:color="000000"/>
            </w:tcBorders>
            <w:shd w:val="clear" w:color="auto" w:fill="auto"/>
            <w:tcMar>
              <w:top w:w="0" w:type="dxa"/>
              <w:left w:w="80" w:type="dxa"/>
              <w:bottom w:w="0" w:type="dxa"/>
              <w:right w:w="80" w:type="dxa"/>
            </w:tcMar>
          </w:tcPr>
          <w:p w14:paraId="33405616" w14:textId="77777777" w:rsidR="00E76A40" w:rsidRDefault="00937A18">
            <w:pPr>
              <w:spacing w:line="276" w:lineRule="auto"/>
              <w:jc w:val="both"/>
              <w:rPr>
                <w:rFonts w:ascii="Times New Roman" w:eastAsia="Times New Roman" w:hAnsi="Times New Roman" w:cs="Times New Roman"/>
                <w:i/>
                <w:sz w:val="18"/>
                <w:szCs w:val="18"/>
              </w:rPr>
            </w:pPr>
            <w:r>
              <w:rPr>
                <w:rFonts w:ascii="Times New Roman" w:eastAsia="Times New Roman" w:hAnsi="Times New Roman" w:cs="Times New Roman"/>
                <w:sz w:val="18"/>
                <w:szCs w:val="18"/>
              </w:rPr>
              <w:t xml:space="preserve">Preparación de semillas y de medio de cultivo para establecimiento </w:t>
            </w:r>
            <w:r>
              <w:rPr>
                <w:rFonts w:ascii="Times New Roman" w:eastAsia="Times New Roman" w:hAnsi="Times New Roman" w:cs="Times New Roman"/>
                <w:i/>
                <w:sz w:val="18"/>
                <w:szCs w:val="18"/>
              </w:rPr>
              <w:t>in vitro</w:t>
            </w:r>
          </w:p>
        </w:tc>
        <w:tc>
          <w:tcPr>
            <w:tcW w:w="1065" w:type="dxa"/>
            <w:tcBorders>
              <w:top w:val="nil"/>
              <w:left w:val="nil"/>
              <w:bottom w:val="single" w:sz="5" w:space="0" w:color="000000"/>
              <w:right w:val="single" w:sz="5" w:space="0" w:color="000000"/>
            </w:tcBorders>
            <w:shd w:val="clear" w:color="auto" w:fill="93C47D"/>
            <w:tcMar>
              <w:top w:w="0" w:type="dxa"/>
              <w:left w:w="80" w:type="dxa"/>
              <w:bottom w:w="0" w:type="dxa"/>
              <w:right w:w="80" w:type="dxa"/>
            </w:tcMar>
          </w:tcPr>
          <w:p w14:paraId="46334A35"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X</w:t>
            </w:r>
          </w:p>
        </w:tc>
        <w:tc>
          <w:tcPr>
            <w:tcW w:w="10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38B2A048"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0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37BBB982"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9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37C8716A"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0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1FB3CA66"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0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4F686B31"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1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73E52338"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1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3885152E"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55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648A4686"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27C06117"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r>
      <w:tr w:rsidR="00E76A40" w14:paraId="554D2F0E" w14:textId="77777777">
        <w:trPr>
          <w:trHeight w:val="696"/>
        </w:trPr>
        <w:tc>
          <w:tcPr>
            <w:tcW w:w="2115" w:type="dxa"/>
            <w:tcBorders>
              <w:top w:val="nil"/>
              <w:left w:val="single" w:sz="5" w:space="0" w:color="000000"/>
              <w:bottom w:val="single" w:sz="5" w:space="0" w:color="000000"/>
              <w:right w:val="single" w:sz="5" w:space="0" w:color="000000"/>
            </w:tcBorders>
            <w:shd w:val="clear" w:color="auto" w:fill="auto"/>
            <w:tcMar>
              <w:top w:w="0" w:type="dxa"/>
              <w:left w:w="80" w:type="dxa"/>
              <w:bottom w:w="0" w:type="dxa"/>
              <w:right w:w="80" w:type="dxa"/>
            </w:tcMar>
          </w:tcPr>
          <w:p w14:paraId="772D9DA1" w14:textId="77777777" w:rsidR="00E76A40" w:rsidRDefault="00937A18">
            <w:pPr>
              <w:spacing w:line="276"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Establecimiento </w:t>
            </w:r>
            <w:r>
              <w:rPr>
                <w:rFonts w:ascii="Times New Roman" w:eastAsia="Times New Roman" w:hAnsi="Times New Roman" w:cs="Times New Roman"/>
                <w:i/>
                <w:sz w:val="18"/>
                <w:szCs w:val="18"/>
              </w:rPr>
              <w:t xml:space="preserve">in vitro </w:t>
            </w:r>
            <w:r>
              <w:rPr>
                <w:rFonts w:ascii="Times New Roman" w:eastAsia="Times New Roman" w:hAnsi="Times New Roman" w:cs="Times New Roman"/>
                <w:sz w:val="18"/>
                <w:szCs w:val="18"/>
              </w:rPr>
              <w:t>de semillas y plántulas  de Greigia sp.</w:t>
            </w:r>
          </w:p>
        </w:tc>
        <w:tc>
          <w:tcPr>
            <w:tcW w:w="106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2C050E91"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020" w:type="dxa"/>
            <w:tcBorders>
              <w:top w:val="nil"/>
              <w:left w:val="nil"/>
              <w:bottom w:val="single" w:sz="5" w:space="0" w:color="000000"/>
              <w:right w:val="single" w:sz="5" w:space="0" w:color="000000"/>
            </w:tcBorders>
            <w:shd w:val="clear" w:color="auto" w:fill="93C47D"/>
            <w:tcMar>
              <w:top w:w="0" w:type="dxa"/>
              <w:left w:w="80" w:type="dxa"/>
              <w:bottom w:w="0" w:type="dxa"/>
              <w:right w:w="80" w:type="dxa"/>
            </w:tcMar>
          </w:tcPr>
          <w:p w14:paraId="590CABDD"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X</w:t>
            </w:r>
          </w:p>
        </w:tc>
        <w:tc>
          <w:tcPr>
            <w:tcW w:w="705" w:type="dxa"/>
            <w:tcBorders>
              <w:top w:val="nil"/>
              <w:left w:val="nil"/>
              <w:bottom w:val="single" w:sz="5" w:space="0" w:color="000000"/>
              <w:right w:val="single" w:sz="5" w:space="0" w:color="000000"/>
            </w:tcBorders>
            <w:shd w:val="clear" w:color="auto" w:fill="93C47D"/>
            <w:tcMar>
              <w:top w:w="0" w:type="dxa"/>
              <w:left w:w="80" w:type="dxa"/>
              <w:bottom w:w="0" w:type="dxa"/>
              <w:right w:w="80" w:type="dxa"/>
            </w:tcMar>
          </w:tcPr>
          <w:p w14:paraId="562A194C"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X</w:t>
            </w:r>
          </w:p>
        </w:tc>
        <w:tc>
          <w:tcPr>
            <w:tcW w:w="79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2819548C"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0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6ECD53D3"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0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5615C51B"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1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1C37759A"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1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16A751CA"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55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2BF978BE"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1C99DA02"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r>
      <w:tr w:rsidR="00E76A40" w14:paraId="41DE1D1A" w14:textId="77777777">
        <w:trPr>
          <w:trHeight w:val="702"/>
        </w:trPr>
        <w:tc>
          <w:tcPr>
            <w:tcW w:w="2115" w:type="dxa"/>
            <w:tcBorders>
              <w:top w:val="nil"/>
              <w:left w:val="single" w:sz="5" w:space="0" w:color="000000"/>
              <w:bottom w:val="single" w:sz="5" w:space="0" w:color="000000"/>
              <w:right w:val="single" w:sz="5" w:space="0" w:color="000000"/>
            </w:tcBorders>
            <w:shd w:val="clear" w:color="auto" w:fill="auto"/>
            <w:tcMar>
              <w:top w:w="0" w:type="dxa"/>
              <w:left w:w="80" w:type="dxa"/>
              <w:bottom w:w="0" w:type="dxa"/>
              <w:right w:w="80" w:type="dxa"/>
            </w:tcMar>
          </w:tcPr>
          <w:p w14:paraId="0D130BFF" w14:textId="77777777" w:rsidR="00E76A40" w:rsidRDefault="00937A18">
            <w:pPr>
              <w:spacing w:line="276"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Preparación de medio de </w:t>
            </w:r>
            <w:r>
              <w:rPr>
                <w:rFonts w:ascii="Times New Roman" w:eastAsia="Times New Roman" w:hAnsi="Times New Roman" w:cs="Times New Roman"/>
                <w:sz w:val="18"/>
                <w:szCs w:val="18"/>
              </w:rPr>
              <w:t>cultivo y  multiplicación de Greigia sp.</w:t>
            </w:r>
          </w:p>
        </w:tc>
        <w:tc>
          <w:tcPr>
            <w:tcW w:w="106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2EBFFC4C"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0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163EAE1A"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0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7DA9E1A6"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95" w:type="dxa"/>
            <w:tcBorders>
              <w:top w:val="nil"/>
              <w:left w:val="nil"/>
              <w:bottom w:val="single" w:sz="5" w:space="0" w:color="000000"/>
              <w:right w:val="single" w:sz="5" w:space="0" w:color="000000"/>
            </w:tcBorders>
            <w:shd w:val="clear" w:color="auto" w:fill="93C47D"/>
            <w:tcMar>
              <w:top w:w="0" w:type="dxa"/>
              <w:left w:w="80" w:type="dxa"/>
              <w:bottom w:w="0" w:type="dxa"/>
              <w:right w:w="80" w:type="dxa"/>
            </w:tcMar>
          </w:tcPr>
          <w:p w14:paraId="7942A512"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X</w:t>
            </w:r>
          </w:p>
        </w:tc>
        <w:tc>
          <w:tcPr>
            <w:tcW w:w="705" w:type="dxa"/>
            <w:tcBorders>
              <w:top w:val="nil"/>
              <w:left w:val="nil"/>
              <w:bottom w:val="single" w:sz="5" w:space="0" w:color="000000"/>
              <w:right w:val="single" w:sz="5" w:space="0" w:color="000000"/>
            </w:tcBorders>
            <w:shd w:val="clear" w:color="auto" w:fill="93C47D"/>
            <w:tcMar>
              <w:top w:w="0" w:type="dxa"/>
              <w:left w:w="80" w:type="dxa"/>
              <w:bottom w:w="0" w:type="dxa"/>
              <w:right w:w="80" w:type="dxa"/>
            </w:tcMar>
          </w:tcPr>
          <w:p w14:paraId="0CC3A8D7"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X</w:t>
            </w:r>
          </w:p>
        </w:tc>
        <w:tc>
          <w:tcPr>
            <w:tcW w:w="60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4930F8FA"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1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76CC637C"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1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1A1195FE"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55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2FB3F430"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25AB90C8"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r>
      <w:tr w:rsidR="00E76A40" w14:paraId="2876D2B9" w14:textId="77777777">
        <w:trPr>
          <w:trHeight w:val="716"/>
        </w:trPr>
        <w:tc>
          <w:tcPr>
            <w:tcW w:w="2115" w:type="dxa"/>
            <w:tcBorders>
              <w:top w:val="nil"/>
              <w:left w:val="single" w:sz="5" w:space="0" w:color="000000"/>
              <w:bottom w:val="single" w:sz="5" w:space="0" w:color="000000"/>
              <w:right w:val="single" w:sz="5" w:space="0" w:color="000000"/>
            </w:tcBorders>
            <w:shd w:val="clear" w:color="auto" w:fill="auto"/>
            <w:tcMar>
              <w:top w:w="0" w:type="dxa"/>
              <w:left w:w="80" w:type="dxa"/>
              <w:bottom w:w="0" w:type="dxa"/>
              <w:right w:w="80" w:type="dxa"/>
            </w:tcMar>
          </w:tcPr>
          <w:p w14:paraId="010F3D20" w14:textId="77777777" w:rsidR="00E76A40" w:rsidRDefault="00937A18">
            <w:pPr>
              <w:spacing w:line="276"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Evaluación de variables del objetivo específico 1 y 2</w:t>
            </w:r>
          </w:p>
        </w:tc>
        <w:tc>
          <w:tcPr>
            <w:tcW w:w="106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40A89D76"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0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1FAD917C"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0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60B30A47"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9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4F9E2387"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05" w:type="dxa"/>
            <w:tcBorders>
              <w:top w:val="nil"/>
              <w:left w:val="nil"/>
              <w:bottom w:val="single" w:sz="5" w:space="0" w:color="000000"/>
              <w:right w:val="single" w:sz="5" w:space="0" w:color="000000"/>
            </w:tcBorders>
            <w:shd w:val="clear" w:color="auto" w:fill="93C47D"/>
            <w:tcMar>
              <w:top w:w="0" w:type="dxa"/>
              <w:left w:w="80" w:type="dxa"/>
              <w:bottom w:w="0" w:type="dxa"/>
              <w:right w:w="80" w:type="dxa"/>
            </w:tcMar>
          </w:tcPr>
          <w:p w14:paraId="00C5D4CD"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X</w:t>
            </w:r>
          </w:p>
        </w:tc>
        <w:tc>
          <w:tcPr>
            <w:tcW w:w="60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40817F62"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1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4300B44F"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1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0D121A9C"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55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0A939955"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5B6E105E"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r>
      <w:tr w:rsidR="00E76A40" w14:paraId="69E36929" w14:textId="77777777">
        <w:trPr>
          <w:trHeight w:val="702"/>
        </w:trPr>
        <w:tc>
          <w:tcPr>
            <w:tcW w:w="2115" w:type="dxa"/>
            <w:tcBorders>
              <w:top w:val="nil"/>
              <w:left w:val="single" w:sz="5" w:space="0" w:color="000000"/>
              <w:bottom w:val="single" w:sz="5" w:space="0" w:color="000000"/>
              <w:right w:val="single" w:sz="5" w:space="0" w:color="000000"/>
            </w:tcBorders>
            <w:shd w:val="clear" w:color="auto" w:fill="auto"/>
            <w:tcMar>
              <w:top w:w="0" w:type="dxa"/>
              <w:left w:w="80" w:type="dxa"/>
              <w:bottom w:w="0" w:type="dxa"/>
              <w:right w:w="80" w:type="dxa"/>
            </w:tcMar>
          </w:tcPr>
          <w:p w14:paraId="717EBE3F" w14:textId="77777777" w:rsidR="00E76A40" w:rsidRDefault="00937A18">
            <w:pPr>
              <w:spacing w:line="276"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Preparación de medio de cultivo y  enraizamiento de brotes</w:t>
            </w:r>
          </w:p>
        </w:tc>
        <w:tc>
          <w:tcPr>
            <w:tcW w:w="106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26557C30"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0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3889F64F"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0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1FBB095F"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9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65633EBA"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0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2B6A4EC5"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00" w:type="dxa"/>
            <w:tcBorders>
              <w:top w:val="nil"/>
              <w:left w:val="nil"/>
              <w:bottom w:val="single" w:sz="5" w:space="0" w:color="000000"/>
              <w:right w:val="single" w:sz="5" w:space="0" w:color="000000"/>
            </w:tcBorders>
            <w:shd w:val="clear" w:color="auto" w:fill="93C47D"/>
            <w:tcMar>
              <w:top w:w="0" w:type="dxa"/>
              <w:left w:w="80" w:type="dxa"/>
              <w:bottom w:w="0" w:type="dxa"/>
              <w:right w:w="80" w:type="dxa"/>
            </w:tcMar>
          </w:tcPr>
          <w:p w14:paraId="285CB64E"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X</w:t>
            </w:r>
          </w:p>
        </w:tc>
        <w:tc>
          <w:tcPr>
            <w:tcW w:w="615" w:type="dxa"/>
            <w:tcBorders>
              <w:top w:val="nil"/>
              <w:left w:val="nil"/>
              <w:bottom w:val="single" w:sz="5" w:space="0" w:color="000000"/>
              <w:right w:val="single" w:sz="5" w:space="0" w:color="000000"/>
            </w:tcBorders>
            <w:shd w:val="clear" w:color="auto" w:fill="93C47D"/>
            <w:tcMar>
              <w:top w:w="0" w:type="dxa"/>
              <w:left w:w="80" w:type="dxa"/>
              <w:bottom w:w="0" w:type="dxa"/>
              <w:right w:w="80" w:type="dxa"/>
            </w:tcMar>
          </w:tcPr>
          <w:p w14:paraId="07CAA6E8"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X</w:t>
            </w:r>
          </w:p>
        </w:tc>
        <w:tc>
          <w:tcPr>
            <w:tcW w:w="615" w:type="dxa"/>
            <w:tcBorders>
              <w:top w:val="nil"/>
              <w:left w:val="nil"/>
              <w:bottom w:val="single" w:sz="5" w:space="0" w:color="000000"/>
              <w:right w:val="single" w:sz="5" w:space="0" w:color="000000"/>
            </w:tcBorders>
            <w:shd w:val="clear" w:color="auto" w:fill="93C47D"/>
            <w:tcMar>
              <w:top w:w="0" w:type="dxa"/>
              <w:left w:w="80" w:type="dxa"/>
              <w:bottom w:w="0" w:type="dxa"/>
              <w:right w:w="80" w:type="dxa"/>
            </w:tcMar>
          </w:tcPr>
          <w:p w14:paraId="0471BA39"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X</w:t>
            </w:r>
          </w:p>
        </w:tc>
        <w:tc>
          <w:tcPr>
            <w:tcW w:w="55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1A01C911"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518B5908"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r>
      <w:tr w:rsidR="00E76A40" w14:paraId="2DC2D887" w14:textId="77777777">
        <w:trPr>
          <w:trHeight w:val="614"/>
        </w:trPr>
        <w:tc>
          <w:tcPr>
            <w:tcW w:w="2115" w:type="dxa"/>
            <w:tcBorders>
              <w:top w:val="nil"/>
              <w:left w:val="single" w:sz="5" w:space="0" w:color="000000"/>
              <w:bottom w:val="single" w:sz="5" w:space="0" w:color="000000"/>
              <w:right w:val="single" w:sz="5" w:space="0" w:color="000000"/>
            </w:tcBorders>
            <w:shd w:val="clear" w:color="auto" w:fill="auto"/>
            <w:tcMar>
              <w:top w:w="0" w:type="dxa"/>
              <w:left w:w="80" w:type="dxa"/>
              <w:bottom w:w="0" w:type="dxa"/>
              <w:right w:w="80" w:type="dxa"/>
            </w:tcMar>
          </w:tcPr>
          <w:p w14:paraId="54464141" w14:textId="77777777" w:rsidR="00E76A40" w:rsidRDefault="00937A18">
            <w:pPr>
              <w:spacing w:line="276"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Evaluación de variables del objetivo </w:t>
            </w:r>
            <w:r>
              <w:rPr>
                <w:rFonts w:ascii="Times New Roman" w:eastAsia="Times New Roman" w:hAnsi="Times New Roman" w:cs="Times New Roman"/>
                <w:sz w:val="18"/>
                <w:szCs w:val="18"/>
              </w:rPr>
              <w:t>específico 3</w:t>
            </w:r>
          </w:p>
        </w:tc>
        <w:tc>
          <w:tcPr>
            <w:tcW w:w="106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26424204"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0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56EB6067"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0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1EDE3E2A"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9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4F039691"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0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57B41330"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0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32510276"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1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68D84387"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15" w:type="dxa"/>
            <w:tcBorders>
              <w:top w:val="nil"/>
              <w:left w:val="nil"/>
              <w:bottom w:val="single" w:sz="5" w:space="0" w:color="000000"/>
              <w:right w:val="single" w:sz="5" w:space="0" w:color="000000"/>
            </w:tcBorders>
            <w:shd w:val="clear" w:color="auto" w:fill="93C47D"/>
            <w:tcMar>
              <w:top w:w="0" w:type="dxa"/>
              <w:left w:w="80" w:type="dxa"/>
              <w:bottom w:w="0" w:type="dxa"/>
              <w:right w:w="80" w:type="dxa"/>
            </w:tcMar>
          </w:tcPr>
          <w:p w14:paraId="4BA38A01"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X</w:t>
            </w:r>
          </w:p>
        </w:tc>
        <w:tc>
          <w:tcPr>
            <w:tcW w:w="555" w:type="dxa"/>
            <w:tcBorders>
              <w:top w:val="nil"/>
              <w:left w:val="nil"/>
              <w:bottom w:val="single" w:sz="5" w:space="0" w:color="000000"/>
              <w:right w:val="single" w:sz="5" w:space="0" w:color="000000"/>
            </w:tcBorders>
            <w:shd w:val="clear" w:color="auto" w:fill="93C47D"/>
            <w:tcMar>
              <w:top w:w="0" w:type="dxa"/>
              <w:left w:w="80" w:type="dxa"/>
              <w:bottom w:w="0" w:type="dxa"/>
              <w:right w:w="80" w:type="dxa"/>
            </w:tcMar>
          </w:tcPr>
          <w:p w14:paraId="5BF21AC8"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X</w:t>
            </w:r>
          </w:p>
        </w:tc>
        <w:tc>
          <w:tcPr>
            <w:tcW w:w="7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71FA635D"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r>
      <w:tr w:rsidR="00E76A40" w14:paraId="7AFB4062" w14:textId="77777777">
        <w:trPr>
          <w:trHeight w:val="765"/>
        </w:trPr>
        <w:tc>
          <w:tcPr>
            <w:tcW w:w="2115" w:type="dxa"/>
            <w:tcBorders>
              <w:top w:val="nil"/>
              <w:left w:val="single" w:sz="5" w:space="0" w:color="000000"/>
              <w:bottom w:val="single" w:sz="5" w:space="0" w:color="000000"/>
              <w:right w:val="single" w:sz="5" w:space="0" w:color="000000"/>
            </w:tcBorders>
            <w:shd w:val="clear" w:color="auto" w:fill="auto"/>
            <w:tcMar>
              <w:top w:w="0" w:type="dxa"/>
              <w:left w:w="80" w:type="dxa"/>
              <w:bottom w:w="0" w:type="dxa"/>
              <w:right w:w="80" w:type="dxa"/>
            </w:tcMar>
          </w:tcPr>
          <w:p w14:paraId="26F9828B" w14:textId="77777777" w:rsidR="00E76A40" w:rsidRDefault="00937A18">
            <w:pPr>
              <w:spacing w:line="276"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Procesamiento de datos y redacción de informe de tesis</w:t>
            </w:r>
          </w:p>
        </w:tc>
        <w:tc>
          <w:tcPr>
            <w:tcW w:w="106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4D11DD9F"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02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416FEF68"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0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7E405007"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9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044B284A"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70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52554937"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00"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2CE6B4DF"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1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29B5AC73"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615" w:type="dxa"/>
            <w:tcBorders>
              <w:top w:val="nil"/>
              <w:left w:val="nil"/>
              <w:bottom w:val="single" w:sz="5" w:space="0" w:color="000000"/>
              <w:right w:val="single" w:sz="5" w:space="0" w:color="000000"/>
            </w:tcBorders>
            <w:shd w:val="clear" w:color="auto" w:fill="auto"/>
            <w:tcMar>
              <w:top w:w="0" w:type="dxa"/>
              <w:left w:w="80" w:type="dxa"/>
              <w:bottom w:w="0" w:type="dxa"/>
              <w:right w:w="80" w:type="dxa"/>
            </w:tcMar>
          </w:tcPr>
          <w:p w14:paraId="39A57EA9" w14:textId="77777777" w:rsidR="00E76A40" w:rsidRDefault="00937A18">
            <w:pPr>
              <w:spacing w:before="240" w:line="276" w:lineRule="auto"/>
              <w:ind w:left="2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555" w:type="dxa"/>
            <w:tcBorders>
              <w:top w:val="nil"/>
              <w:left w:val="nil"/>
              <w:bottom w:val="single" w:sz="5" w:space="0" w:color="000000"/>
              <w:right w:val="single" w:sz="5" w:space="0" w:color="000000"/>
            </w:tcBorders>
            <w:shd w:val="clear" w:color="auto" w:fill="93C47D"/>
            <w:tcMar>
              <w:top w:w="0" w:type="dxa"/>
              <w:left w:w="80" w:type="dxa"/>
              <w:bottom w:w="0" w:type="dxa"/>
              <w:right w:w="80" w:type="dxa"/>
            </w:tcMar>
          </w:tcPr>
          <w:p w14:paraId="1CF8ECCB"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X</w:t>
            </w:r>
          </w:p>
        </w:tc>
        <w:tc>
          <w:tcPr>
            <w:tcW w:w="720" w:type="dxa"/>
            <w:tcBorders>
              <w:top w:val="nil"/>
              <w:left w:val="nil"/>
              <w:bottom w:val="single" w:sz="5" w:space="0" w:color="000000"/>
              <w:right w:val="single" w:sz="5" w:space="0" w:color="000000"/>
            </w:tcBorders>
            <w:shd w:val="clear" w:color="auto" w:fill="93C47D"/>
            <w:tcMar>
              <w:top w:w="0" w:type="dxa"/>
              <w:left w:w="80" w:type="dxa"/>
              <w:bottom w:w="0" w:type="dxa"/>
              <w:right w:w="80" w:type="dxa"/>
            </w:tcMar>
          </w:tcPr>
          <w:p w14:paraId="14A0E198" w14:textId="77777777" w:rsidR="00E76A40" w:rsidRDefault="00937A18">
            <w:pPr>
              <w:spacing w:before="240" w:line="276" w:lineRule="auto"/>
              <w:ind w:left="2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X</w:t>
            </w:r>
          </w:p>
        </w:tc>
      </w:tr>
    </w:tbl>
    <w:p w14:paraId="13E1EA56" w14:textId="77777777" w:rsidR="00E76A40" w:rsidRDefault="00E76A40">
      <w:pPr>
        <w:jc w:val="both"/>
        <w:rPr>
          <w:rFonts w:ascii="Times New Roman" w:eastAsia="Times New Roman" w:hAnsi="Times New Roman" w:cs="Times New Roman"/>
          <w:b/>
        </w:rPr>
      </w:pPr>
    </w:p>
    <w:p w14:paraId="5CE7ACF2" w14:textId="77777777" w:rsidR="00E76A40" w:rsidRDefault="00E76A40">
      <w:pPr>
        <w:jc w:val="both"/>
        <w:rPr>
          <w:rFonts w:ascii="Times New Roman" w:eastAsia="Times New Roman" w:hAnsi="Times New Roman" w:cs="Times New Roman"/>
          <w:b/>
        </w:rPr>
      </w:pPr>
    </w:p>
    <w:p w14:paraId="3EE2B999" w14:textId="77777777" w:rsidR="00E76A40" w:rsidRDefault="00937A18">
      <w:pPr>
        <w:jc w:val="both"/>
        <w:rPr>
          <w:rFonts w:ascii="Times New Roman" w:eastAsia="Times New Roman" w:hAnsi="Times New Roman" w:cs="Times New Roman"/>
          <w:b/>
        </w:rPr>
      </w:pPr>
      <w:r>
        <w:rPr>
          <w:rFonts w:ascii="Times New Roman" w:eastAsia="Times New Roman" w:hAnsi="Times New Roman" w:cs="Times New Roman"/>
          <w:b/>
        </w:rPr>
        <w:t>6.5. Análisis de datos.</w:t>
      </w:r>
    </w:p>
    <w:p w14:paraId="6D703046" w14:textId="1E4FE422" w:rsidR="00E76A40" w:rsidRDefault="00937A18" w:rsidP="00937A1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análisis de las diferencias estadísticas significativas para cada parámetro evaluado se realizará un análisis </w:t>
      </w:r>
      <w:r>
        <w:rPr>
          <w:rFonts w:ascii="Times New Roman" w:eastAsia="Times New Roman" w:hAnsi="Times New Roman" w:cs="Times New Roman"/>
        </w:rPr>
        <w:t>unidireccional de la varianza (ANOVA)</w:t>
      </w:r>
      <w:r w:rsidR="00DC1A20">
        <w:rPr>
          <w:rFonts w:ascii="Times New Roman" w:eastAsia="Times New Roman" w:hAnsi="Times New Roman" w:cs="Times New Roman"/>
        </w:rPr>
        <w:t xml:space="preserve"> utilizando el software R Studio</w:t>
      </w:r>
      <w:r>
        <w:rPr>
          <w:rFonts w:ascii="Times New Roman" w:eastAsia="Times New Roman" w:hAnsi="Times New Roman" w:cs="Times New Roman"/>
        </w:rPr>
        <w:t xml:space="preserve">. Considerando </w:t>
      </w:r>
      <w:r w:rsidR="00DC1A20">
        <w:rPr>
          <w:rFonts w:ascii="Times New Roman" w:eastAsia="Times New Roman" w:hAnsi="Times New Roman" w:cs="Times New Roman"/>
        </w:rPr>
        <w:t>estadísticamente diferente</w:t>
      </w:r>
      <w:r>
        <w:rPr>
          <w:rFonts w:ascii="Times New Roman" w:eastAsia="Times New Roman" w:hAnsi="Times New Roman" w:cs="Times New Roman"/>
        </w:rPr>
        <w:t xml:space="preserve"> cuando el valor de P sea menor a 0</w:t>
      </w:r>
      <w:r w:rsidR="00DC1A20">
        <w:rPr>
          <w:rFonts w:ascii="Times New Roman" w:eastAsia="Times New Roman" w:hAnsi="Times New Roman" w:cs="Times New Roman"/>
        </w:rPr>
        <w:t>,</w:t>
      </w:r>
      <w:r>
        <w:rPr>
          <w:rFonts w:ascii="Times New Roman" w:eastAsia="Times New Roman" w:hAnsi="Times New Roman" w:cs="Times New Roman"/>
        </w:rPr>
        <w:t>05</w:t>
      </w:r>
      <w:r>
        <w:rPr>
          <w:rFonts w:ascii="Times New Roman" w:eastAsia="Times New Roman" w:hAnsi="Times New Roman" w:cs="Times New Roman"/>
        </w:rPr>
        <w:t>.</w:t>
      </w:r>
      <w:bookmarkStart w:id="0" w:name="_GoBack"/>
      <w:bookmarkEnd w:id="0"/>
    </w:p>
    <w:p w14:paraId="03F8EF96" w14:textId="77777777" w:rsidR="00E76A40" w:rsidRDefault="00E76A40">
      <w:pPr>
        <w:jc w:val="both"/>
        <w:rPr>
          <w:rFonts w:ascii="Times New Roman" w:eastAsia="Times New Roman" w:hAnsi="Times New Roman" w:cs="Times New Roman"/>
        </w:rPr>
      </w:pPr>
    </w:p>
    <w:p w14:paraId="000BEE3D" w14:textId="30DC0B02" w:rsidR="00E76A40" w:rsidRDefault="00937A18">
      <w:pPr>
        <w:jc w:val="both"/>
        <w:rPr>
          <w:rFonts w:ascii="Times New Roman" w:eastAsia="Times New Roman" w:hAnsi="Times New Roman" w:cs="Times New Roman"/>
          <w:b/>
        </w:rPr>
      </w:pPr>
      <w:r>
        <w:rPr>
          <w:rFonts w:ascii="Times New Roman" w:eastAsia="Times New Roman" w:hAnsi="Times New Roman" w:cs="Times New Roman"/>
          <w:b/>
        </w:rPr>
        <w:t>Referencias</w:t>
      </w:r>
      <w:r w:rsidR="00DC1A20">
        <w:rPr>
          <w:rFonts w:ascii="Times New Roman" w:eastAsia="Times New Roman" w:hAnsi="Times New Roman" w:cs="Times New Roman"/>
          <w:b/>
        </w:rPr>
        <w:t xml:space="preserve"> bibliográficas</w:t>
      </w:r>
    </w:p>
    <w:p w14:paraId="64BF5C18" w14:textId="77777777" w:rsidR="00E76A40" w:rsidRDefault="00E76A40">
      <w:pPr>
        <w:jc w:val="both"/>
        <w:rPr>
          <w:rFonts w:ascii="Times New Roman" w:eastAsia="Times New Roman" w:hAnsi="Times New Roman" w:cs="Times New Roman"/>
        </w:rPr>
      </w:pPr>
    </w:p>
    <w:p w14:paraId="1C3CFEEE" w14:textId="77777777" w:rsidR="00E76A40" w:rsidRPr="00E006AE" w:rsidRDefault="00937A18" w:rsidP="00E006AE">
      <w:pPr>
        <w:pStyle w:val="NormalWeb"/>
        <w:spacing w:before="0" w:beforeAutospacing="0" w:after="0" w:afterAutospacing="0" w:line="480" w:lineRule="auto"/>
        <w:ind w:left="720" w:hanging="720"/>
        <w:jc w:val="both"/>
      </w:pPr>
      <w:r>
        <w:t>Aravena-Sanhueza, F., Pérez-Rivera, M., Castillo-Felices, R., Mundaca-Uribe, R., Aranda Bustos, M., Peña Farf</w:t>
      </w:r>
      <w:r>
        <w:t xml:space="preserve">al, C., Aravena-Sanhueza, F., Pérez-Rivera, M., Castillo-Felices, R., Mundaca-Uribe, R., Aranda Bustos, M., &amp; Peña Farfal, C. (2020). determination of antioxidant capacity (orac) of greigia sphacelata and correlation with voltammetric methods. </w:t>
      </w:r>
      <w:r w:rsidRPr="00E006AE">
        <w:t>Journal of t</w:t>
      </w:r>
      <w:r w:rsidRPr="00E006AE">
        <w:t>he Chilean Chemical Society</w:t>
      </w:r>
      <w:r w:rsidRPr="00E006AE">
        <w:t xml:space="preserve">, </w:t>
      </w:r>
      <w:r w:rsidRPr="00E006AE">
        <w:t>65</w:t>
      </w:r>
      <w:r w:rsidRPr="00E006AE">
        <w:t>(3), 4925-4928. https://doi.org/10.4067/s0717-97072020000204925</w:t>
      </w:r>
    </w:p>
    <w:p w14:paraId="6B0CBB63" w14:textId="77777777" w:rsidR="00E76A40" w:rsidRPr="00E006AE" w:rsidRDefault="00937A18" w:rsidP="00E006AE">
      <w:pPr>
        <w:pStyle w:val="NormalWeb"/>
        <w:spacing w:before="0" w:beforeAutospacing="0" w:after="0" w:afterAutospacing="0" w:line="480" w:lineRule="auto"/>
        <w:ind w:left="720" w:hanging="720"/>
        <w:jc w:val="both"/>
      </w:pPr>
      <w:r>
        <w:t xml:space="preserve">Barrientos, R. E., Ahmed, S., Cortés, C., Fernández-Galleguillos, C., Romero-Parra, J., Simirgiotis, M. J., &amp; Echeverría, J. (2020). </w:t>
      </w:r>
      <w:r w:rsidRPr="00E006AE">
        <w:t xml:space="preserve">Chemical Fingerprinting and </w:t>
      </w:r>
      <w:r w:rsidRPr="00E006AE">
        <w:t xml:space="preserve">Biological Evaluation of the Endemic Chilean Fruit </w:t>
      </w:r>
      <w:proofErr w:type="spellStart"/>
      <w:r w:rsidRPr="00E006AE">
        <w:t>Greigia</w:t>
      </w:r>
      <w:proofErr w:type="spellEnd"/>
      <w:r w:rsidRPr="00E006AE">
        <w:t xml:space="preserve"> </w:t>
      </w:r>
      <w:proofErr w:type="spellStart"/>
      <w:r w:rsidRPr="00E006AE">
        <w:t>sphacelata</w:t>
      </w:r>
      <w:proofErr w:type="spellEnd"/>
      <w:r w:rsidRPr="00E006AE">
        <w:t xml:space="preserve"> (Ruiz and Pav.) Regel (</w:t>
      </w:r>
      <w:proofErr w:type="spellStart"/>
      <w:r w:rsidRPr="00E006AE">
        <w:t>Bromeliaceae</w:t>
      </w:r>
      <w:proofErr w:type="spellEnd"/>
      <w:r w:rsidRPr="00E006AE">
        <w:t xml:space="preserve">) by UHPLC-PDA-Orbitrap-Mass Spectrometry. </w:t>
      </w:r>
      <w:r w:rsidRPr="00E006AE">
        <w:t>Molecules</w:t>
      </w:r>
      <w:r w:rsidRPr="00E006AE">
        <w:t xml:space="preserve">, </w:t>
      </w:r>
      <w:r w:rsidRPr="00E006AE">
        <w:t>25</w:t>
      </w:r>
      <w:r w:rsidRPr="00E006AE">
        <w:t>(16), Article 16. https://doi.org/10.3390/molecules25163750</w:t>
      </w:r>
    </w:p>
    <w:p w14:paraId="627DB761" w14:textId="77777777" w:rsidR="00E76A40" w:rsidRDefault="00937A18" w:rsidP="00E006AE">
      <w:pPr>
        <w:pStyle w:val="NormalWeb"/>
        <w:spacing w:before="0" w:beforeAutospacing="0" w:after="0" w:afterAutospacing="0" w:line="480" w:lineRule="auto"/>
        <w:ind w:left="720" w:hanging="720"/>
        <w:jc w:val="both"/>
      </w:pPr>
      <w:r>
        <w:t>Cartagena, A., Gomez, M., Contreras</w:t>
      </w:r>
      <w:r>
        <w:t xml:space="preserve">, S., &amp; Gebauer, M. (2024). </w:t>
      </w:r>
      <w:r w:rsidRPr="00E006AE">
        <w:t>Estrategias de propagación de Greigia sphacelata (Bromeliaceae) a partir de semillas</w:t>
      </w:r>
      <w:r>
        <w:t>.</w:t>
      </w:r>
    </w:p>
    <w:p w14:paraId="0BF0EC2B" w14:textId="77777777" w:rsidR="00E76A40" w:rsidRPr="00E006AE" w:rsidRDefault="00937A18" w:rsidP="00E006AE">
      <w:pPr>
        <w:pStyle w:val="NormalWeb"/>
        <w:spacing w:before="0" w:beforeAutospacing="0" w:after="0" w:afterAutospacing="0" w:line="480" w:lineRule="auto"/>
        <w:ind w:left="720" w:hanging="720"/>
        <w:jc w:val="both"/>
      </w:pPr>
      <w:r>
        <w:lastRenderedPageBreak/>
        <w:t xml:space="preserve">Diaz, S., Brondizio, E., Settele, J., &amp; Ngo, H. T. (2019). </w:t>
      </w:r>
      <w:r w:rsidRPr="00E006AE">
        <w:t>Global assessment report on biodiversity and ecosystem services of the Intergovernm</w:t>
      </w:r>
      <w:r w:rsidRPr="00E006AE">
        <w:t>ental Science-Policy Platform on Biodiversity and Ecosystem Services</w:t>
      </w:r>
      <w:r w:rsidRPr="00E006AE">
        <w:t>. https://doi.org/10.5281/zenodo.6417333</w:t>
      </w:r>
    </w:p>
    <w:p w14:paraId="34A0DEA0" w14:textId="308EA97F" w:rsidR="00E76A40" w:rsidRPr="00E006AE" w:rsidRDefault="00937A18" w:rsidP="00E006AE">
      <w:pPr>
        <w:pStyle w:val="NormalWeb"/>
        <w:spacing w:before="0" w:beforeAutospacing="0" w:after="0" w:afterAutospacing="0" w:line="480" w:lineRule="auto"/>
        <w:ind w:left="720" w:hanging="720"/>
        <w:jc w:val="both"/>
      </w:pPr>
      <w:r w:rsidRPr="00E006AE">
        <w:t xml:space="preserve">Flagg, M. L., </w:t>
      </w:r>
      <w:proofErr w:type="spellStart"/>
      <w:r w:rsidRPr="00E006AE">
        <w:t>Wächter</w:t>
      </w:r>
      <w:proofErr w:type="spellEnd"/>
      <w:r w:rsidRPr="00E006AE">
        <w:t xml:space="preserve">, G. A., Davis, A. L., Montenegro, G., &amp; </w:t>
      </w:r>
      <w:proofErr w:type="spellStart"/>
      <w:r w:rsidRPr="00E006AE">
        <w:t>Timmermann</w:t>
      </w:r>
      <w:proofErr w:type="spellEnd"/>
      <w:r w:rsidRPr="00E006AE">
        <w:t xml:space="preserve">, B. N. (2000). Two Novel Flavanones from </w:t>
      </w:r>
      <w:proofErr w:type="spellStart"/>
      <w:r w:rsidRPr="00E006AE">
        <w:t>Greigia</w:t>
      </w:r>
      <w:proofErr w:type="spellEnd"/>
      <w:r w:rsidRPr="00E006AE">
        <w:t xml:space="preserve"> </w:t>
      </w:r>
      <w:proofErr w:type="spellStart"/>
      <w:r w:rsidRPr="00E006AE">
        <w:t>sphacelata</w:t>
      </w:r>
      <w:proofErr w:type="spellEnd"/>
      <w:r w:rsidRPr="00E006AE">
        <w:t xml:space="preserve">. </w:t>
      </w:r>
      <w:r w:rsidRPr="00E006AE">
        <w:t>Journal of Na</w:t>
      </w:r>
      <w:r w:rsidRPr="00E006AE">
        <w:t>tural Products</w:t>
      </w:r>
      <w:r w:rsidRPr="00E006AE">
        <w:t xml:space="preserve">, </w:t>
      </w:r>
      <w:r w:rsidRPr="00E006AE">
        <w:t>63</w:t>
      </w:r>
      <w:r w:rsidRPr="00E006AE">
        <w:t xml:space="preserve">(12), 1689-1691. </w:t>
      </w:r>
      <w:hyperlink r:id="rId8" w:history="1">
        <w:r w:rsidR="00E006AE" w:rsidRPr="00E006AE">
          <w:t>https://doi.org/10.1021/np0003387</w:t>
        </w:r>
      </w:hyperlink>
    </w:p>
    <w:p w14:paraId="6FDADC95" w14:textId="353F129E" w:rsidR="00E006AE" w:rsidRPr="00E006AE" w:rsidRDefault="00E006AE" w:rsidP="00E006AE">
      <w:pPr>
        <w:pStyle w:val="NormalWeb"/>
        <w:spacing w:before="0" w:beforeAutospacing="0" w:after="0" w:afterAutospacing="0" w:line="480" w:lineRule="auto"/>
        <w:ind w:left="720" w:hanging="720"/>
        <w:jc w:val="both"/>
      </w:pPr>
      <w:r>
        <w:t xml:space="preserve">Henri, D. H., Asunción, G. N. M., Alexander, A. S., Juliana, R. G., &amp; Antonio, L. M. M. (2019, 1 octubre). </w:t>
      </w:r>
      <w:r>
        <w:rPr>
          <w:i/>
          <w:iCs/>
        </w:rPr>
        <w:t>Manual de propagación in vitro de piña (</w:t>
      </w:r>
      <w:proofErr w:type="spellStart"/>
      <w:r>
        <w:rPr>
          <w:i/>
          <w:iCs/>
        </w:rPr>
        <w:t>Ananas</w:t>
      </w:r>
      <w:proofErr w:type="spellEnd"/>
      <w:r>
        <w:rPr>
          <w:i/>
          <w:iCs/>
        </w:rPr>
        <w:t xml:space="preserve"> </w:t>
      </w:r>
      <w:proofErr w:type="spellStart"/>
      <w:r>
        <w:rPr>
          <w:i/>
          <w:iCs/>
        </w:rPr>
        <w:t>comosus</w:t>
      </w:r>
      <w:proofErr w:type="spellEnd"/>
      <w:r>
        <w:rPr>
          <w:i/>
          <w:iCs/>
        </w:rPr>
        <w:t xml:space="preserve"> L. </w:t>
      </w:r>
      <w:proofErr w:type="spellStart"/>
      <w:r>
        <w:rPr>
          <w:i/>
          <w:iCs/>
        </w:rPr>
        <w:t>Merr</w:t>
      </w:r>
      <w:proofErr w:type="spellEnd"/>
      <w:r>
        <w:rPr>
          <w:i/>
          <w:iCs/>
        </w:rPr>
        <w:t xml:space="preserve">.) </w:t>
      </w:r>
      <w:proofErr w:type="spellStart"/>
      <w:r>
        <w:rPr>
          <w:i/>
          <w:iCs/>
        </w:rPr>
        <w:t>var</w:t>
      </w:r>
      <w:proofErr w:type="spellEnd"/>
      <w:r>
        <w:rPr>
          <w:i/>
          <w:iCs/>
        </w:rPr>
        <w:t>. MD-2 Golden utilizando biorreactores de inmersión temporal</w:t>
      </w:r>
      <w:r>
        <w:t xml:space="preserve">. </w:t>
      </w:r>
      <w:r>
        <w:rPr>
          <w:rStyle w:val="url"/>
        </w:rPr>
        <w:t>https://repositorio.inia.gob.pe/items/574e0707-02c1-4bec-80d5-3bbb3295498b</w:t>
      </w:r>
    </w:p>
    <w:p w14:paraId="1A897206" w14:textId="50FCA0EC" w:rsidR="00E76A40" w:rsidRDefault="00937A18" w:rsidP="00E006AE">
      <w:pPr>
        <w:pStyle w:val="NormalWeb"/>
        <w:spacing w:before="0" w:beforeAutospacing="0" w:after="0" w:afterAutospacing="0" w:line="480" w:lineRule="auto"/>
        <w:ind w:left="720" w:hanging="720"/>
        <w:jc w:val="both"/>
      </w:pPr>
      <w:r w:rsidRPr="00E006AE">
        <w:t xml:space="preserve">Morales-Hidalgo, D., Oswalt, S. N., &amp; </w:t>
      </w:r>
      <w:proofErr w:type="spellStart"/>
      <w:r w:rsidRPr="00E006AE">
        <w:t>Somanathan</w:t>
      </w:r>
      <w:proofErr w:type="spellEnd"/>
      <w:r w:rsidRPr="00E006AE">
        <w:t>, E. (2015). Status and trends in global primary forest, protected areas, and areas designated for conservation of biodiversity from the Gl</w:t>
      </w:r>
      <w:r w:rsidRPr="00E006AE">
        <w:t xml:space="preserve">obal Forest Resources Assessment 2015. </w:t>
      </w:r>
      <w:r w:rsidRPr="00E006AE">
        <w:t>Forest Ecology and Management</w:t>
      </w:r>
      <w:r w:rsidRPr="00E006AE">
        <w:t xml:space="preserve">, </w:t>
      </w:r>
      <w:r w:rsidRPr="00E006AE">
        <w:t>352</w:t>
      </w:r>
      <w:r w:rsidRPr="00E006AE">
        <w:t xml:space="preserve">, 68-77. </w:t>
      </w:r>
      <w:hyperlink r:id="rId9" w:history="1">
        <w:r w:rsidR="00E006AE" w:rsidRPr="00E006AE">
          <w:rPr>
            <w:rStyle w:val="Hipervnculo"/>
            <w:color w:val="auto"/>
            <w:u w:val="none"/>
          </w:rPr>
          <w:t>https://doi.org/10.1016/j.foreco.2015.06.011</w:t>
        </w:r>
      </w:hyperlink>
    </w:p>
    <w:p w14:paraId="06B6582D" w14:textId="77777777" w:rsidR="00E006AE" w:rsidRPr="00E006AE" w:rsidRDefault="00E006AE" w:rsidP="00E006AE">
      <w:pPr>
        <w:pStyle w:val="NormalWeb"/>
        <w:spacing w:before="0" w:beforeAutospacing="0" w:after="0" w:afterAutospacing="0" w:line="480" w:lineRule="auto"/>
        <w:ind w:left="720" w:hanging="720"/>
        <w:jc w:val="both"/>
      </w:pPr>
      <w:r w:rsidRPr="00E006AE">
        <w:fldChar w:fldCharType="begin"/>
      </w:r>
      <w:r w:rsidRPr="00E006AE">
        <w:instrText xml:space="preserve"> ADDIN ZOTERO_BIBL {"uncited":[],"omitted":[],"custom":[]} CSL_BIBLIOGRAPHY </w:instrText>
      </w:r>
      <w:r w:rsidRPr="00E006AE">
        <w:fldChar w:fldCharType="separate"/>
      </w:r>
      <w:proofErr w:type="spellStart"/>
      <w:r w:rsidRPr="00E006AE">
        <w:t>Pence</w:t>
      </w:r>
      <w:proofErr w:type="spellEnd"/>
      <w:r w:rsidRPr="00E006AE">
        <w:t xml:space="preserve">, V. C. (2011). </w:t>
      </w:r>
      <w:proofErr w:type="spellStart"/>
      <w:r w:rsidRPr="00E006AE">
        <w:t>Evaluating</w:t>
      </w:r>
      <w:proofErr w:type="spellEnd"/>
      <w:r w:rsidRPr="00E006AE">
        <w:t xml:space="preserve"> </w:t>
      </w:r>
      <w:proofErr w:type="spellStart"/>
      <w:r w:rsidRPr="00E006AE">
        <w:t>costs</w:t>
      </w:r>
      <w:proofErr w:type="spellEnd"/>
      <w:r w:rsidRPr="00E006AE">
        <w:t xml:space="preserve"> </w:t>
      </w:r>
      <w:proofErr w:type="spellStart"/>
      <w:r w:rsidRPr="00E006AE">
        <w:t>for</w:t>
      </w:r>
      <w:proofErr w:type="spellEnd"/>
      <w:r w:rsidRPr="00E006AE">
        <w:t xml:space="preserve"> </w:t>
      </w:r>
      <w:proofErr w:type="spellStart"/>
      <w:r w:rsidRPr="00E006AE">
        <w:t>the</w:t>
      </w:r>
      <w:proofErr w:type="spellEnd"/>
      <w:r w:rsidRPr="00E006AE">
        <w:t xml:space="preserve"> in vitro </w:t>
      </w:r>
      <w:proofErr w:type="spellStart"/>
      <w:r w:rsidRPr="00E006AE">
        <w:t>propagation</w:t>
      </w:r>
      <w:proofErr w:type="spellEnd"/>
      <w:r w:rsidRPr="00E006AE">
        <w:t xml:space="preserve"> and </w:t>
      </w:r>
      <w:proofErr w:type="spellStart"/>
      <w:r w:rsidRPr="00E006AE">
        <w:t>preservation</w:t>
      </w:r>
      <w:proofErr w:type="spellEnd"/>
      <w:r w:rsidRPr="00E006AE">
        <w:t xml:space="preserve"> </w:t>
      </w:r>
      <w:proofErr w:type="spellStart"/>
      <w:r w:rsidRPr="00E006AE">
        <w:t>of</w:t>
      </w:r>
      <w:proofErr w:type="spellEnd"/>
      <w:r w:rsidRPr="00E006AE">
        <w:t xml:space="preserve"> </w:t>
      </w:r>
      <w:proofErr w:type="spellStart"/>
      <w:r w:rsidRPr="00E006AE">
        <w:t>endangered</w:t>
      </w:r>
      <w:proofErr w:type="spellEnd"/>
      <w:r w:rsidRPr="00E006AE">
        <w:t xml:space="preserve"> </w:t>
      </w:r>
      <w:proofErr w:type="spellStart"/>
      <w:r w:rsidRPr="00E006AE">
        <w:t>plants</w:t>
      </w:r>
      <w:proofErr w:type="spellEnd"/>
      <w:r w:rsidRPr="00E006AE">
        <w:t xml:space="preserve">. In Vitro </w:t>
      </w:r>
      <w:proofErr w:type="spellStart"/>
      <w:r w:rsidRPr="00E006AE">
        <w:t>Cellular</w:t>
      </w:r>
      <w:proofErr w:type="spellEnd"/>
      <w:r w:rsidRPr="00E006AE">
        <w:t xml:space="preserve"> &amp; </w:t>
      </w:r>
      <w:proofErr w:type="spellStart"/>
      <w:r w:rsidRPr="00E006AE">
        <w:t>Developmental</w:t>
      </w:r>
      <w:proofErr w:type="spellEnd"/>
      <w:r w:rsidRPr="00E006AE">
        <w:t xml:space="preserve"> </w:t>
      </w:r>
      <w:proofErr w:type="spellStart"/>
      <w:r w:rsidRPr="00E006AE">
        <w:t>Biology</w:t>
      </w:r>
      <w:proofErr w:type="spellEnd"/>
      <w:r w:rsidRPr="00E006AE">
        <w:t xml:space="preserve"> - </w:t>
      </w:r>
      <w:proofErr w:type="spellStart"/>
      <w:r w:rsidRPr="00E006AE">
        <w:t>Plant</w:t>
      </w:r>
      <w:proofErr w:type="spellEnd"/>
      <w:r w:rsidRPr="00E006AE">
        <w:t>, 47(1), 176-187. https://doi.org/10.1007/s11627-010-9323-6</w:t>
      </w:r>
    </w:p>
    <w:p w14:paraId="34CA30D1" w14:textId="18B34B19" w:rsidR="00E006AE" w:rsidRPr="00E006AE" w:rsidRDefault="00E006AE" w:rsidP="00E006AE">
      <w:pPr>
        <w:spacing w:line="276" w:lineRule="auto"/>
        <w:jc w:val="both"/>
        <w:rPr>
          <w:rFonts w:ascii="Times New Roman" w:eastAsia="Times New Roman" w:hAnsi="Times New Roman" w:cs="Times New Roman"/>
          <w:lang w:val="en-US"/>
        </w:rPr>
      </w:pPr>
      <w:r w:rsidRPr="00E006AE">
        <w:rPr>
          <w:rFonts w:ascii="Times New Roman" w:eastAsia="Times New Roman" w:hAnsi="Times New Roman" w:cs="Times New Roman"/>
          <w:lang w:eastAsia="es-PE"/>
        </w:rPr>
        <w:fldChar w:fldCharType="end"/>
      </w:r>
    </w:p>
    <w:p w14:paraId="25E8181D" w14:textId="77777777" w:rsidR="00E76A40" w:rsidRDefault="00937A18" w:rsidP="00E006AE">
      <w:pPr>
        <w:pStyle w:val="NormalWeb"/>
        <w:spacing w:before="0" w:beforeAutospacing="0" w:after="0" w:afterAutospacing="0" w:line="480" w:lineRule="auto"/>
        <w:ind w:left="720" w:hanging="720"/>
        <w:jc w:val="both"/>
      </w:pPr>
      <w:r w:rsidRPr="00E006AE">
        <w:t xml:space="preserve">Ren, H., Qin, H., Ouyang, Z., Wen, X., </w:t>
      </w:r>
      <w:proofErr w:type="spellStart"/>
      <w:r w:rsidRPr="00E006AE">
        <w:t>Jin</w:t>
      </w:r>
      <w:proofErr w:type="spellEnd"/>
      <w:r w:rsidRPr="00E006AE">
        <w:t xml:space="preserve">, X., Liu, H., Lu, H., Liu, H., Zhou, J., Zeng, Y., Smith, P., Jackson, P. W., </w:t>
      </w:r>
      <w:proofErr w:type="spellStart"/>
      <w:r w:rsidRPr="00E006AE">
        <w:t>Gratzfel</w:t>
      </w:r>
      <w:r w:rsidRPr="00E006AE">
        <w:t>d</w:t>
      </w:r>
      <w:proofErr w:type="spellEnd"/>
      <w:r w:rsidRPr="00E006AE">
        <w:t xml:space="preserve">, J., Sharrock, S., Xu, H., Zhang, Z., Guo, Q., Sun, W., Ma, J., … </w:t>
      </w:r>
      <w:r w:rsidRPr="00E006AE">
        <w:t xml:space="preserve">Zhao, L. (2019). </w:t>
      </w:r>
      <w:r w:rsidRPr="00E006AE">
        <w:t xml:space="preserve">Progress of implementation on the Global Strategy for Plant Conservation in (2011–2020) China. </w:t>
      </w:r>
      <w:r w:rsidRPr="00E006AE">
        <w:t>Biological Conservation</w:t>
      </w:r>
      <w:r>
        <w:t xml:space="preserve">, </w:t>
      </w:r>
      <w:r w:rsidRPr="00E006AE">
        <w:t>230</w:t>
      </w:r>
      <w:r>
        <w:t>, 169-178. https://doi.org/10.1016/j.biocon.2018</w:t>
      </w:r>
      <w:r>
        <w:t>.12.030</w:t>
      </w:r>
    </w:p>
    <w:p w14:paraId="53F1D265" w14:textId="77777777" w:rsidR="00E76A40" w:rsidRDefault="00937A18" w:rsidP="00E006AE">
      <w:pPr>
        <w:pStyle w:val="NormalWeb"/>
        <w:spacing w:before="0" w:beforeAutospacing="0" w:after="0" w:afterAutospacing="0" w:line="480" w:lineRule="auto"/>
        <w:ind w:left="720" w:hanging="720"/>
        <w:jc w:val="both"/>
      </w:pPr>
      <w:r>
        <w:lastRenderedPageBreak/>
        <w:t>Salazar Mercado, S. A., Botello Delgado, E. A., Quintero Caleño, J. D., Salazar Mercado, S. A., Botello Delgado, E. A., &amp; Quintero Caleño, J. D. (2020). Optimización de la prueba de tetrazolio para evaluar la viabilidad en semillas de Solanum lycop</w:t>
      </w:r>
      <w:r>
        <w:t xml:space="preserve">ersicum L. </w:t>
      </w:r>
      <w:r w:rsidRPr="00E006AE">
        <w:t>Ciencia y Tecnología Agropecuaria</w:t>
      </w:r>
      <w:r>
        <w:t xml:space="preserve">, </w:t>
      </w:r>
      <w:r w:rsidRPr="00E006AE">
        <w:t>21</w:t>
      </w:r>
      <w:r>
        <w:t>(3). https://doi.org/10.21930/rcta.vol21_num3_art:1344</w:t>
      </w:r>
    </w:p>
    <w:p w14:paraId="7F215FED" w14:textId="77777777" w:rsidR="00E76A40" w:rsidRDefault="00937A18" w:rsidP="00E006AE">
      <w:pPr>
        <w:pStyle w:val="NormalWeb"/>
        <w:spacing w:before="0" w:beforeAutospacing="0" w:after="0" w:afterAutospacing="0" w:line="480" w:lineRule="auto"/>
        <w:ind w:left="720" w:hanging="720"/>
        <w:jc w:val="both"/>
      </w:pPr>
      <w:r>
        <w:t xml:space="preserve">Sánchez Recuay, M., &amp; Calderón Rodríguez, A. (2010). Evaluación preliminar de orquídeas en el Parque Nacional Cutervo, Cajamarca-Perú. </w:t>
      </w:r>
      <w:r w:rsidRPr="00E006AE">
        <w:t>Ecología Aplicada</w:t>
      </w:r>
      <w:r>
        <w:t xml:space="preserve">, </w:t>
      </w:r>
      <w:r w:rsidRPr="00E006AE">
        <w:t>9</w:t>
      </w:r>
      <w:r>
        <w:t>(1), 1-7.</w:t>
      </w:r>
    </w:p>
    <w:p w14:paraId="3E6A153D" w14:textId="77777777" w:rsidR="00E76A40" w:rsidRPr="00E006AE" w:rsidRDefault="00937A18" w:rsidP="00E006AE">
      <w:pPr>
        <w:pStyle w:val="NormalWeb"/>
        <w:spacing w:before="0" w:beforeAutospacing="0" w:after="0" w:afterAutospacing="0" w:line="480" w:lineRule="auto"/>
        <w:ind w:left="720" w:hanging="720"/>
        <w:jc w:val="both"/>
      </w:pPr>
      <w:r>
        <w:t xml:space="preserve">Storch, D., Šímová, I., Smyčka, J., Bohdalková, E., Toszogyova, A., &amp; Okie, J. G. (2022). </w:t>
      </w:r>
      <w:r w:rsidRPr="00E006AE">
        <w:t xml:space="preserve">Biodiversity dynamics in the Anthropocene: How human activities change equilibria of species richness. </w:t>
      </w:r>
      <w:proofErr w:type="spellStart"/>
      <w:r w:rsidRPr="00E006AE">
        <w:t>Ecography</w:t>
      </w:r>
      <w:proofErr w:type="spellEnd"/>
      <w:r w:rsidRPr="00E006AE">
        <w:t xml:space="preserve">, </w:t>
      </w:r>
      <w:r w:rsidRPr="00E006AE">
        <w:t>2022</w:t>
      </w:r>
      <w:r w:rsidRPr="00E006AE">
        <w:t>(4). https://doi.org/10.1111/ecog.0</w:t>
      </w:r>
      <w:r w:rsidRPr="00E006AE">
        <w:t>5778</w:t>
      </w:r>
    </w:p>
    <w:p w14:paraId="06BD8EAB" w14:textId="7FB604F9" w:rsidR="00E76A40" w:rsidRDefault="00937A18" w:rsidP="00E006AE">
      <w:pPr>
        <w:pStyle w:val="NormalWeb"/>
        <w:spacing w:before="0" w:beforeAutospacing="0" w:after="0" w:afterAutospacing="0" w:line="480" w:lineRule="auto"/>
        <w:ind w:left="720" w:hanging="720"/>
        <w:jc w:val="both"/>
      </w:pPr>
      <w:r w:rsidRPr="00E006AE">
        <w:t xml:space="preserve">Sun, W., Ma, Y., &amp; Corlett, R. T. (2024). Plant species with extremely small populations conservation program: Achieving Kunming–Montreal global biodiversity targets. </w:t>
      </w:r>
      <w:r w:rsidRPr="00E006AE">
        <w:t>Trends in Plant Science</w:t>
      </w:r>
      <w:r w:rsidRPr="00E006AE">
        <w:t xml:space="preserve">, </w:t>
      </w:r>
      <w:r w:rsidRPr="00E006AE">
        <w:t>29</w:t>
      </w:r>
      <w:r w:rsidRPr="00E006AE">
        <w:t xml:space="preserve">(8), 827-830. </w:t>
      </w:r>
      <w:hyperlink r:id="rId10" w:history="1">
        <w:r w:rsidR="002D69A5" w:rsidRPr="00937A18">
          <w:rPr>
            <w:rStyle w:val="Hipervnculo"/>
            <w:color w:val="auto"/>
            <w:u w:val="none"/>
          </w:rPr>
          <w:t>https://doi.org/10.1016/j.tplants.2024.05.007</w:t>
        </w:r>
      </w:hyperlink>
    </w:p>
    <w:p w14:paraId="20AE04E7" w14:textId="418B23AE" w:rsidR="002D69A5" w:rsidRPr="00E006AE" w:rsidRDefault="002D69A5" w:rsidP="00937A18">
      <w:pPr>
        <w:pStyle w:val="NormalWeb"/>
        <w:spacing w:before="0" w:beforeAutospacing="0" w:after="0" w:afterAutospacing="0" w:line="480" w:lineRule="auto"/>
        <w:ind w:left="720" w:hanging="720"/>
        <w:jc w:val="both"/>
      </w:pPr>
      <w:proofErr w:type="spellStart"/>
      <w:r>
        <w:t>Szarvas</w:t>
      </w:r>
      <w:proofErr w:type="spellEnd"/>
      <w:r>
        <w:t xml:space="preserve">, P., </w:t>
      </w:r>
      <w:proofErr w:type="spellStart"/>
      <w:r>
        <w:t>Farkas</w:t>
      </w:r>
      <w:proofErr w:type="spellEnd"/>
      <w:r>
        <w:t xml:space="preserve">, D., </w:t>
      </w:r>
      <w:proofErr w:type="spellStart"/>
      <w:r>
        <w:t>Csabai</w:t>
      </w:r>
      <w:proofErr w:type="spellEnd"/>
      <w:r>
        <w:t xml:space="preserve">, J., </w:t>
      </w:r>
      <w:proofErr w:type="spellStart"/>
      <w:r>
        <w:t>Kolesnyk</w:t>
      </w:r>
      <w:proofErr w:type="spellEnd"/>
      <w:r>
        <w:t xml:space="preserve">, A., &amp; </w:t>
      </w:r>
      <w:proofErr w:type="spellStart"/>
      <w:r>
        <w:t>Dobránszki</w:t>
      </w:r>
      <w:proofErr w:type="spellEnd"/>
      <w:r>
        <w:t xml:space="preserve">, J. (2024). In vitro </w:t>
      </w:r>
      <w:proofErr w:type="spellStart"/>
      <w:r>
        <w:t>micropropagation</w:t>
      </w:r>
      <w:proofErr w:type="spellEnd"/>
      <w:r>
        <w:t xml:space="preserve"> </w:t>
      </w:r>
      <w:proofErr w:type="spellStart"/>
      <w:r>
        <w:t>of</w:t>
      </w:r>
      <w:proofErr w:type="spellEnd"/>
      <w:r>
        <w:t xml:space="preserve"> </w:t>
      </w:r>
      <w:proofErr w:type="spellStart"/>
      <w:r>
        <w:t>Dianthus</w:t>
      </w:r>
      <w:proofErr w:type="spellEnd"/>
      <w:r>
        <w:t xml:space="preserve"> </w:t>
      </w:r>
      <w:proofErr w:type="spellStart"/>
      <w:r>
        <w:t>plumarius</w:t>
      </w:r>
      <w:proofErr w:type="spellEnd"/>
      <w:r>
        <w:t xml:space="preserve"> </w:t>
      </w:r>
      <w:proofErr w:type="spellStart"/>
      <w:r>
        <w:t>subsp</w:t>
      </w:r>
      <w:proofErr w:type="spellEnd"/>
      <w:r>
        <w:t xml:space="preserve">. </w:t>
      </w:r>
      <w:proofErr w:type="spellStart"/>
      <w:r>
        <w:t>praecox</w:t>
      </w:r>
      <w:proofErr w:type="spellEnd"/>
      <w:r>
        <w:t xml:space="preserve">, a wild </w:t>
      </w:r>
      <w:proofErr w:type="spellStart"/>
      <w:r>
        <w:t>carnation</w:t>
      </w:r>
      <w:proofErr w:type="spellEnd"/>
      <w:r>
        <w:t xml:space="preserve"> </w:t>
      </w:r>
      <w:proofErr w:type="spellStart"/>
      <w:r>
        <w:t>species</w:t>
      </w:r>
      <w:proofErr w:type="spellEnd"/>
      <w:r>
        <w:t xml:space="preserve">, </w:t>
      </w:r>
      <w:proofErr w:type="spellStart"/>
      <w:r>
        <w:t>for</w:t>
      </w:r>
      <w:proofErr w:type="spellEnd"/>
      <w:r>
        <w:t xml:space="preserve"> ornamental horticultural and gene </w:t>
      </w:r>
      <w:proofErr w:type="spellStart"/>
      <w:r>
        <w:t>conservation</w:t>
      </w:r>
      <w:proofErr w:type="spellEnd"/>
      <w:r>
        <w:t xml:space="preserve"> </w:t>
      </w:r>
      <w:proofErr w:type="spellStart"/>
      <w:r>
        <w:t>purposes</w:t>
      </w:r>
      <w:proofErr w:type="spellEnd"/>
      <w:r>
        <w:t xml:space="preserve">. </w:t>
      </w:r>
      <w:proofErr w:type="spellStart"/>
      <w:r>
        <w:rPr>
          <w:i/>
          <w:iCs/>
        </w:rPr>
        <w:t>Scientia</w:t>
      </w:r>
      <w:proofErr w:type="spellEnd"/>
      <w:r>
        <w:rPr>
          <w:i/>
          <w:iCs/>
        </w:rPr>
        <w:t xml:space="preserve"> </w:t>
      </w:r>
      <w:proofErr w:type="spellStart"/>
      <w:r>
        <w:rPr>
          <w:i/>
          <w:iCs/>
        </w:rPr>
        <w:t>Horticulturae</w:t>
      </w:r>
      <w:proofErr w:type="spellEnd"/>
      <w:r>
        <w:t xml:space="preserve">, </w:t>
      </w:r>
      <w:r>
        <w:rPr>
          <w:i/>
          <w:iCs/>
        </w:rPr>
        <w:t>339</w:t>
      </w:r>
      <w:r>
        <w:t xml:space="preserve">, 113886. </w:t>
      </w:r>
      <w:r>
        <w:rPr>
          <w:rStyle w:val="url"/>
        </w:rPr>
        <w:t>https://doi.org/10.1016/j.scienta.2024.113886</w:t>
      </w:r>
    </w:p>
    <w:p w14:paraId="3116F0DE" w14:textId="77777777" w:rsidR="00E76A40" w:rsidRDefault="00937A18" w:rsidP="00E006AE">
      <w:pPr>
        <w:pStyle w:val="NormalWeb"/>
        <w:spacing w:before="0" w:beforeAutospacing="0" w:after="0" w:afterAutospacing="0" w:line="480" w:lineRule="auto"/>
        <w:ind w:left="720" w:hanging="720"/>
        <w:jc w:val="both"/>
      </w:pPr>
      <w:r w:rsidRPr="00E006AE">
        <w:t xml:space="preserve">Tellez, F. R. (2015). </w:t>
      </w:r>
      <w:r w:rsidRPr="00E006AE">
        <w:t>Instituto Forestal Investigación</w:t>
      </w:r>
      <w:r>
        <w:t>.</w:t>
      </w:r>
    </w:p>
    <w:p w14:paraId="582337B5" w14:textId="77777777" w:rsidR="00E76A40" w:rsidRPr="00E006AE" w:rsidRDefault="00937A18" w:rsidP="00E006AE">
      <w:pPr>
        <w:pStyle w:val="NormalWeb"/>
        <w:spacing w:before="0" w:beforeAutospacing="0" w:after="0" w:afterAutospacing="0" w:line="480" w:lineRule="auto"/>
        <w:ind w:left="720" w:hanging="720"/>
        <w:jc w:val="both"/>
      </w:pPr>
      <w:r>
        <w:t xml:space="preserve">Zhu, Z., Chelli, S., Tsakalos, J. L., Bricca, A., Canullo, R., Cervellini, M., Pennesi, R., De Benedictis, L. L. M., Cesaroni, V., Bottacci, A., &amp; Campetella, G. (2025). </w:t>
      </w:r>
      <w:r w:rsidRPr="00E006AE">
        <w:t>How effective are different</w:t>
      </w:r>
      <w:r w:rsidRPr="00E006AE">
        <w:t xml:space="preserve"> protection strategies in promoting the plant diversity of temperate forests in national parks? </w:t>
      </w:r>
      <w:r w:rsidRPr="00E006AE">
        <w:t>Forest Ecology and Management</w:t>
      </w:r>
      <w:r w:rsidRPr="00E006AE">
        <w:t xml:space="preserve">, </w:t>
      </w:r>
      <w:r w:rsidRPr="00E006AE">
        <w:t>584</w:t>
      </w:r>
      <w:r w:rsidRPr="00E006AE">
        <w:t>, 122602. https://doi.org/10.1016/j.foreco.2025.122602</w:t>
      </w:r>
    </w:p>
    <w:p w14:paraId="5A1D0A65" w14:textId="77777777" w:rsidR="00E76A40" w:rsidRPr="00E006AE" w:rsidRDefault="00937A18" w:rsidP="00E006AE">
      <w:pPr>
        <w:pStyle w:val="NormalWeb"/>
        <w:spacing w:before="0" w:beforeAutospacing="0" w:after="0" w:afterAutospacing="0" w:line="480" w:lineRule="auto"/>
        <w:ind w:left="720" w:hanging="720"/>
        <w:jc w:val="both"/>
      </w:pPr>
      <w:proofErr w:type="spellStart"/>
      <w:r w:rsidRPr="00E006AE">
        <w:lastRenderedPageBreak/>
        <w:t>Zuñiga</w:t>
      </w:r>
      <w:proofErr w:type="spellEnd"/>
      <w:r w:rsidRPr="00E006AE">
        <w:t>, P. (2020). Kai: Restoration of the Native Forest for the Conser</w:t>
      </w:r>
      <w:r w:rsidRPr="00E006AE">
        <w:t xml:space="preserve">vation of the Craft Tradition of the </w:t>
      </w:r>
      <w:proofErr w:type="spellStart"/>
      <w:r w:rsidRPr="00E006AE">
        <w:t>Pilwa</w:t>
      </w:r>
      <w:proofErr w:type="spellEnd"/>
      <w:r w:rsidRPr="00E006AE">
        <w:t xml:space="preserve"> of Lake Budi. </w:t>
      </w:r>
      <w:r w:rsidRPr="00E006AE">
        <w:t>IOP Conference Series: Earth and Environmental Science</w:t>
      </w:r>
      <w:r w:rsidRPr="00E006AE">
        <w:t xml:space="preserve">, </w:t>
      </w:r>
      <w:r w:rsidRPr="00E006AE">
        <w:t>503</w:t>
      </w:r>
      <w:r w:rsidRPr="00E006AE">
        <w:t>(1), 012056. https://doi.org/10.1088/1755-1315/503/1/012056</w:t>
      </w:r>
    </w:p>
    <w:p w14:paraId="46972E67" w14:textId="77777777" w:rsidR="00E76A40" w:rsidRPr="00E2117E" w:rsidRDefault="00E76A40">
      <w:pPr>
        <w:spacing w:before="240" w:after="240"/>
        <w:jc w:val="both"/>
        <w:rPr>
          <w:rFonts w:ascii="Times New Roman" w:eastAsia="Times New Roman" w:hAnsi="Times New Roman" w:cs="Times New Roman"/>
          <w:lang w:val="en-US"/>
        </w:rPr>
      </w:pPr>
    </w:p>
    <w:p w14:paraId="30DBED93" w14:textId="77777777" w:rsidR="00E76A40" w:rsidRPr="00E2117E" w:rsidRDefault="00E76A40">
      <w:pPr>
        <w:spacing w:before="280" w:after="280"/>
        <w:jc w:val="both"/>
        <w:rPr>
          <w:rFonts w:ascii="Times New Roman" w:eastAsia="Times New Roman" w:hAnsi="Times New Roman" w:cs="Times New Roman"/>
          <w:lang w:val="en-US"/>
        </w:rPr>
      </w:pPr>
    </w:p>
    <w:p w14:paraId="0035F72C" w14:textId="77777777" w:rsidR="00E76A40" w:rsidRPr="00E2117E" w:rsidRDefault="00E76A40">
      <w:pPr>
        <w:rPr>
          <w:lang w:val="en-US"/>
        </w:rPr>
      </w:pPr>
    </w:p>
    <w:sectPr w:rsidR="00E76A40" w:rsidRPr="00E2117E">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C19A4"/>
    <w:multiLevelType w:val="multilevel"/>
    <w:tmpl w:val="A0F6A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ED7995"/>
    <w:multiLevelType w:val="multilevel"/>
    <w:tmpl w:val="394A1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654ABE"/>
    <w:multiLevelType w:val="multilevel"/>
    <w:tmpl w:val="3B407E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DB90F37"/>
    <w:multiLevelType w:val="multilevel"/>
    <w:tmpl w:val="D10C3C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A40"/>
    <w:rsid w:val="002D69A5"/>
    <w:rsid w:val="00506FCC"/>
    <w:rsid w:val="00694FDB"/>
    <w:rsid w:val="00937A18"/>
    <w:rsid w:val="00DC1A20"/>
    <w:rsid w:val="00E006AE"/>
    <w:rsid w:val="00E2117E"/>
    <w:rsid w:val="00E76A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CDC40"/>
  <w15:docId w15:val="{3D74986E-2885-DF46-951A-5118E76B3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s-PE"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nfasis">
    <w:name w:val="Emphasis"/>
    <w:basedOn w:val="Fuentedeprrafopredeter"/>
    <w:uiPriority w:val="20"/>
    <w:qFormat/>
    <w:rsid w:val="008709C3"/>
    <w:rPr>
      <w:i/>
      <w:iCs/>
    </w:rPr>
  </w:style>
  <w:style w:type="character" w:styleId="Textoennegrita">
    <w:name w:val="Strong"/>
    <w:basedOn w:val="Fuentedeprrafopredeter"/>
    <w:uiPriority w:val="22"/>
    <w:qFormat/>
    <w:rsid w:val="008709C3"/>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694FDB"/>
    <w:rPr>
      <w:color w:val="0563C1" w:themeColor="hyperlink"/>
      <w:u w:val="single"/>
    </w:rPr>
  </w:style>
  <w:style w:type="character" w:styleId="Mencinsinresolver">
    <w:name w:val="Unresolved Mention"/>
    <w:basedOn w:val="Fuentedeprrafopredeter"/>
    <w:uiPriority w:val="99"/>
    <w:semiHidden/>
    <w:unhideWhenUsed/>
    <w:rsid w:val="00694FDB"/>
    <w:rPr>
      <w:color w:val="605E5C"/>
      <w:shd w:val="clear" w:color="auto" w:fill="E1DFDD"/>
    </w:rPr>
  </w:style>
  <w:style w:type="paragraph" w:customStyle="1" w:styleId="Bibliografa1">
    <w:name w:val="Bibliografía1"/>
    <w:basedOn w:val="Normal"/>
    <w:link w:val="BibliographyCar"/>
    <w:rsid w:val="00694FDB"/>
    <w:pPr>
      <w:spacing w:line="480" w:lineRule="auto"/>
      <w:ind w:left="720" w:hanging="720"/>
    </w:pPr>
    <w:rPr>
      <w:rFonts w:asciiTheme="minorHAnsi" w:eastAsiaTheme="minorHAnsi" w:hAnsiTheme="minorHAnsi" w:cstheme="minorBidi"/>
      <w:kern w:val="2"/>
      <w:lang w:val="es-ES_tradnl" w:eastAsia="en-US"/>
      <w14:ligatures w14:val="standardContextual"/>
    </w:rPr>
  </w:style>
  <w:style w:type="character" w:customStyle="1" w:styleId="BibliographyCar">
    <w:name w:val="Bibliography Car"/>
    <w:basedOn w:val="Fuentedeprrafopredeter"/>
    <w:link w:val="Bibliografa1"/>
    <w:rsid w:val="00694FDB"/>
    <w:rPr>
      <w:rFonts w:asciiTheme="minorHAnsi" w:eastAsiaTheme="minorHAnsi" w:hAnsiTheme="minorHAnsi" w:cstheme="minorBidi"/>
      <w:kern w:val="2"/>
      <w:lang w:val="es-ES_tradnl" w:eastAsia="en-US"/>
      <w14:ligatures w14:val="standardContextual"/>
    </w:rPr>
  </w:style>
  <w:style w:type="paragraph" w:styleId="NormalWeb">
    <w:name w:val="Normal (Web)"/>
    <w:basedOn w:val="Normal"/>
    <w:uiPriority w:val="99"/>
    <w:unhideWhenUsed/>
    <w:rsid w:val="00E006AE"/>
    <w:pPr>
      <w:spacing w:before="100" w:beforeAutospacing="1" w:after="100" w:afterAutospacing="1"/>
    </w:pPr>
    <w:rPr>
      <w:rFonts w:ascii="Times New Roman" w:eastAsia="Times New Roman" w:hAnsi="Times New Roman" w:cs="Times New Roman"/>
      <w:lang w:eastAsia="es-PE"/>
    </w:rPr>
  </w:style>
  <w:style w:type="character" w:customStyle="1" w:styleId="url">
    <w:name w:val="url"/>
    <w:basedOn w:val="Fuentedeprrafopredeter"/>
    <w:rsid w:val="00E006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551054">
      <w:bodyDiv w:val="1"/>
      <w:marLeft w:val="0"/>
      <w:marRight w:val="0"/>
      <w:marTop w:val="0"/>
      <w:marBottom w:val="0"/>
      <w:divBdr>
        <w:top w:val="none" w:sz="0" w:space="0" w:color="auto"/>
        <w:left w:val="none" w:sz="0" w:space="0" w:color="auto"/>
        <w:bottom w:val="none" w:sz="0" w:space="0" w:color="auto"/>
        <w:right w:val="none" w:sz="0" w:space="0" w:color="auto"/>
      </w:divBdr>
    </w:div>
    <w:div w:id="872885245">
      <w:bodyDiv w:val="1"/>
      <w:marLeft w:val="0"/>
      <w:marRight w:val="0"/>
      <w:marTop w:val="0"/>
      <w:marBottom w:val="0"/>
      <w:divBdr>
        <w:top w:val="none" w:sz="0" w:space="0" w:color="auto"/>
        <w:left w:val="none" w:sz="0" w:space="0" w:color="auto"/>
        <w:bottom w:val="none" w:sz="0" w:space="0" w:color="auto"/>
        <w:right w:val="none" w:sz="0" w:space="0" w:color="auto"/>
      </w:divBdr>
      <w:divsChild>
        <w:div w:id="1149858278">
          <w:marLeft w:val="-720"/>
          <w:marRight w:val="0"/>
          <w:marTop w:val="0"/>
          <w:marBottom w:val="0"/>
          <w:divBdr>
            <w:top w:val="none" w:sz="0" w:space="0" w:color="auto"/>
            <w:left w:val="none" w:sz="0" w:space="0" w:color="auto"/>
            <w:bottom w:val="none" w:sz="0" w:space="0" w:color="auto"/>
            <w:right w:val="none" w:sz="0" w:space="0" w:color="auto"/>
          </w:divBdr>
        </w:div>
      </w:divsChild>
    </w:div>
    <w:div w:id="1139034303">
      <w:bodyDiv w:val="1"/>
      <w:marLeft w:val="0"/>
      <w:marRight w:val="0"/>
      <w:marTop w:val="0"/>
      <w:marBottom w:val="0"/>
      <w:divBdr>
        <w:top w:val="none" w:sz="0" w:space="0" w:color="auto"/>
        <w:left w:val="none" w:sz="0" w:space="0" w:color="auto"/>
        <w:bottom w:val="none" w:sz="0" w:space="0" w:color="auto"/>
        <w:right w:val="none" w:sz="0" w:space="0" w:color="auto"/>
      </w:divBdr>
    </w:div>
    <w:div w:id="1483035023">
      <w:bodyDiv w:val="1"/>
      <w:marLeft w:val="0"/>
      <w:marRight w:val="0"/>
      <w:marTop w:val="0"/>
      <w:marBottom w:val="0"/>
      <w:divBdr>
        <w:top w:val="none" w:sz="0" w:space="0" w:color="auto"/>
        <w:left w:val="none" w:sz="0" w:space="0" w:color="auto"/>
        <w:bottom w:val="none" w:sz="0" w:space="0" w:color="auto"/>
        <w:right w:val="none" w:sz="0" w:space="0" w:color="auto"/>
      </w:divBdr>
      <w:divsChild>
        <w:div w:id="1620449004">
          <w:marLeft w:val="-720"/>
          <w:marRight w:val="0"/>
          <w:marTop w:val="0"/>
          <w:marBottom w:val="0"/>
          <w:divBdr>
            <w:top w:val="none" w:sz="0" w:space="0" w:color="auto"/>
            <w:left w:val="none" w:sz="0" w:space="0" w:color="auto"/>
            <w:bottom w:val="none" w:sz="0" w:space="0" w:color="auto"/>
            <w:right w:val="none" w:sz="0" w:space="0" w:color="auto"/>
          </w:divBdr>
        </w:div>
      </w:divsChild>
    </w:div>
    <w:div w:id="1727727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21/np0003387"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doi.org/10.1016/j.tplants.2024.05.007" TargetMode="External"/><Relationship Id="rId4" Type="http://schemas.openxmlformats.org/officeDocument/2006/relationships/styles" Target="styles.xml"/><Relationship Id="rId9" Type="http://schemas.openxmlformats.org/officeDocument/2006/relationships/hyperlink" Target="https://doi.org/10.1016/j.foreco.2015.06.01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IIlc57RCHoeinup/vm1Dp5qWBA==">CgMxLjAaHwoBMBIaChgICVIUChJ0YWJsZS44aW1qbjJkcnEweWEaHwoBMRIaChgICVIUChJ0YWJsZS5jejV1NDI3dHpqc3o4AHIhMUxzZTFTLXdDbU1lZGc3MzBteWh6RGNTUllwcGZEa2lB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E03508-A2A5-40BF-B51B-820FFB3B3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14</Pages>
  <Words>3715</Words>
  <Characters>20438</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ANGEL RUBEN GARCIA PINEDO</cp:lastModifiedBy>
  <cp:revision>3</cp:revision>
  <dcterms:created xsi:type="dcterms:W3CDTF">2025-07-17T18:21:00Z</dcterms:created>
  <dcterms:modified xsi:type="dcterms:W3CDTF">2025-07-17T18:35:00Z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id="JM6q9ImS"/&gt;&lt;style id="http://www.zotero.org/styles/apa" locale="es-ES"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