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Proyecto de Tesis</w:t>
      </w:r>
    </w:p>
    <w:p w:rsidR="00000000" w:rsidDel="00000000" w:rsidP="00000000" w:rsidRDefault="00000000" w:rsidRPr="00000000" w14:paraId="00000002">
      <w:pPr>
        <w:numPr>
          <w:ilvl w:val="0"/>
          <w:numId w:val="1"/>
        </w:numPr>
        <w:ind w:left="720" w:hanging="360"/>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rtl w:val="0"/>
        </w:rPr>
        <w:t xml:space="preserve">Título: </w:t>
      </w:r>
    </w:p>
    <w:p w:rsidR="00000000" w:rsidDel="00000000" w:rsidP="00000000" w:rsidRDefault="00000000" w:rsidRPr="00000000" w14:paraId="00000003">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Evaluación de la germinación, efecto del pH y sistemas de intercambio gaseoso en el establecimiento de cultivo in vitro de </w:t>
      </w:r>
      <w:r w:rsidDel="00000000" w:rsidR="00000000" w:rsidRPr="00000000">
        <w:rPr>
          <w:rFonts w:ascii="Times New Roman" w:cs="Times New Roman" w:eastAsia="Times New Roman" w:hAnsi="Times New Roman"/>
          <w:i w:val="1"/>
          <w:rtl w:val="0"/>
        </w:rPr>
        <w:t xml:space="preserve">Greigia </w:t>
      </w:r>
      <w:r w:rsidDel="00000000" w:rsidR="00000000" w:rsidRPr="00000000">
        <w:rPr>
          <w:rFonts w:ascii="Times New Roman" w:cs="Times New Roman" w:eastAsia="Times New Roman" w:hAnsi="Times New Roman"/>
          <w:rtl w:val="0"/>
        </w:rPr>
        <w:t xml:space="preserve">spp. </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rtl w:val="0"/>
        </w:rPr>
        <w:t xml:space="preserve">Problema.</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¿Cómo influye en la germinación, el pH y los sistemas de intercambio gaseoso en el establecimiento in vitro de </w:t>
      </w:r>
      <w:r w:rsidDel="00000000" w:rsidR="00000000" w:rsidRPr="00000000">
        <w:rPr>
          <w:rFonts w:ascii="Times New Roman" w:cs="Times New Roman" w:eastAsia="Times New Roman" w:hAnsi="Times New Roman"/>
          <w:i w:val="1"/>
          <w:rtl w:val="0"/>
        </w:rPr>
        <w:t xml:space="preserve">Greigia</w:t>
      </w:r>
      <w:r w:rsidDel="00000000" w:rsidR="00000000" w:rsidRPr="00000000">
        <w:rPr>
          <w:rFonts w:ascii="Times New Roman" w:cs="Times New Roman" w:eastAsia="Times New Roman" w:hAnsi="Times New Roman"/>
          <w:rtl w:val="0"/>
        </w:rPr>
        <w:t xml:space="preserve"> spp.?</w:t>
      </w:r>
    </w:p>
    <w:p w:rsidR="00000000" w:rsidDel="00000000" w:rsidP="00000000" w:rsidRDefault="00000000" w:rsidRPr="00000000" w14:paraId="00000008">
      <w:pPr>
        <w:numPr>
          <w:ilvl w:val="0"/>
          <w:numId w:val="1"/>
        </w:numPr>
        <w:ind w:left="72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Objetivos.</w:t>
      </w:r>
    </w:p>
    <w:p w:rsidR="00000000" w:rsidDel="00000000" w:rsidP="00000000" w:rsidRDefault="00000000" w:rsidRPr="00000000" w14:paraId="00000009">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3.1. </w:t>
      </w:r>
      <w:r w:rsidDel="00000000" w:rsidR="00000000" w:rsidRPr="00000000">
        <w:rPr>
          <w:rFonts w:ascii="Times New Roman" w:cs="Times New Roman" w:eastAsia="Times New Roman" w:hAnsi="Times New Roman"/>
          <w:b w:val="1"/>
          <w:rtl w:val="0"/>
        </w:rPr>
        <w:t xml:space="preserve">Objetivo general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A">
      <w:pPr>
        <w:spacing w:after="280" w:befor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"Evaluar e implementar una metodología óptima de propagación in vitro para </w:t>
      </w:r>
      <w:r w:rsidDel="00000000" w:rsidR="00000000" w:rsidRPr="00000000">
        <w:rPr>
          <w:rFonts w:ascii="Times New Roman" w:cs="Times New Roman" w:eastAsia="Times New Roman" w:hAnsi="Times New Roman"/>
          <w:i w:val="1"/>
          <w:rtl w:val="0"/>
        </w:rPr>
        <w:t xml:space="preserve">Greigia</w:t>
      </w:r>
      <w:r w:rsidDel="00000000" w:rsidR="00000000" w:rsidRPr="00000000">
        <w:rPr>
          <w:rFonts w:ascii="Times New Roman" w:cs="Times New Roman" w:eastAsia="Times New Roman" w:hAnsi="Times New Roman"/>
          <w:rtl w:val="0"/>
        </w:rPr>
        <w:t xml:space="preserve"> spp., con el fin de contribuir a su conservación."</w:t>
      </w:r>
    </w:p>
    <w:p w:rsidR="00000000" w:rsidDel="00000000" w:rsidP="00000000" w:rsidRDefault="00000000" w:rsidRPr="00000000" w14:paraId="0000000B">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3.2. </w:t>
      </w:r>
      <w:r w:rsidDel="00000000" w:rsidR="00000000" w:rsidRPr="00000000">
        <w:rPr>
          <w:rFonts w:ascii="Times New Roman" w:cs="Times New Roman" w:eastAsia="Times New Roman" w:hAnsi="Times New Roman"/>
          <w:b w:val="1"/>
          <w:rtl w:val="0"/>
        </w:rPr>
        <w:t xml:space="preserve">Objetivos específicos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C">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Evaluar la germinación in vitro de semillas de </w:t>
      </w:r>
      <w:r w:rsidDel="00000000" w:rsidR="00000000" w:rsidRPr="00000000">
        <w:rPr>
          <w:rFonts w:ascii="Times New Roman" w:cs="Times New Roman" w:eastAsia="Times New Roman" w:hAnsi="Times New Roman"/>
          <w:i w:val="1"/>
          <w:rtl w:val="0"/>
        </w:rPr>
        <w:t xml:space="preserve">Greigia</w:t>
      </w:r>
      <w:r w:rsidDel="00000000" w:rsidR="00000000" w:rsidRPr="00000000">
        <w:rPr>
          <w:rFonts w:ascii="Times New Roman" w:cs="Times New Roman" w:eastAsia="Times New Roman" w:hAnsi="Times New Roman"/>
          <w:rtl w:val="0"/>
        </w:rPr>
        <w:t xml:space="preserve"> spp. bajo diferentes concentraciones de ácido giberélico y tiempos de escarificación en frío.</w:t>
      </w:r>
    </w:p>
    <w:p w:rsidR="00000000" w:rsidDel="00000000" w:rsidP="00000000" w:rsidRDefault="00000000" w:rsidRPr="00000000" w14:paraId="0000000D">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numPr>
          <w:ilvl w:val="0"/>
          <w:numId w:val="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Determinar el  pH óptimo del medio de cultivo para el crecimiento y desarrollo in vitro de plántulas de </w:t>
      </w:r>
      <w:r w:rsidDel="00000000" w:rsidR="00000000" w:rsidRPr="00000000">
        <w:rPr>
          <w:rFonts w:ascii="Times New Roman" w:cs="Times New Roman" w:eastAsia="Times New Roman" w:hAnsi="Times New Roman"/>
          <w:i w:val="1"/>
          <w:rtl w:val="0"/>
        </w:rPr>
        <w:t xml:space="preserve">Greigia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spp</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F">
      <w:pPr>
        <w:numPr>
          <w:ilvl w:val="0"/>
          <w:numId w:val="2"/>
        </w:numPr>
        <w:spacing w:after="240" w:befor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Determinar</w:t>
      </w:r>
      <w:r w:rsidDel="00000000" w:rsidR="00000000" w:rsidRPr="00000000">
        <w:rPr>
          <w:rFonts w:ascii="Times New Roman" w:cs="Times New Roman" w:eastAsia="Times New Roman" w:hAnsi="Times New Roman"/>
          <w:rtl w:val="0"/>
        </w:rPr>
        <w:t xml:space="preserve"> la eficiencia óptima del sistema de intercambio gaseoso a través de membranas para la oxigenación del medio y su relación con el desarrollo morfofisiológico de plántulas de Greigia spp. in vitro</w:t>
      </w:r>
      <w:r w:rsidDel="00000000" w:rsidR="00000000" w:rsidRPr="00000000">
        <w:rPr>
          <w:rtl w:val="0"/>
        </w:rPr>
      </w:r>
    </w:p>
    <w:p w:rsidR="00000000" w:rsidDel="00000000" w:rsidP="00000000" w:rsidRDefault="00000000" w:rsidRPr="00000000" w14:paraId="00000010">
      <w:pPr>
        <w:numPr>
          <w:ilvl w:val="0"/>
          <w:numId w:val="1"/>
        </w:numPr>
        <w:spacing w:after="240" w:before="240" w:lineRule="auto"/>
        <w:ind w:left="720" w:hanging="360"/>
        <w:jc w:val="both"/>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rtl w:val="0"/>
        </w:rPr>
        <w:t xml:space="preserve">Antecedentes de la investigación.</w:t>
      </w:r>
    </w:p>
    <w:p w:rsidR="00000000" w:rsidDel="00000000" w:rsidP="00000000" w:rsidRDefault="00000000" w:rsidRPr="00000000" w14:paraId="00000011">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género Greigia (Bromeliaceae) comprende aproximadamente 36 especies en América Central y del Sur, presenta una distribución extraordinariamente disjunta en hábitats húmedos (Barrientos et al., 2020),en bosques andinos de países como Colombia, Venezuela, Perú, Ecuador, Centroamérica y el sur de México (Aravena-Sanhueza et al., 2020). Es una planta que forma parte del sotobosque, crecen bajo las sombras de los árboles nativos, además son retenedoras de suelo (Tellez, 2015). En el Perú, aunque el género ha sido reportado, no se han identificado especies en sí para ser reportadas lo que representa una brecha en el conocimiento taxonómico y ecológico del país.</w:t>
      </w:r>
    </w:p>
    <w:p w:rsidR="00000000" w:rsidDel="00000000" w:rsidP="00000000" w:rsidRDefault="00000000" w:rsidRPr="00000000" w14:paraId="00000012">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Greigia Sp</w:t>
      </w:r>
      <w:r w:rsidDel="00000000" w:rsidR="00000000" w:rsidRPr="00000000">
        <w:rPr>
          <w:rFonts w:ascii="Times New Roman" w:cs="Times New Roman" w:eastAsia="Times New Roman" w:hAnsi="Times New Roman"/>
          <w:rtl w:val="0"/>
        </w:rPr>
        <w:t xml:space="preserve">. conocida comúnmente por los pobladores como; sugare, chupallas, piña piña, es una planta de tamaño arbustivo, de carácter herbáceo y de aspecto similar a su pariente más conocido en el mundo, la piña (Tellez, 2015). Los frutos comestibles de la </w:t>
      </w:r>
      <w:r w:rsidDel="00000000" w:rsidR="00000000" w:rsidRPr="00000000">
        <w:rPr>
          <w:rFonts w:ascii="Times New Roman" w:cs="Times New Roman" w:eastAsia="Times New Roman" w:hAnsi="Times New Roman"/>
          <w:i w:val="1"/>
          <w:rtl w:val="0"/>
        </w:rPr>
        <w:t xml:space="preserve">Greigia Spp. </w:t>
      </w:r>
      <w:r w:rsidDel="00000000" w:rsidR="00000000" w:rsidRPr="00000000">
        <w:rPr>
          <w:rFonts w:ascii="Times New Roman" w:cs="Times New Roman" w:eastAsia="Times New Roman" w:hAnsi="Times New Roman"/>
          <w:rtl w:val="0"/>
        </w:rPr>
        <w:t xml:space="preserve">son de color negro brillante cuando están en su punto de maduración, jugosos, dulces y con un sabor similar al de la manzana y la piña, y se consumen crudos, preparados en infusión o con bebida fermentada (Barrientos et al., 2020). Se ha reportado que esta fruta presenta diversos tipos de antioxidantes, principalmente polifenoles y flavononas (Flagg et al., 2000). Según Barrientos et al., (2020) los frutos de </w:t>
      </w:r>
      <w:r w:rsidDel="00000000" w:rsidR="00000000" w:rsidRPr="00000000">
        <w:rPr>
          <w:rFonts w:ascii="Times New Roman" w:cs="Times New Roman" w:eastAsia="Times New Roman" w:hAnsi="Times New Roman"/>
          <w:i w:val="1"/>
          <w:rtl w:val="0"/>
        </w:rPr>
        <w:t xml:space="preserve">Greigia spp. </w:t>
      </w:r>
      <w:r w:rsidDel="00000000" w:rsidR="00000000" w:rsidRPr="00000000">
        <w:rPr>
          <w:rFonts w:ascii="Times New Roman" w:cs="Times New Roman" w:eastAsia="Times New Roman" w:hAnsi="Times New Roman"/>
          <w:rtl w:val="0"/>
        </w:rPr>
        <w:t xml:space="preserve">contiene inhibidores de acetilcolinesterasa y butirilcolinesterasa el cual sugiere que los productos naturales o suplementos derivados con frutos de </w:t>
      </w:r>
      <w:r w:rsidDel="00000000" w:rsidR="00000000" w:rsidRPr="00000000">
        <w:rPr>
          <w:rFonts w:ascii="Times New Roman" w:cs="Times New Roman" w:eastAsia="Times New Roman" w:hAnsi="Times New Roman"/>
          <w:i w:val="1"/>
          <w:rtl w:val="0"/>
        </w:rPr>
        <w:t xml:space="preserve">Greigia spp. </w:t>
      </w:r>
      <w:r w:rsidDel="00000000" w:rsidR="00000000" w:rsidRPr="00000000">
        <w:rPr>
          <w:rFonts w:ascii="Times New Roman" w:cs="Times New Roman" w:eastAsia="Times New Roman" w:hAnsi="Times New Roman"/>
          <w:rtl w:val="0"/>
        </w:rPr>
        <w:t xml:space="preserve"> son de interés por su potencial neuroprotector.</w:t>
      </w:r>
    </w:p>
    <w:p w:rsidR="00000000" w:rsidDel="00000000" w:rsidP="00000000" w:rsidRDefault="00000000" w:rsidRPr="00000000" w14:paraId="00000014">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otro lado, la pérdida de biodiversidad ha sido una de las principales preocupaciones de la comunidad científica en las últimas décadas (Díaz et al., 2019; Storch et al., 2022), debido a que la diversidad vegetal se encuentra bajo una grave amenaza a nivel global, regional local lo que a su vez representa un riesgo para el bienestar humano. Se cree que aproximadamente el 25% de las especies vegetales evaluadas se encuentran en peligro de extinción (Ren et al., 2019), lo que conlleva a la posible pérdida de recursos genéticos de numerosas especies vegetales que podrían extinguirse (Sun et al., 2024). Para ello, las áreas protegidas se consideran el enfoque de conservación más eficaz (Morales-Hidalgo et al., 2015).</w:t>
      </w:r>
    </w:p>
    <w:p w:rsidR="00000000" w:rsidDel="00000000" w:rsidP="00000000" w:rsidRDefault="00000000" w:rsidRPr="00000000" w14:paraId="00000017">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contexto, el Parque Nacional de Cutervo, ubicado en la provincia de Cutervo- región Cajamarca-Perú. Caracterizado por su gran complejidad florística, endemismo y gran variedad de orquídeas, albergan a los bosques de la cordillera de Tarros, el cual en la actualidad enfrenta una creciente amenaza debido a la explotación irracional de sus bosques, la extracción de madera y la expansión de frontera agrícola y ganadera (Sánchez Recuay &amp; Calderón Rodríguez, 2010), provocando la destrucción  masiva de hábitats, afectando gravemente a especies endémicas y en peligro de extinción, como la </w:t>
      </w:r>
      <w:r w:rsidDel="00000000" w:rsidR="00000000" w:rsidRPr="00000000">
        <w:rPr>
          <w:rFonts w:ascii="Times New Roman" w:cs="Times New Roman" w:eastAsia="Times New Roman" w:hAnsi="Times New Roman"/>
          <w:i w:val="1"/>
          <w:rtl w:val="0"/>
        </w:rPr>
        <w:t xml:space="preserve">Greigia sp.</w:t>
      </w:r>
      <w:r w:rsidDel="00000000" w:rsidR="00000000" w:rsidRPr="00000000">
        <w:rPr>
          <w:rFonts w:ascii="Times New Roman" w:cs="Times New Roman" w:eastAsia="Times New Roman" w:hAnsi="Times New Roman"/>
          <w:rtl w:val="0"/>
        </w:rPr>
        <w:t xml:space="preserve">( Zuñiga, 2020)</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La cual según los pobladores de localidades aledañas comentan que ha ido mermando la población y hoy en día es poco probable encontrarla en gran cantidad.</w:t>
      </w:r>
    </w:p>
    <w:p w:rsidR="00000000" w:rsidDel="00000000" w:rsidP="00000000" w:rsidRDefault="00000000" w:rsidRPr="00000000" w14:paraId="00000019">
      <w:pPr>
        <w:ind w:left="4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A">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esfuerzos tradicionales como la protección de áreas naturales, han demostrado ser insuficiente para garantizar la supervivencia de esta especie (Zhu et al., 2025). Además, la regeneración natural de estas especies como </w:t>
      </w:r>
      <w:r w:rsidDel="00000000" w:rsidR="00000000" w:rsidRPr="00000000">
        <w:rPr>
          <w:rFonts w:ascii="Times New Roman" w:cs="Times New Roman" w:eastAsia="Times New Roman" w:hAnsi="Times New Roman"/>
          <w:i w:val="1"/>
          <w:rtl w:val="0"/>
        </w:rPr>
        <w:t xml:space="preserve">Greigia sp</w:t>
      </w:r>
      <w:r w:rsidDel="00000000" w:rsidR="00000000" w:rsidRPr="00000000">
        <w:rPr>
          <w:rFonts w:ascii="Times New Roman" w:cs="Times New Roman" w:eastAsia="Times New Roman" w:hAnsi="Times New Roman"/>
          <w:rtl w:val="0"/>
        </w:rPr>
        <w:t xml:space="preserve">. es extremadamente lenta debido a sus bajas probabilidades de germinación (Cartagena et al., 2024).</w:t>
      </w:r>
    </w:p>
    <w:p w:rsidR="00000000" w:rsidDel="00000000" w:rsidP="00000000" w:rsidRDefault="00000000" w:rsidRPr="00000000" w14:paraId="0000001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género </w:t>
      </w:r>
      <w:r w:rsidDel="00000000" w:rsidR="00000000" w:rsidRPr="00000000">
        <w:rPr>
          <w:rFonts w:ascii="Times New Roman" w:cs="Times New Roman" w:eastAsia="Times New Roman" w:hAnsi="Times New Roman"/>
          <w:i w:val="1"/>
          <w:rtl w:val="0"/>
        </w:rPr>
        <w:t xml:space="preserve">greigia </w:t>
      </w:r>
      <w:r w:rsidDel="00000000" w:rsidR="00000000" w:rsidRPr="00000000">
        <w:rPr>
          <w:rFonts w:ascii="Times New Roman" w:cs="Times New Roman" w:eastAsia="Times New Roman" w:hAnsi="Times New Roman"/>
          <w:rtl w:val="0"/>
        </w:rPr>
        <w:t xml:space="preserve">presenta una escasa investigación con respecto a su regeneración in vitro, Cartagena et al., (2024) propusieron una metodología de propagación in vitro en </w:t>
      </w:r>
      <w:r w:rsidDel="00000000" w:rsidR="00000000" w:rsidRPr="00000000">
        <w:rPr>
          <w:rFonts w:ascii="Times New Roman" w:cs="Times New Roman" w:eastAsia="Times New Roman" w:hAnsi="Times New Roman"/>
          <w:i w:val="1"/>
          <w:rtl w:val="0"/>
        </w:rPr>
        <w:t xml:space="preserve">greigia sphaselata </w:t>
      </w:r>
      <w:r w:rsidDel="00000000" w:rsidR="00000000" w:rsidRPr="00000000">
        <w:rPr>
          <w:rFonts w:ascii="Times New Roman" w:cs="Times New Roman" w:eastAsia="Times New Roman" w:hAnsi="Times New Roman"/>
          <w:rtl w:val="0"/>
        </w:rPr>
        <w:t xml:space="preserve">usando sus semillas, para realizar la prueba de inhibición usaron agua destilada, escarificación con ácido sulfúrico 98% x 1 minuto y dejaron absorber agua durante 25 días a 25°C. En la prueba de germinación la estratificación fue a 4°C durante 30, 60 y 90 días y un tratamiento de ácido giberélico con 500 ppm, la cámara de germinación fue a 20°C por 120 días. Para su germinación in vitro realizaron desinfección con Tween 20 a 0,01% más hipoclorito de sodio al 1% durante 15 minutos, el medio utilizado fue semisólido con MS al 25%, temperatura de 20°C y 16:8 de fotoperiodo, el  monitoreo de germinación se realizó cada 7 días.</w:t>
      </w:r>
    </w:p>
    <w:p w:rsidR="00000000" w:rsidDel="00000000" w:rsidP="00000000" w:rsidRDefault="00000000" w:rsidRPr="00000000" w14:paraId="000000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 este contexto surge la idea de la propagación in vitro como una alternativa viable para producir un gran número de plantas en condiciones controladas, superando toda limitación de los métodos tradicionales. Además de este estudio que aún no ha sido publicado completamente, no existen aún otros antecedentes de propagación in vitro del género </w:t>
      </w:r>
      <w:r w:rsidDel="00000000" w:rsidR="00000000" w:rsidRPr="00000000">
        <w:rPr>
          <w:rFonts w:ascii="Times New Roman" w:cs="Times New Roman" w:eastAsia="Times New Roman" w:hAnsi="Times New Roman"/>
          <w:i w:val="1"/>
          <w:rtl w:val="0"/>
        </w:rPr>
        <w:t xml:space="preserve">greigia</w:t>
      </w:r>
      <w:r w:rsidDel="00000000" w:rsidR="00000000" w:rsidRPr="00000000">
        <w:rPr>
          <w:rFonts w:ascii="Times New Roman" w:cs="Times New Roman" w:eastAsia="Times New Roman" w:hAnsi="Times New Roman"/>
          <w:rtl w:val="0"/>
        </w:rPr>
        <w:t xml:space="preserve">, por lo cual es de interés desarrollar los objetivos planteados de dicho proyecto. </w:t>
      </w:r>
    </w:p>
    <w:p w:rsidR="00000000" w:rsidDel="00000000" w:rsidP="00000000" w:rsidRDefault="00000000" w:rsidRPr="00000000" w14:paraId="0000001D">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ind w:left="4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F">
      <w:pPr>
        <w:numPr>
          <w:ilvl w:val="0"/>
          <w:numId w:val="1"/>
        </w:numPr>
        <w:ind w:left="720" w:hanging="360"/>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rtl w:val="0"/>
        </w:rPr>
        <w:t xml:space="preserve">Hipótesis.</w:t>
      </w:r>
    </w:p>
    <w:p w:rsidR="00000000" w:rsidDel="00000000" w:rsidP="00000000" w:rsidRDefault="00000000" w:rsidRPr="00000000" w14:paraId="00000020">
      <w:pPr>
        <w:spacing w:after="240" w:befor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La combinación de escarificación en frío, ácido giberélico, un medio de cultivo con pH 5.8 y membranas semipermeables para intercambio gaseoso incrementará significativamente la eficiencia del establecimiento in vitro de Greigia spp. en comparación con métodos convencionales.</w:t>
      </w:r>
      <w:r w:rsidDel="00000000" w:rsidR="00000000" w:rsidRPr="00000000">
        <w:rPr>
          <w:rtl w:val="0"/>
        </w:rPr>
      </w:r>
    </w:p>
    <w:p w:rsidR="00000000" w:rsidDel="00000000" w:rsidP="00000000" w:rsidRDefault="00000000" w:rsidRPr="00000000" w14:paraId="00000021">
      <w:pPr>
        <w:numPr>
          <w:ilvl w:val="0"/>
          <w:numId w:val="1"/>
        </w:numPr>
        <w:spacing w:after="240" w:before="240" w:lineRule="auto"/>
        <w:ind w:left="720" w:hanging="360"/>
        <w:jc w:val="both"/>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rtl w:val="0"/>
        </w:rPr>
        <w:t xml:space="preserve">Metodología.</w:t>
      </w:r>
    </w:p>
    <w:p w:rsidR="00000000" w:rsidDel="00000000" w:rsidP="00000000" w:rsidRDefault="00000000" w:rsidRPr="00000000" w14:paraId="00000022">
      <w:pPr>
        <w:spacing w:after="240" w:before="240" w:lineRule="auto"/>
        <w:ind w:left="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6.1. Población, muestra y muestreo.</w:t>
      </w:r>
    </w:p>
    <w:p w:rsidR="00000000" w:rsidDel="00000000" w:rsidP="00000000" w:rsidRDefault="00000000" w:rsidRPr="00000000" w14:paraId="00000023">
      <w:pPr>
        <w:spacing w:after="240" w:befor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esta investigación la muestra será igual a la población de estudio, además, la muestra estará conformada por 1/2  kg y serán usadas para evaluar </w:t>
      </w:r>
    </w:p>
    <w:p w:rsidR="00000000" w:rsidDel="00000000" w:rsidP="00000000" w:rsidRDefault="00000000" w:rsidRPr="00000000" w14:paraId="00000024">
      <w:pPr>
        <w:spacing w:after="240" w:before="240" w:lineRule="auto"/>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5">
      <w:pPr>
        <w:spacing w:after="240" w:before="240" w:lineRule="auto"/>
        <w:ind w:left="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6.2. Variables de estudio.</w:t>
      </w:r>
    </w:p>
    <w:p w:rsidR="00000000" w:rsidDel="00000000" w:rsidP="00000000" w:rsidRDefault="00000000" w:rsidRPr="00000000" w14:paraId="00000026">
      <w:pPr>
        <w:spacing w:after="240" w:befor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Variables independientes: Concentración del ácido giberélico, tiempo de escarificación en frío, niveles de pH y número de membranas .</w:t>
      </w:r>
    </w:p>
    <w:p w:rsidR="00000000" w:rsidDel="00000000" w:rsidP="00000000" w:rsidRDefault="00000000" w:rsidRPr="00000000" w14:paraId="00000027">
      <w:pPr>
        <w:spacing w:after="240" w:befor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Variables dependientes: Germinación, crecimiento y desarrollo in vitro e intercambio gaseoso.</w:t>
      </w:r>
    </w:p>
    <w:p w:rsidR="00000000" w:rsidDel="00000000" w:rsidP="00000000" w:rsidRDefault="00000000" w:rsidRPr="00000000" w14:paraId="00000028">
      <w:pPr>
        <w:spacing w:after="240" w:before="240" w:lineRule="auto"/>
        <w:ind w:left="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6.3. Métodos.</w:t>
      </w:r>
    </w:p>
    <w:p w:rsidR="00000000" w:rsidDel="00000000" w:rsidP="00000000" w:rsidRDefault="00000000" w:rsidRPr="00000000" w14:paraId="00000029">
      <w:pPr>
        <w:spacing w:after="240" w:before="240" w:lineRule="auto"/>
        <w:ind w:left="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6.3.1. Diseño experimental.</w:t>
      </w:r>
    </w:p>
    <w:p w:rsidR="00000000" w:rsidDel="00000000" w:rsidP="00000000" w:rsidRDefault="00000000" w:rsidRPr="00000000" w14:paraId="000000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presente estudio, para evaluar el efecto del ácido Giberélico (AG) y la escarificación en frío sobre la germinación de semillas de </w:t>
      </w:r>
      <w:r w:rsidDel="00000000" w:rsidR="00000000" w:rsidRPr="00000000">
        <w:rPr>
          <w:rFonts w:ascii="Times New Roman" w:cs="Times New Roman" w:eastAsia="Times New Roman" w:hAnsi="Times New Roman"/>
          <w:i w:val="1"/>
          <w:rtl w:val="0"/>
        </w:rPr>
        <w:t xml:space="preserve">Greigia</w:t>
      </w:r>
      <w:r w:rsidDel="00000000" w:rsidR="00000000" w:rsidRPr="00000000">
        <w:rPr>
          <w:rFonts w:ascii="Times New Roman" w:cs="Times New Roman" w:eastAsia="Times New Roman" w:hAnsi="Times New Roman"/>
          <w:rtl w:val="0"/>
        </w:rPr>
        <w:t xml:space="preserve"> sp., se empleará un Diseño Completamente al Azar (DCA). El factor 1 corresponderá a las concentraciones de Ácido Giberélico (0.25, 1.00 y 1.50 mg/L), y el factor 2 a los tiempos de escarificación en frío (B1: 10 días, B2: 20 días, B3: 30 días). Esto dará lugar a 9 tratamientos (3 concentraciones de AG x 3 tiempos de exposición) cada tratamiento tendrá 4 réplicas. Cada réplica consistirá en una placa Petri el cual contendrá 20 ml de medio. El número de semillas consistirá en 25 por cada placa.</w:t>
      </w:r>
    </w:p>
    <w:p w:rsidR="00000000" w:rsidDel="00000000" w:rsidP="00000000" w:rsidRDefault="00000000" w:rsidRPr="00000000" w14:paraId="0000002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evaluar el medio óptimo de concentraciones de pH en el desarrollo de las plántulas de Greigia spp., se empleó un Diseño Completamente al Azar (DCA). Lo cual corresponderá a los niveles de pH 4.5, 5.0, 5.8, 6.0 y  6.5  </w:t>
      </w:r>
    </w:p>
    <w:p w:rsidR="00000000" w:rsidDel="00000000" w:rsidP="00000000" w:rsidRDefault="00000000" w:rsidRPr="00000000" w14:paraId="0000002D">
      <w:pPr>
        <w:spacing w:after="240" w:before="240" w:lineRule="auto"/>
        <w:ind w:left="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6.3.2. Material de estudio.</w:t>
      </w:r>
    </w:p>
    <w:p w:rsidR="00000000" w:rsidDel="00000000" w:rsidP="00000000" w:rsidRDefault="00000000" w:rsidRPr="00000000" w14:paraId="0000002E">
      <w:pPr>
        <w:spacing w:after="240" w:befor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semillas de sugare o chupón (greigia spp.) Se obtendrá a partir de los frutos que serán recolectados del Parque Nacional de Cutervo ubicado en la cordillera de Tarros, distrito Santo Domingo de la Capilla, provincia de Cutervo en el departamento de Cajamarca. </w:t>
      </w:r>
    </w:p>
    <w:p w:rsidR="00000000" w:rsidDel="00000000" w:rsidP="00000000" w:rsidRDefault="00000000" w:rsidRPr="00000000" w14:paraId="0000002F">
      <w:pPr>
        <w:spacing w:after="240" w:befor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Posteriormente las semillas serán extraídas de cada fruto de sugare para posteriormente ser  puestas a secar a temperatura ambiente y por último estas semillas serán llevadas al laboratorio de investigación en Fisiología y Biotecnología Vegetal (FISIOBVEG) de la Universidad Nacional Toribio Rodriguez de Mendoza de Amazonas, para proceder con la desinfección y siembra en un medio de cultivo in vitro.</w:t>
      </w:r>
    </w:p>
    <w:p w:rsidR="00000000" w:rsidDel="00000000" w:rsidP="00000000" w:rsidRDefault="00000000" w:rsidRPr="00000000" w14:paraId="000000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investigación se realizará en el laboratorio FISIOBVEG, utilizando instalaciones para cultivos in vitro. Se emplearán condiciones asépticas, cámaras de frío y de crecimiento controladas para evaluar la germinación y desarrollo de plántulas de </w:t>
      </w:r>
      <w:r w:rsidDel="00000000" w:rsidR="00000000" w:rsidRPr="00000000">
        <w:rPr>
          <w:rFonts w:ascii="Times New Roman" w:cs="Times New Roman" w:eastAsia="Times New Roman" w:hAnsi="Times New Roman"/>
          <w:i w:val="1"/>
          <w:rtl w:val="0"/>
        </w:rPr>
        <w:t xml:space="preserve">greigia sp.</w:t>
      </w:r>
      <w:r w:rsidDel="00000000" w:rsidR="00000000" w:rsidRPr="00000000">
        <w:rPr>
          <w:rtl w:val="0"/>
        </w:rPr>
      </w:r>
    </w:p>
    <w:p w:rsidR="00000000" w:rsidDel="00000000" w:rsidP="00000000" w:rsidRDefault="00000000" w:rsidRPr="00000000" w14:paraId="00000031">
      <w:pPr>
        <w:spacing w:after="240" w:before="240" w:lineRule="auto"/>
        <w:ind w:left="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Preparación de medio de cultivo.</w:t>
      </w:r>
    </w:p>
    <w:p w:rsidR="00000000" w:rsidDel="00000000" w:rsidP="00000000" w:rsidRDefault="00000000" w:rsidRPr="00000000" w14:paraId="000000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la ejecución de los ensayos experimentales, primeramente se preparará un medio sólido constituido por MS (Murashige &amp; Skoog, 1962) al 100%, 30 g/L de sacarosa, 2 g/L phytagel, el ácido giberélico (AG) se ajustarán a 20, 80 y 120 ppm para cada tratamiento el cual estará compuesto por 80 ml de medio y se ajustará a un pH de 5.8. El medio se esterilizará en autoclave a 121 °C con una presión de 15 bar durante 15 minutos. Posteriormente se colocará en placas un aproximado de 20ml para cada placa  y se dejará gelifica</w:t>
      </w:r>
      <w:r w:rsidDel="00000000" w:rsidR="00000000" w:rsidRPr="00000000">
        <w:rPr>
          <w:rFonts w:ascii="Arial" w:cs="Arial" w:eastAsia="Arial" w:hAnsi="Arial"/>
          <w:rtl w:val="0"/>
        </w:rPr>
        <w:t xml:space="preserve">r.</w:t>
      </w:r>
      <w:r w:rsidDel="00000000" w:rsidR="00000000" w:rsidRPr="00000000">
        <w:rPr>
          <w:rtl w:val="0"/>
        </w:rPr>
      </w:r>
    </w:p>
    <w:p w:rsidR="00000000" w:rsidDel="00000000" w:rsidP="00000000" w:rsidRDefault="00000000" w:rsidRPr="00000000" w14:paraId="00000033">
      <w:pPr>
        <w:spacing w:after="240" w:before="240" w:lineRule="auto"/>
        <w:ind w:left="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Desinfección de las semillas de Greigia spp.</w:t>
      </w:r>
    </w:p>
    <w:p w:rsidR="00000000" w:rsidDel="00000000" w:rsidP="00000000" w:rsidRDefault="00000000" w:rsidRPr="00000000" w14:paraId="0000003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Seguidamente el proceso comenzará con la desinfección de las semillas, para lo cual se utilizará 0.860g de semillas de Greigia spp y serán enjuagadas 3 veces con agua destilada, posteriormente se hidratará en agua destilada estéril durante 15 horas. Pasado el tiempo de hidratación, las semillas serán colocadas en papel filtro para facilitar la desinfección en una cabina de flujo laminar, este protocolo consistirá en sumergirlas en etanol al 70% (v/v) durante un minuto y enjuagar con abundante agua destilada durante 5 minutos, seguido de su inmersión en una solución de 100ml compuesta por hipoclorito de sodio (NaClO) al 1.25% más Tween-80 al 0.01% durante 15 minutos. Finalizado este proceso, las semillas serán enjuagadas 3 veces durante 5 minutos  con agua destilada estéril, posteriormente se dejará reposar durante 5 minutos en agua destilada y posteriormente, se procede a enjuagar con abundante agua y por último se sacará las semillas a una placa petri la cual contiene en su interior papel esterilizado. </w:t>
      </w:r>
    </w:p>
    <w:p w:rsidR="00000000" w:rsidDel="00000000" w:rsidP="00000000" w:rsidRDefault="00000000" w:rsidRPr="00000000" w14:paraId="0000003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Siembra de las semillas de Greigia spp en placas con medio de cultivo.</w:t>
      </w:r>
    </w:p>
    <w:p w:rsidR="00000000" w:rsidDel="00000000" w:rsidP="00000000" w:rsidRDefault="00000000" w:rsidRPr="00000000" w14:paraId="0000003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Finalmente, las semillas esterilizadas serán sembradas en placas petri que contendrán medio de cultivo MS (Murashige &amp; Skoog, 1962) y serán sometidas a un proceso de escarificación en frío, exponiéndolas a una temperatura de 4 °C durante 5, 10 y 20 días (tratamientos) en oscuridad. Pasados los días de escarificación correspondiente para cada tratamiento, se procederá a incubar los tratamientos bajo condiciones controladas con una temperatura constante de 25 ± 1 °C, y un fotoperiodo de 16 horas de luz y 8 horas de oscuridad.</w:t>
      </w:r>
    </w:p>
    <w:p w:rsidR="00000000" w:rsidDel="00000000" w:rsidP="00000000" w:rsidRDefault="00000000" w:rsidRPr="00000000" w14:paraId="0000003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Siembra de las plántulas en medio con diferentes concentraciones de pH.</w:t>
      </w:r>
    </w:p>
    <w:p w:rsidR="00000000" w:rsidDel="00000000" w:rsidP="00000000" w:rsidRDefault="00000000" w:rsidRPr="00000000" w14:paraId="0000003B">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plántulas obtenidas a la edad de dos meses serán transferidas a un medios de cultivo líquido constituidos por MS (Murashige &amp; Skoog, 1962) al 100%, 30 g/L de sacarosa .</w:t>
      </w:r>
    </w:p>
    <w:p w:rsidR="00000000" w:rsidDel="00000000" w:rsidP="00000000" w:rsidRDefault="00000000" w:rsidRPr="00000000" w14:paraId="0000003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Elaboración de botes de plástico adaptados a una magenta con diferente número de  membranas para la oxigenación del medio.</w:t>
      </w:r>
    </w:p>
    <w:p w:rsidR="00000000" w:rsidDel="00000000" w:rsidP="00000000" w:rsidRDefault="00000000" w:rsidRPr="00000000" w14:paraId="0000004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Siembra de las plántulas en medio óptimo, en los botes tipo magenta con diferente número de membranas.</w:t>
      </w:r>
    </w:p>
    <w:p w:rsidR="00000000" w:rsidDel="00000000" w:rsidP="00000000" w:rsidRDefault="00000000" w:rsidRPr="00000000" w14:paraId="0000004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ind w:left="0" w:firstLine="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La investigación se realizará en el laboratorio de investigación en Fisiología y Biotecnología Vegetal, utilizando instalaciones para cultivos in vitro. Se emplearán condiciones asépticas, cámaras de frío y de crecimiento controladas para evaluar la germinación y desarrollo de plántulas de </w:t>
      </w:r>
      <w:r w:rsidDel="00000000" w:rsidR="00000000" w:rsidRPr="00000000">
        <w:rPr>
          <w:rFonts w:ascii="Times New Roman" w:cs="Times New Roman" w:eastAsia="Times New Roman" w:hAnsi="Times New Roman"/>
          <w:i w:val="1"/>
          <w:rtl w:val="0"/>
        </w:rPr>
        <w:t xml:space="preserve">greigia sp</w:t>
      </w:r>
    </w:p>
    <w:p w:rsidR="00000000" w:rsidDel="00000000" w:rsidP="00000000" w:rsidRDefault="00000000" w:rsidRPr="00000000" w14:paraId="00000044">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 Cronograma.</w:t>
      </w:r>
    </w:p>
    <w:p w:rsidR="00000000" w:rsidDel="00000000" w:rsidP="00000000" w:rsidRDefault="00000000" w:rsidRPr="00000000" w14:paraId="00000046">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 Análisis de datos.</w:t>
      </w:r>
    </w:p>
    <w:p w:rsidR="00000000" w:rsidDel="00000000" w:rsidP="00000000" w:rsidRDefault="00000000" w:rsidRPr="00000000" w14:paraId="00000048">
      <w:pPr>
        <w:ind w:left="0" w:firstLine="0"/>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49">
      <w:pPr>
        <w:ind w:left="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Referencias</w:t>
      </w:r>
      <w:r w:rsidDel="00000000" w:rsidR="00000000" w:rsidRPr="00000000">
        <w:rPr>
          <w:rtl w:val="0"/>
        </w:rPr>
      </w:r>
    </w:p>
    <w:p w:rsidR="00000000" w:rsidDel="00000000" w:rsidP="00000000" w:rsidRDefault="00000000" w:rsidRPr="00000000" w14:paraId="0000004A">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ind w:left="708.6614173228347" w:hanging="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Aravena-Sanhueza, F., Pérez-Rivera, M., Castillo-Felices, R., Mundaca-Uribe, R., Aranda Bustos, M., Peña Farfal, C., Aravena-Sanhueza, F., Pérez-Rivera, M., Castillo-Felices, R., Mundaca-Uribe, R., Aranda Bustos, M., &amp; Peña Farfal, C. (2020). determination of antioxidant capacity (orac) of greigia sphacelata and correlation with voltammetric methods. </w:t>
      </w:r>
      <w:r w:rsidDel="00000000" w:rsidR="00000000" w:rsidRPr="00000000">
        <w:rPr>
          <w:rFonts w:ascii="Times New Roman" w:cs="Times New Roman" w:eastAsia="Times New Roman" w:hAnsi="Times New Roman"/>
          <w:i w:val="1"/>
          <w:rtl w:val="0"/>
        </w:rPr>
        <w:t xml:space="preserve">Journal of the Chilean Chemical Society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65</w:t>
      </w:r>
      <w:r w:rsidDel="00000000" w:rsidR="00000000" w:rsidRPr="00000000">
        <w:rPr>
          <w:rFonts w:ascii="Times New Roman" w:cs="Times New Roman" w:eastAsia="Times New Roman" w:hAnsi="Times New Roman"/>
          <w:rtl w:val="0"/>
        </w:rPr>
        <w:t xml:space="preserve">(3), 4925-4928. https://doi.org/10.4067/s0717-97072020000204925</w:t>
      </w:r>
    </w:p>
    <w:p w:rsidR="00000000" w:rsidDel="00000000" w:rsidP="00000000" w:rsidRDefault="00000000" w:rsidRPr="00000000" w14:paraId="0000004C">
      <w:pPr>
        <w:ind w:left="708.6614173228347" w:hanging="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Barrientos, R. E., Ahmed, S., Cortés, C., Fernández-Galleguillos, C., Romero-Parra, J., Simirgiotis, M. J., &amp; Echeverría, J. (2020). Chemical Fingerprinting and Biological Evaluation of the Endemic Chilean Fruit Greigia sphacelata (Ruiz and Pav.) Regel (Bromeliaceae) by UHPLC-PDA-Orbitrap-Mass Spectrometry. </w:t>
      </w:r>
      <w:r w:rsidDel="00000000" w:rsidR="00000000" w:rsidRPr="00000000">
        <w:rPr>
          <w:rFonts w:ascii="Times New Roman" w:cs="Times New Roman" w:eastAsia="Times New Roman" w:hAnsi="Times New Roman"/>
          <w:i w:val="1"/>
          <w:rtl w:val="0"/>
        </w:rPr>
        <w:t xml:space="preserve">Molecules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25</w:t>
      </w:r>
      <w:r w:rsidDel="00000000" w:rsidR="00000000" w:rsidRPr="00000000">
        <w:rPr>
          <w:rFonts w:ascii="Times New Roman" w:cs="Times New Roman" w:eastAsia="Times New Roman" w:hAnsi="Times New Roman"/>
          <w:rtl w:val="0"/>
        </w:rPr>
        <w:t xml:space="preserve">(16), Article 16. https://doi.org/10.3390/molecules25163750</w:t>
      </w:r>
    </w:p>
    <w:p w:rsidR="00000000" w:rsidDel="00000000" w:rsidP="00000000" w:rsidRDefault="00000000" w:rsidRPr="00000000" w14:paraId="0000004D">
      <w:pPr>
        <w:ind w:left="708.6614173228347" w:hanging="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Cartagena, A., Gomez, M., Contreras, S., &amp; Gebauer, M. (2024). </w:t>
      </w:r>
      <w:r w:rsidDel="00000000" w:rsidR="00000000" w:rsidRPr="00000000">
        <w:rPr>
          <w:rFonts w:ascii="Times New Roman" w:cs="Times New Roman" w:eastAsia="Times New Roman" w:hAnsi="Times New Roman"/>
          <w:i w:val="1"/>
          <w:rtl w:val="0"/>
        </w:rPr>
        <w:t xml:space="preserve">Estrategias de propagación de Greigia sphacelata (Bromeliaceae) a partir de semillas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E">
      <w:pPr>
        <w:ind w:left="708.6614173228347" w:hanging="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Diaz, S., Brondizio, E., Settele, J., &amp; Ngo, H. T. (2019). </w:t>
      </w:r>
      <w:r w:rsidDel="00000000" w:rsidR="00000000" w:rsidRPr="00000000">
        <w:rPr>
          <w:rFonts w:ascii="Times New Roman" w:cs="Times New Roman" w:eastAsia="Times New Roman" w:hAnsi="Times New Roman"/>
          <w:i w:val="1"/>
          <w:rtl w:val="0"/>
        </w:rPr>
        <w:t xml:space="preserve">Global assessment report on biodiversity and ecosystem services of the Intergovernmental Science-Policy Platform on Biodiversity and Ecosystem Services</w:t>
      </w:r>
      <w:r w:rsidDel="00000000" w:rsidR="00000000" w:rsidRPr="00000000">
        <w:rPr>
          <w:rFonts w:ascii="Times New Roman" w:cs="Times New Roman" w:eastAsia="Times New Roman" w:hAnsi="Times New Roman"/>
          <w:rtl w:val="0"/>
        </w:rPr>
        <w:t xml:space="preserve">. https://doi.org/10.5281/zenodo.6417333</w:t>
      </w:r>
    </w:p>
    <w:p w:rsidR="00000000" w:rsidDel="00000000" w:rsidP="00000000" w:rsidRDefault="00000000" w:rsidRPr="00000000" w14:paraId="0000004F">
      <w:pPr>
        <w:ind w:left="708.6614173228347" w:hanging="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 M. L., Wächter, G. A., Davis, A. L., Montenegro, G., &amp; Timmermann, B. N. (2000). Two Novel Flavanones from Greigia sphacelata. </w:t>
      </w:r>
      <w:r w:rsidDel="00000000" w:rsidR="00000000" w:rsidRPr="00000000">
        <w:rPr>
          <w:rFonts w:ascii="Times New Roman" w:cs="Times New Roman" w:eastAsia="Times New Roman" w:hAnsi="Times New Roman"/>
          <w:i w:val="1"/>
          <w:rtl w:val="0"/>
        </w:rPr>
        <w:t xml:space="preserve">Journal of Natural Products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63</w:t>
      </w:r>
      <w:r w:rsidDel="00000000" w:rsidR="00000000" w:rsidRPr="00000000">
        <w:rPr>
          <w:rFonts w:ascii="Times New Roman" w:cs="Times New Roman" w:eastAsia="Times New Roman" w:hAnsi="Times New Roman"/>
          <w:rtl w:val="0"/>
        </w:rPr>
        <w:t xml:space="preserve">(12), 1689-1691. https://doi.org/10.1021/np0003387</w:t>
      </w:r>
    </w:p>
    <w:p w:rsidR="00000000" w:rsidDel="00000000" w:rsidP="00000000" w:rsidRDefault="00000000" w:rsidRPr="00000000" w14:paraId="00000050">
      <w:pPr>
        <w:ind w:left="708.6614173228347" w:hanging="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Morales-Hidalgo, D., Oswalt, S. N., &amp; Somanathan, E. (2015). Status and trends in global primary forest, protected areas, and areas designated for conservation of biodiversity from the Global Forest Resources Assessment 2015. </w:t>
      </w:r>
      <w:r w:rsidDel="00000000" w:rsidR="00000000" w:rsidRPr="00000000">
        <w:rPr>
          <w:rFonts w:ascii="Times New Roman" w:cs="Times New Roman" w:eastAsia="Times New Roman" w:hAnsi="Times New Roman"/>
          <w:i w:val="1"/>
          <w:rtl w:val="0"/>
        </w:rPr>
        <w:t xml:space="preserve">Forest Ecology and Management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352</w:t>
      </w:r>
      <w:r w:rsidDel="00000000" w:rsidR="00000000" w:rsidRPr="00000000">
        <w:rPr>
          <w:rFonts w:ascii="Times New Roman" w:cs="Times New Roman" w:eastAsia="Times New Roman" w:hAnsi="Times New Roman"/>
          <w:rtl w:val="0"/>
        </w:rPr>
        <w:t xml:space="preserve">, 68-77. https://doi.org/10.1016/j.foreco.2015.06.011</w:t>
      </w:r>
    </w:p>
    <w:p w:rsidR="00000000" w:rsidDel="00000000" w:rsidP="00000000" w:rsidRDefault="00000000" w:rsidRPr="00000000" w14:paraId="00000051">
      <w:pPr>
        <w:ind w:left="708.6614173228347" w:hanging="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 H., Qin, H., Ouyang, Z., Wen, X., Jin, X., Liu, H., Lu, H., Liu, H., Zhou, J., Zeng, Y., Smith, P., Jackson, P. W., Gratzfeld, J., Sharrock, S., Xu, H., Zhang, Z., Guo, Q., Sun, W., Ma, J., … Zhao, L. (2019). Progress of implementation on the Global Strategy for Plant Conservation in (2011–2020) China. </w:t>
      </w:r>
      <w:r w:rsidDel="00000000" w:rsidR="00000000" w:rsidRPr="00000000">
        <w:rPr>
          <w:rFonts w:ascii="Times New Roman" w:cs="Times New Roman" w:eastAsia="Times New Roman" w:hAnsi="Times New Roman"/>
          <w:i w:val="1"/>
          <w:rtl w:val="0"/>
        </w:rPr>
        <w:t xml:space="preserve">Biological Conservation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230</w:t>
      </w:r>
      <w:r w:rsidDel="00000000" w:rsidR="00000000" w:rsidRPr="00000000">
        <w:rPr>
          <w:rFonts w:ascii="Times New Roman" w:cs="Times New Roman" w:eastAsia="Times New Roman" w:hAnsi="Times New Roman"/>
          <w:rtl w:val="0"/>
        </w:rPr>
        <w:t xml:space="preserve">, 169-178. https://doi.org/10.1016/j.biocon.2018.12.030</w:t>
      </w:r>
    </w:p>
    <w:p w:rsidR="00000000" w:rsidDel="00000000" w:rsidP="00000000" w:rsidRDefault="00000000" w:rsidRPr="00000000" w14:paraId="00000052">
      <w:pPr>
        <w:ind w:left="708.6614173228347" w:hanging="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Salazar Mercado, S. A., Botello Delgado, E. A., Quintero Caleño, J. D., Salazar Mercado, S. A., Botello Delgado, E. A., &amp; Quintero Caleño, J. D. (2020). Optimización de la prueba de tetrazolio para evaluar la viabilidad en semillas de Solanum lycopersicum L. </w:t>
      </w:r>
      <w:r w:rsidDel="00000000" w:rsidR="00000000" w:rsidRPr="00000000">
        <w:rPr>
          <w:rFonts w:ascii="Times New Roman" w:cs="Times New Roman" w:eastAsia="Times New Roman" w:hAnsi="Times New Roman"/>
          <w:i w:val="1"/>
          <w:rtl w:val="0"/>
        </w:rPr>
        <w:t xml:space="preserve">Ciencia y Tecnología Agropecuaria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21</w:t>
      </w:r>
      <w:r w:rsidDel="00000000" w:rsidR="00000000" w:rsidRPr="00000000">
        <w:rPr>
          <w:rFonts w:ascii="Times New Roman" w:cs="Times New Roman" w:eastAsia="Times New Roman" w:hAnsi="Times New Roman"/>
          <w:rtl w:val="0"/>
        </w:rPr>
        <w:t xml:space="preserve">(3). https://doi.org/10.21930/rcta.vol21_num3_art:1344</w:t>
      </w:r>
    </w:p>
    <w:p w:rsidR="00000000" w:rsidDel="00000000" w:rsidP="00000000" w:rsidRDefault="00000000" w:rsidRPr="00000000" w14:paraId="00000053">
      <w:pPr>
        <w:ind w:left="708.6614173228347" w:hanging="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Sánchez Recuay, M., &amp; Calderón Rodríguez, A. (2010). Evaluación preliminar de orquídeas en el Parque Nacional Cutervo, Cajamarca-Perú. </w:t>
      </w:r>
      <w:r w:rsidDel="00000000" w:rsidR="00000000" w:rsidRPr="00000000">
        <w:rPr>
          <w:rFonts w:ascii="Times New Roman" w:cs="Times New Roman" w:eastAsia="Times New Roman" w:hAnsi="Times New Roman"/>
          <w:i w:val="1"/>
          <w:rtl w:val="0"/>
        </w:rPr>
        <w:t xml:space="preserve">Ecología Aplicada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9</w:t>
      </w:r>
      <w:r w:rsidDel="00000000" w:rsidR="00000000" w:rsidRPr="00000000">
        <w:rPr>
          <w:rFonts w:ascii="Times New Roman" w:cs="Times New Roman" w:eastAsia="Times New Roman" w:hAnsi="Times New Roman"/>
          <w:rtl w:val="0"/>
        </w:rPr>
        <w:t xml:space="preserve">(1), 1-7.</w:t>
      </w:r>
    </w:p>
    <w:p w:rsidR="00000000" w:rsidDel="00000000" w:rsidP="00000000" w:rsidRDefault="00000000" w:rsidRPr="00000000" w14:paraId="00000054">
      <w:pPr>
        <w:ind w:left="708.6614173228347" w:hanging="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Storch, D., Šímová, I., Smyčka, J., Bohdalková, E., Toszogyova, A., &amp; Okie, J. G. (2022). Biodiversity dynamics in the Anthropocene: How human activities change equilibria of species richness. </w:t>
      </w:r>
      <w:r w:rsidDel="00000000" w:rsidR="00000000" w:rsidRPr="00000000">
        <w:rPr>
          <w:rFonts w:ascii="Times New Roman" w:cs="Times New Roman" w:eastAsia="Times New Roman" w:hAnsi="Times New Roman"/>
          <w:i w:val="1"/>
          <w:rtl w:val="0"/>
        </w:rPr>
        <w:t xml:space="preserve">Ecography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2022</w:t>
      </w:r>
      <w:r w:rsidDel="00000000" w:rsidR="00000000" w:rsidRPr="00000000">
        <w:rPr>
          <w:rFonts w:ascii="Times New Roman" w:cs="Times New Roman" w:eastAsia="Times New Roman" w:hAnsi="Times New Roman"/>
          <w:rtl w:val="0"/>
        </w:rPr>
        <w:t xml:space="preserve">(4). https://doi.org/10.1111/ecog.05778</w:t>
      </w:r>
    </w:p>
    <w:p w:rsidR="00000000" w:rsidDel="00000000" w:rsidP="00000000" w:rsidRDefault="00000000" w:rsidRPr="00000000" w14:paraId="00000055">
      <w:pPr>
        <w:ind w:left="708.6614173228347" w:hanging="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 W., Ma, Y., &amp; Corlett, R. T. (2024). Plant species with extremely small populations conservation program: Achieving Kunming–Montreal global biodiversity targets. </w:t>
      </w:r>
      <w:r w:rsidDel="00000000" w:rsidR="00000000" w:rsidRPr="00000000">
        <w:rPr>
          <w:rFonts w:ascii="Times New Roman" w:cs="Times New Roman" w:eastAsia="Times New Roman" w:hAnsi="Times New Roman"/>
          <w:i w:val="1"/>
          <w:rtl w:val="0"/>
        </w:rPr>
        <w:t xml:space="preserve">Trends in Plant Science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29</w:t>
      </w:r>
      <w:r w:rsidDel="00000000" w:rsidR="00000000" w:rsidRPr="00000000">
        <w:rPr>
          <w:rFonts w:ascii="Times New Roman" w:cs="Times New Roman" w:eastAsia="Times New Roman" w:hAnsi="Times New Roman"/>
          <w:rtl w:val="0"/>
        </w:rPr>
        <w:t xml:space="preserve">(8), 827-830. https://doi.org/10.1016/j.tplants.2024.05.007</w:t>
      </w:r>
    </w:p>
    <w:p w:rsidR="00000000" w:rsidDel="00000000" w:rsidP="00000000" w:rsidRDefault="00000000" w:rsidRPr="00000000" w14:paraId="00000056">
      <w:pPr>
        <w:ind w:left="708.6614173228347" w:hanging="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Tellez, F. R. (2015). </w:t>
      </w:r>
      <w:r w:rsidDel="00000000" w:rsidR="00000000" w:rsidRPr="00000000">
        <w:rPr>
          <w:rFonts w:ascii="Times New Roman" w:cs="Times New Roman" w:eastAsia="Times New Roman" w:hAnsi="Times New Roman"/>
          <w:i w:val="1"/>
          <w:rtl w:val="0"/>
        </w:rPr>
        <w:t xml:space="preserve">Instituto Forestal Investigación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7">
      <w:pPr>
        <w:ind w:left="708.6614173228347" w:hanging="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Zhu, Z., Chelli, S., Tsakalos, J. L., Bricca, A., Canullo, R., Cervellini, M., Pennesi, R., De Benedictis, L. L. M., Cesaroni, V., Bottacci, A., &amp; Campetella, G. (2025). How effective are different protection strategies in promoting the plant diversity of temperate forests in national parks? </w:t>
      </w:r>
      <w:r w:rsidDel="00000000" w:rsidR="00000000" w:rsidRPr="00000000">
        <w:rPr>
          <w:rFonts w:ascii="Times New Roman" w:cs="Times New Roman" w:eastAsia="Times New Roman" w:hAnsi="Times New Roman"/>
          <w:i w:val="1"/>
          <w:rtl w:val="0"/>
        </w:rPr>
        <w:t xml:space="preserve">Forest Ecology and Management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584</w:t>
      </w:r>
      <w:r w:rsidDel="00000000" w:rsidR="00000000" w:rsidRPr="00000000">
        <w:rPr>
          <w:rFonts w:ascii="Times New Roman" w:cs="Times New Roman" w:eastAsia="Times New Roman" w:hAnsi="Times New Roman"/>
          <w:rtl w:val="0"/>
        </w:rPr>
        <w:t xml:space="preserve">, 122602. https://doi.org/10.1016/j.foreco.2025.122602</w:t>
      </w:r>
    </w:p>
    <w:p w:rsidR="00000000" w:rsidDel="00000000" w:rsidP="00000000" w:rsidRDefault="00000000" w:rsidRPr="00000000" w14:paraId="00000058">
      <w:pPr>
        <w:ind w:left="708.6614173228347" w:hanging="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Zuñiga, P. (2020). Kai: Restoration of the Native Forest for the Conservation of the Craft Tradition of the Pilwa of Lake Budi. </w:t>
      </w:r>
      <w:r w:rsidDel="00000000" w:rsidR="00000000" w:rsidRPr="00000000">
        <w:rPr>
          <w:rFonts w:ascii="Times New Roman" w:cs="Times New Roman" w:eastAsia="Times New Roman" w:hAnsi="Times New Roman"/>
          <w:i w:val="1"/>
          <w:rtl w:val="0"/>
        </w:rPr>
        <w:t xml:space="preserve">IOP Conference Series: Earth and Environmental Science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503</w:t>
      </w:r>
      <w:r w:rsidDel="00000000" w:rsidR="00000000" w:rsidRPr="00000000">
        <w:rPr>
          <w:rFonts w:ascii="Times New Roman" w:cs="Times New Roman" w:eastAsia="Times New Roman" w:hAnsi="Times New Roman"/>
          <w:rtl w:val="0"/>
        </w:rPr>
        <w:t xml:space="preserve">(1), 012056. https://doi.org/10.1088/1755-1315/503/1/012056</w:t>
      </w:r>
    </w:p>
    <w:p w:rsidR="00000000" w:rsidDel="00000000" w:rsidP="00000000" w:rsidRDefault="00000000" w:rsidRPr="00000000" w14:paraId="0000005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A">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spacing w:after="280" w:before="2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PE"/>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nfasis">
    <w:name w:val="Emphasis"/>
    <w:basedOn w:val="Fuentedeprrafopredeter"/>
    <w:uiPriority w:val="20"/>
    <w:qFormat w:val="1"/>
    <w:rsid w:val="008709C3"/>
    <w:rPr>
      <w:i w:val="1"/>
      <w:iCs w:val="1"/>
    </w:rPr>
  </w:style>
  <w:style w:type="character" w:styleId="Textoennegrita">
    <w:name w:val="Strong"/>
    <w:basedOn w:val="Fuentedeprrafopredeter"/>
    <w:uiPriority w:val="22"/>
    <w:qFormat w:val="1"/>
    <w:rsid w:val="008709C3"/>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6lVk/TC/oP3Wb5PrUKs35Os/FQ==">CgMxLjA4AHIhMUxzZTFTLXdDbU1lZGc3MzBteWh6RGNTUllwcGZEa2lB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2025-04-29T05:02:00Z</dcterms:created>
  <dc:creator>Microsoft Office User</dc:creator>
</cp:coreProperties>
</file>