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AD02" w14:textId="77777777" w:rsidR="001310C0" w:rsidRPr="00AD1DAE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" w:hAnsi="Arial" w:cs="Arial"/>
          <w:b/>
          <w:bCs/>
          <w:sz w:val="24"/>
          <w:szCs w:val="24"/>
        </w:rPr>
      </w:pPr>
      <w:r w:rsidRPr="00AD1DAE">
        <w:rPr>
          <w:rFonts w:ascii="Arial" w:hAnsi="Arial" w:cs="Arial"/>
          <w:b/>
          <w:bCs/>
          <w:sz w:val="24"/>
          <w:szCs w:val="24"/>
        </w:rPr>
        <w:t>Supplement</w:t>
      </w:r>
    </w:p>
    <w:p w14:paraId="4F7B3536" w14:textId="77777777" w:rsidR="0040366F" w:rsidRDefault="0040366F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" w:hAnsi="Arial" w:cs="Arial"/>
          <w:sz w:val="24"/>
          <w:szCs w:val="24"/>
        </w:rPr>
      </w:pPr>
    </w:p>
    <w:p w14:paraId="79E41B90" w14:textId="77777777" w:rsidR="0040366F" w:rsidRDefault="0040366F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" w:hAnsi="Arial" w:cs="Arial"/>
          <w:sz w:val="24"/>
          <w:szCs w:val="24"/>
        </w:rPr>
      </w:pPr>
    </w:p>
    <w:p w14:paraId="5B2BFFA1" w14:textId="77777777" w:rsidR="0040366F" w:rsidRDefault="0040366F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" w:hAnsi="Arial" w:cs="Arial"/>
          <w:sz w:val="24"/>
          <w:szCs w:val="24"/>
        </w:rPr>
      </w:pPr>
    </w:p>
    <w:p w14:paraId="76BA5D39" w14:textId="77777777" w:rsidR="0040366F" w:rsidRPr="00251B95" w:rsidRDefault="0040366F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" w:hAnsi="Arial" w:cs="Arial"/>
          <w:sz w:val="24"/>
          <w:szCs w:val="24"/>
        </w:rPr>
      </w:pPr>
    </w:p>
    <w:p w14:paraId="5E3905EF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3BB95A39" w14:textId="77777777" w:rsidR="0040366F" w:rsidRDefault="0040366F" w:rsidP="0040366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085F3FA8" wp14:editId="4919D57D">
            <wp:extent cx="6515100" cy="4902200"/>
            <wp:effectExtent l="0" t="0" r="0" b="0"/>
            <wp:docPr id="1847669263" name="image1.png" descr="A chart of different colored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69263" name="image1.png" descr="A chart of different colored squares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90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C71413" w14:textId="77777777" w:rsidR="0040366F" w:rsidRPr="00467F38" w:rsidRDefault="0040366F" w:rsidP="0040366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" w:hAnsi="Arial" w:cs="Arial"/>
          <w:sz w:val="18"/>
          <w:szCs w:val="18"/>
        </w:rPr>
      </w:pPr>
      <w:r w:rsidRPr="00467F38">
        <w:rPr>
          <w:rFonts w:ascii="Arial" w:hAnsi="Arial" w:cs="Arial"/>
          <w:b/>
          <w:sz w:val="18"/>
          <w:szCs w:val="18"/>
        </w:rPr>
        <w:t xml:space="preserve">Figure S1. </w:t>
      </w:r>
      <w:r w:rsidRPr="00467F38">
        <w:rPr>
          <w:rFonts w:ascii="Arial" w:hAnsi="Arial" w:cs="Arial"/>
          <w:b/>
          <w:bCs/>
          <w:sz w:val="18"/>
          <w:szCs w:val="18"/>
        </w:rPr>
        <w:t>Attention heatmap of final layer for example input sequence, averaged over all 12 attention heads.</w:t>
      </w:r>
      <w:r w:rsidRPr="00467F38">
        <w:rPr>
          <w:rFonts w:ascii="Arial" w:hAnsi="Arial" w:cs="Arial"/>
          <w:sz w:val="18"/>
          <w:szCs w:val="18"/>
        </w:rPr>
        <w:t xml:space="preserve"> This attention matrix exhibits high attention weights to the [SEP] token for most tokens, and slightly higher row-wise entropy (and therefore higher weight in averaging) for ‘initial’ and ‘consult’.</w:t>
      </w:r>
    </w:p>
    <w:p w14:paraId="0059EECE" w14:textId="77777777" w:rsidR="0040366F" w:rsidRPr="00467F38" w:rsidRDefault="0040366F" w:rsidP="0040366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18"/>
          <w:szCs w:val="18"/>
        </w:rPr>
      </w:pPr>
    </w:p>
    <w:p w14:paraId="152AF668" w14:textId="77777777" w:rsidR="0040366F" w:rsidRDefault="0040366F" w:rsidP="0040366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4"/>
          <w:szCs w:val="24"/>
        </w:rPr>
      </w:pPr>
    </w:p>
    <w:p w14:paraId="2C3BB5A5" w14:textId="77777777" w:rsidR="0040366F" w:rsidRDefault="0040366F" w:rsidP="0040366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4"/>
          <w:szCs w:val="24"/>
        </w:rPr>
      </w:pPr>
    </w:p>
    <w:p w14:paraId="09B45630" w14:textId="77777777" w:rsidR="0040366F" w:rsidRDefault="0040366F" w:rsidP="0040366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4"/>
          <w:szCs w:val="24"/>
        </w:rPr>
      </w:pPr>
    </w:p>
    <w:p w14:paraId="665B33EC" w14:textId="77777777" w:rsidR="0040366F" w:rsidRDefault="0040366F" w:rsidP="0040366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4"/>
          <w:szCs w:val="24"/>
        </w:rPr>
      </w:pPr>
    </w:p>
    <w:p w14:paraId="53E3BF52" w14:textId="77777777" w:rsidR="0040366F" w:rsidRDefault="0040366F" w:rsidP="0040366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4"/>
          <w:szCs w:val="24"/>
        </w:rPr>
      </w:pPr>
    </w:p>
    <w:p w14:paraId="632F9DC7" w14:textId="77777777" w:rsidR="0040366F" w:rsidRDefault="0040366F" w:rsidP="0040366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4"/>
          <w:szCs w:val="24"/>
        </w:rPr>
      </w:pPr>
    </w:p>
    <w:p w14:paraId="34C4D833" w14:textId="77777777" w:rsidR="0040366F" w:rsidRDefault="0040366F" w:rsidP="0040366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4"/>
          <w:szCs w:val="24"/>
        </w:rPr>
      </w:pPr>
    </w:p>
    <w:p w14:paraId="7EA6EE7F" w14:textId="77777777" w:rsidR="0040366F" w:rsidRDefault="0040366F" w:rsidP="0040366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4"/>
          <w:szCs w:val="24"/>
        </w:rPr>
      </w:pPr>
    </w:p>
    <w:p w14:paraId="24417E94" w14:textId="77777777" w:rsidR="0040366F" w:rsidRDefault="0040366F" w:rsidP="0040366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4"/>
          <w:szCs w:val="24"/>
        </w:rPr>
      </w:pPr>
    </w:p>
    <w:p w14:paraId="7FA1BB18" w14:textId="77777777" w:rsidR="0040366F" w:rsidRDefault="0040366F" w:rsidP="0040366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F2004DB" wp14:editId="0A674DB5">
            <wp:extent cx="6515100" cy="4902200"/>
            <wp:effectExtent l="0" t="0" r="0" b="0"/>
            <wp:docPr id="1847669264" name="image2.png" descr="A screenshot of a graph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69264" name="image2.png" descr="A screenshot of a graph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90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48993" w14:textId="77777777" w:rsidR="001B4170" w:rsidRDefault="0040366F" w:rsidP="0040366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" w:hAnsi="Arial" w:cs="Arial"/>
          <w:sz w:val="18"/>
          <w:szCs w:val="18"/>
        </w:rPr>
      </w:pPr>
      <w:r w:rsidRPr="001B4170">
        <w:rPr>
          <w:rFonts w:ascii="Arial" w:hAnsi="Arial" w:cs="Arial"/>
          <w:b/>
          <w:sz w:val="18"/>
          <w:szCs w:val="18"/>
        </w:rPr>
        <w:t xml:space="preserve">Figure S2. </w:t>
      </w:r>
      <w:r w:rsidRPr="001B4170">
        <w:rPr>
          <w:rFonts w:ascii="Arial" w:hAnsi="Arial" w:cs="Arial"/>
          <w:b/>
          <w:bCs/>
          <w:sz w:val="18"/>
          <w:szCs w:val="18"/>
        </w:rPr>
        <w:t>Attention heatmap of final layer for example input sequence, for head 3 alone.</w:t>
      </w:r>
      <w:r w:rsidRPr="001B4170">
        <w:rPr>
          <w:rFonts w:ascii="Arial" w:hAnsi="Arial" w:cs="Arial"/>
          <w:sz w:val="18"/>
          <w:szCs w:val="18"/>
        </w:rPr>
        <w:t xml:space="preserve"> </w:t>
      </w:r>
    </w:p>
    <w:p w14:paraId="7A9384EC" w14:textId="2C3793F9" w:rsidR="0040366F" w:rsidRPr="001B4170" w:rsidRDefault="0040366F" w:rsidP="0040366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" w:hAnsi="Arial" w:cs="Arial"/>
          <w:sz w:val="18"/>
          <w:szCs w:val="18"/>
        </w:rPr>
      </w:pPr>
      <w:r w:rsidRPr="001B4170">
        <w:rPr>
          <w:rFonts w:ascii="Arial" w:hAnsi="Arial" w:cs="Arial"/>
          <w:sz w:val="18"/>
          <w:szCs w:val="18"/>
        </w:rPr>
        <w:t xml:space="preserve">Most tokens attend heavily to themselves, indicating relatively low row-wise entropy. Examples of tokens with higher row-wise entropy that attend to multiple tokens include ‘drive’, ‘has’, and ‘not’ - embeddings from these tokens would receive a higher weight when performing attention-weighted averaging. </w:t>
      </w:r>
    </w:p>
    <w:p w14:paraId="4CA5845B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5701FD3D" w14:textId="77777777" w:rsidR="0040366F" w:rsidRDefault="0040366F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40BDA0AE" w14:textId="77777777" w:rsidR="0040366F" w:rsidRDefault="0040366F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75381F50" w14:textId="77777777" w:rsidR="0040366F" w:rsidRDefault="0040366F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4310B26A" w14:textId="77777777" w:rsidR="0040366F" w:rsidRDefault="0040366F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011ADFF7" w14:textId="77777777" w:rsidR="0040366F" w:rsidRDefault="0040366F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748B8398" w14:textId="77777777" w:rsidR="0040366F" w:rsidRDefault="0040366F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044BEDF8" w14:textId="77777777" w:rsidR="0040366F" w:rsidRDefault="0040366F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2378F2A7" w14:textId="77777777" w:rsidR="0040366F" w:rsidRDefault="0040366F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47784948" w14:textId="77777777" w:rsidR="0040366F" w:rsidRDefault="0040366F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56C1D6C6" w14:textId="77777777" w:rsidR="0040366F" w:rsidRDefault="0040366F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04D36B6F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08BB0A94" wp14:editId="73544ED9">
            <wp:extent cx="6510589" cy="1473199"/>
            <wp:effectExtent l="0" t="0" r="0" b="635"/>
            <wp:docPr id="184766925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69258" name="image10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0589" cy="1473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CD22AB" w14:textId="67D45983" w:rsidR="001310C0" w:rsidRPr="00C81835" w:rsidRDefault="001310C0" w:rsidP="001310C0">
      <w:pPr>
        <w:rPr>
          <w:rFonts w:ascii="Arial" w:hAnsi="Arial" w:cs="Arial"/>
          <w:b/>
          <w:sz w:val="18"/>
          <w:szCs w:val="18"/>
        </w:rPr>
      </w:pPr>
      <w:r w:rsidRPr="00C81835">
        <w:rPr>
          <w:rFonts w:ascii="Arial" w:hAnsi="Arial" w:cs="Arial"/>
          <w:b/>
          <w:sz w:val="18"/>
          <w:szCs w:val="18"/>
        </w:rPr>
        <w:t>Figure S</w:t>
      </w:r>
      <w:r w:rsidR="00431924" w:rsidRPr="00C81835">
        <w:rPr>
          <w:rFonts w:ascii="Arial" w:hAnsi="Arial" w:cs="Arial"/>
          <w:b/>
          <w:sz w:val="18"/>
          <w:szCs w:val="18"/>
        </w:rPr>
        <w:t>3</w:t>
      </w:r>
      <w:r w:rsidRPr="00C81835">
        <w:rPr>
          <w:rFonts w:ascii="Arial" w:hAnsi="Arial" w:cs="Arial"/>
          <w:b/>
          <w:sz w:val="18"/>
          <w:szCs w:val="18"/>
        </w:rPr>
        <w:t>. UMAP visualization of ICD embeddings characterized by (</w:t>
      </w:r>
      <w:r w:rsidR="00DE68F4">
        <w:rPr>
          <w:rFonts w:ascii="Arial" w:hAnsi="Arial" w:cs="Arial"/>
          <w:b/>
          <w:sz w:val="18"/>
          <w:szCs w:val="18"/>
        </w:rPr>
        <w:t>A</w:t>
      </w:r>
      <w:r w:rsidRPr="00C81835">
        <w:rPr>
          <w:rFonts w:ascii="Arial" w:hAnsi="Arial" w:cs="Arial"/>
          <w:b/>
          <w:sz w:val="18"/>
          <w:szCs w:val="18"/>
        </w:rPr>
        <w:t>) Sex, (</w:t>
      </w:r>
      <w:r w:rsidR="00DE68F4">
        <w:rPr>
          <w:rFonts w:ascii="Arial" w:hAnsi="Arial" w:cs="Arial"/>
          <w:b/>
          <w:sz w:val="18"/>
          <w:szCs w:val="18"/>
        </w:rPr>
        <w:t>B</w:t>
      </w:r>
      <w:r w:rsidRPr="00C81835">
        <w:rPr>
          <w:rFonts w:ascii="Arial" w:hAnsi="Arial" w:cs="Arial"/>
          <w:b/>
          <w:sz w:val="18"/>
          <w:szCs w:val="18"/>
        </w:rPr>
        <w:t xml:space="preserve">) </w:t>
      </w:r>
      <w:sdt>
        <w:sdtPr>
          <w:rPr>
            <w:rFonts w:ascii="Arial" w:hAnsi="Arial" w:cs="Arial"/>
            <w:b/>
            <w:sz w:val="18"/>
            <w:szCs w:val="18"/>
          </w:rPr>
          <w:tag w:val="goog_rdk_71"/>
          <w:id w:val="311064158"/>
        </w:sdtPr>
        <w:sdtContent/>
      </w:sdt>
      <w:r w:rsidRPr="00C81835">
        <w:rPr>
          <w:rFonts w:ascii="Arial" w:hAnsi="Arial" w:cs="Arial"/>
          <w:b/>
          <w:sz w:val="18"/>
          <w:szCs w:val="18"/>
        </w:rPr>
        <w:t>Age of onset, and (</w:t>
      </w:r>
      <w:r w:rsidR="00DE68F4">
        <w:rPr>
          <w:rFonts w:ascii="Arial" w:hAnsi="Arial" w:cs="Arial"/>
          <w:b/>
          <w:sz w:val="18"/>
          <w:szCs w:val="18"/>
        </w:rPr>
        <w:t>C</w:t>
      </w:r>
      <w:r w:rsidRPr="00C81835">
        <w:rPr>
          <w:rFonts w:ascii="Arial" w:hAnsi="Arial" w:cs="Arial"/>
          <w:b/>
          <w:sz w:val="18"/>
          <w:szCs w:val="18"/>
        </w:rPr>
        <w:t>) ADRD diagnosis.</w:t>
      </w:r>
    </w:p>
    <w:p w14:paraId="01B7CD72" w14:textId="77777777" w:rsidR="001310C0" w:rsidRPr="0036633C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" w:hAnsi="Arial" w:cs="Arial"/>
          <w:sz w:val="20"/>
          <w:szCs w:val="20"/>
        </w:rPr>
      </w:pPr>
    </w:p>
    <w:p w14:paraId="0351414B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5F429A89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192F64C4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4A396DB9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183326BB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7D618336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20F3A010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3D503970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49B85D4C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40DFFDC2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6C16CA73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416188DA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55CBDC66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08D320A8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26987A37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429557C3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7654AE20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29A8FD1C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5302DBD6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2FB87137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51DC27F7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05F61888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4D17DF2A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27D92C38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518231A4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0AB73D7E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32BEC73E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5BEE5F67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62CED000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330E8B2F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4FFE553A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6B187306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2401AF08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6FA49780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1855024A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10457CDE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54D41C06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6844080A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0D337E61" wp14:editId="0530B445">
            <wp:extent cx="6512770" cy="5727699"/>
            <wp:effectExtent l="0" t="0" r="2540" b="635"/>
            <wp:docPr id="184766925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69259" name="image14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770" cy="5727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55D20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2E7D479E" w14:textId="77777777" w:rsidR="00280989" w:rsidRPr="00280989" w:rsidRDefault="001310C0" w:rsidP="001310C0">
      <w:pPr>
        <w:rPr>
          <w:rFonts w:ascii="Arial" w:hAnsi="Arial" w:cs="Arial"/>
          <w:color w:val="0D0D0D"/>
          <w:sz w:val="18"/>
          <w:szCs w:val="18"/>
          <w:highlight w:val="white"/>
        </w:rPr>
      </w:pPr>
      <w:r w:rsidRPr="00280989">
        <w:rPr>
          <w:rFonts w:ascii="Arial" w:hAnsi="Arial" w:cs="Arial"/>
          <w:b/>
          <w:color w:val="0D0D0D"/>
          <w:sz w:val="18"/>
          <w:szCs w:val="18"/>
          <w:highlight w:val="white"/>
        </w:rPr>
        <w:t>Figure S</w:t>
      </w:r>
      <w:r w:rsidR="00665BBE" w:rsidRPr="00280989">
        <w:rPr>
          <w:rFonts w:ascii="Arial" w:hAnsi="Arial" w:cs="Arial"/>
          <w:b/>
          <w:color w:val="0D0D0D"/>
          <w:sz w:val="18"/>
          <w:szCs w:val="18"/>
          <w:highlight w:val="white"/>
        </w:rPr>
        <w:t>4</w:t>
      </w:r>
      <w:r w:rsidRPr="00280989">
        <w:rPr>
          <w:rFonts w:ascii="Arial" w:hAnsi="Arial" w:cs="Arial"/>
          <w:b/>
          <w:color w:val="0D0D0D"/>
          <w:sz w:val="18"/>
          <w:szCs w:val="18"/>
          <w:highlight w:val="white"/>
        </w:rPr>
        <w:t>: UMAP Projections of Note Embeddings Characterized by Providers.</w:t>
      </w:r>
      <w:r w:rsidRPr="00280989">
        <w:rPr>
          <w:rFonts w:ascii="Arial" w:hAnsi="Arial" w:cs="Arial"/>
          <w:color w:val="0D0D0D"/>
          <w:sz w:val="18"/>
          <w:szCs w:val="18"/>
          <w:highlight w:val="white"/>
        </w:rPr>
        <w:t xml:space="preserve"> </w:t>
      </w:r>
    </w:p>
    <w:p w14:paraId="240240E9" w14:textId="39AB8C43" w:rsidR="001310C0" w:rsidRPr="00280989" w:rsidRDefault="001310C0" w:rsidP="001310C0">
      <w:pPr>
        <w:rPr>
          <w:rFonts w:ascii="Arial" w:hAnsi="Arial" w:cs="Arial"/>
          <w:color w:val="0D0D0D"/>
          <w:sz w:val="18"/>
          <w:szCs w:val="18"/>
          <w:highlight w:val="white"/>
        </w:rPr>
      </w:pPr>
      <w:r w:rsidRPr="00280989">
        <w:rPr>
          <w:rFonts w:ascii="Arial" w:hAnsi="Arial" w:cs="Arial"/>
          <w:color w:val="0D0D0D"/>
          <w:sz w:val="18"/>
          <w:szCs w:val="18"/>
          <w:highlight w:val="white"/>
        </w:rPr>
        <w:t>(</w:t>
      </w:r>
      <w:r w:rsidR="00A9746E">
        <w:rPr>
          <w:rFonts w:ascii="Arial" w:hAnsi="Arial" w:cs="Arial"/>
          <w:color w:val="0D0D0D"/>
          <w:sz w:val="18"/>
          <w:szCs w:val="18"/>
          <w:highlight w:val="white"/>
        </w:rPr>
        <w:t>A</w:t>
      </w:r>
      <w:r w:rsidRPr="00280989">
        <w:rPr>
          <w:rFonts w:ascii="Arial" w:hAnsi="Arial" w:cs="Arial"/>
          <w:color w:val="0D0D0D"/>
          <w:sz w:val="18"/>
          <w:szCs w:val="18"/>
          <w:highlight w:val="white"/>
        </w:rPr>
        <w:t>) The embeddings before applying optimal transport, highlighting the visible provider effects. (</w:t>
      </w:r>
      <w:r w:rsidR="00A9746E">
        <w:rPr>
          <w:rFonts w:ascii="Arial" w:hAnsi="Arial" w:cs="Arial"/>
          <w:color w:val="0D0D0D"/>
          <w:sz w:val="18"/>
          <w:szCs w:val="18"/>
          <w:highlight w:val="white"/>
        </w:rPr>
        <w:t>B</w:t>
      </w:r>
      <w:r w:rsidRPr="00280989">
        <w:rPr>
          <w:rFonts w:ascii="Arial" w:hAnsi="Arial" w:cs="Arial"/>
          <w:color w:val="0D0D0D"/>
          <w:sz w:val="18"/>
          <w:szCs w:val="18"/>
          <w:highlight w:val="white"/>
        </w:rPr>
        <w:t>) The embeddings after optimal transport, demonstrating the mitigation of provider effects. Provider names have been de-identified to maintain confidentiality.</w:t>
      </w:r>
    </w:p>
    <w:p w14:paraId="0580EB89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3DD8A5C9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3B5CE0A5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7522DE7F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55BEB60E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105B23F6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137F44EC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1483E030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60A5AC74" wp14:editId="4CB6FBB7">
            <wp:extent cx="6235569" cy="3435422"/>
            <wp:effectExtent l="0" t="0" r="635" b="0"/>
            <wp:docPr id="184766927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69272" name="image13.pn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569" cy="34354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C4BBC" w14:textId="605F8D27" w:rsidR="001310C0" w:rsidRPr="0064004C" w:rsidRDefault="001310C0" w:rsidP="001310C0">
      <w:pPr>
        <w:rPr>
          <w:rFonts w:ascii="Arial" w:hAnsi="Arial" w:cs="Arial"/>
          <w:b/>
          <w:bCs/>
          <w:sz w:val="18"/>
          <w:szCs w:val="18"/>
        </w:rPr>
      </w:pPr>
      <w:r w:rsidRPr="0064004C">
        <w:rPr>
          <w:rFonts w:ascii="Arial" w:hAnsi="Arial" w:cs="Arial"/>
          <w:b/>
          <w:sz w:val="18"/>
          <w:szCs w:val="18"/>
        </w:rPr>
        <w:t>Figure S</w:t>
      </w:r>
      <w:r w:rsidR="0020290C" w:rsidRPr="0064004C">
        <w:rPr>
          <w:rFonts w:ascii="Arial" w:hAnsi="Arial" w:cs="Arial"/>
          <w:b/>
          <w:sz w:val="18"/>
          <w:szCs w:val="18"/>
        </w:rPr>
        <w:t>5</w:t>
      </w:r>
      <w:r w:rsidRPr="0064004C">
        <w:rPr>
          <w:rFonts w:ascii="Arial" w:hAnsi="Arial" w:cs="Arial"/>
          <w:sz w:val="18"/>
          <w:szCs w:val="18"/>
        </w:rPr>
        <w:t xml:space="preserve">. </w:t>
      </w:r>
      <w:r w:rsidRPr="0064004C">
        <w:rPr>
          <w:rFonts w:ascii="Arial" w:hAnsi="Arial" w:cs="Arial"/>
          <w:b/>
          <w:bCs/>
          <w:sz w:val="18"/>
          <w:szCs w:val="18"/>
        </w:rPr>
        <w:t>UMAP visualization of note embeddings characterized by (</w:t>
      </w:r>
      <w:r w:rsidR="000F311E">
        <w:rPr>
          <w:rFonts w:ascii="Arial" w:hAnsi="Arial" w:cs="Arial"/>
          <w:b/>
          <w:bCs/>
          <w:sz w:val="18"/>
          <w:szCs w:val="18"/>
        </w:rPr>
        <w:t>A</w:t>
      </w:r>
      <w:r w:rsidRPr="0064004C">
        <w:rPr>
          <w:rFonts w:ascii="Arial" w:hAnsi="Arial" w:cs="Arial"/>
          <w:b/>
          <w:bCs/>
          <w:sz w:val="18"/>
          <w:szCs w:val="18"/>
        </w:rPr>
        <w:t>) Sex (</w:t>
      </w:r>
      <w:r w:rsidR="000F311E">
        <w:rPr>
          <w:rFonts w:ascii="Arial" w:hAnsi="Arial" w:cs="Arial"/>
          <w:b/>
          <w:bCs/>
          <w:sz w:val="18"/>
          <w:szCs w:val="18"/>
        </w:rPr>
        <w:t>B</w:t>
      </w:r>
      <w:r w:rsidRPr="0064004C">
        <w:rPr>
          <w:rFonts w:ascii="Arial" w:hAnsi="Arial" w:cs="Arial"/>
          <w:b/>
          <w:bCs/>
          <w:sz w:val="18"/>
          <w:szCs w:val="18"/>
        </w:rPr>
        <w:t>) Age of onset, (</w:t>
      </w:r>
      <w:r w:rsidR="000F311E">
        <w:rPr>
          <w:rFonts w:ascii="Arial" w:hAnsi="Arial" w:cs="Arial"/>
          <w:b/>
          <w:bCs/>
          <w:sz w:val="18"/>
          <w:szCs w:val="18"/>
        </w:rPr>
        <w:t>C</w:t>
      </w:r>
      <w:r w:rsidRPr="0064004C">
        <w:rPr>
          <w:rFonts w:ascii="Arial" w:hAnsi="Arial" w:cs="Arial"/>
          <w:b/>
          <w:bCs/>
          <w:sz w:val="18"/>
          <w:szCs w:val="18"/>
        </w:rPr>
        <w:t>) ADRD diagnoses, and (</w:t>
      </w:r>
      <w:r w:rsidR="000F311E">
        <w:rPr>
          <w:rFonts w:ascii="Arial" w:hAnsi="Arial" w:cs="Arial"/>
          <w:b/>
          <w:bCs/>
          <w:sz w:val="18"/>
          <w:szCs w:val="18"/>
        </w:rPr>
        <w:t>D</w:t>
      </w:r>
      <w:r w:rsidRPr="0064004C">
        <w:rPr>
          <w:rFonts w:ascii="Arial" w:hAnsi="Arial" w:cs="Arial"/>
          <w:b/>
          <w:bCs/>
          <w:sz w:val="18"/>
          <w:szCs w:val="18"/>
        </w:rPr>
        <w:t>) Sentence examples from each note cluster, with topic related terms and phrases highlighted.</w:t>
      </w:r>
    </w:p>
    <w:p w14:paraId="7E322AE8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65A50EA6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082FE6A0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30AF4651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4F29621F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01A63128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5FB8829A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44773B31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2D26A5A9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3EAE1C96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388B7851" w14:textId="77777777" w:rsidR="001310C0" w:rsidRPr="00932825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</w:rPr>
      </w:pPr>
    </w:p>
    <w:p w14:paraId="59937C63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0A17CE51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4E529F90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52C0429C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20"/>
          <w:szCs w:val="20"/>
        </w:rPr>
      </w:pPr>
    </w:p>
    <w:p w14:paraId="0EE30B8E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" w:hAnsi="Arial" w:cs="Arial"/>
          <w:sz w:val="20"/>
          <w:szCs w:val="20"/>
        </w:rPr>
      </w:pPr>
    </w:p>
    <w:p w14:paraId="373F0BF8" w14:textId="77777777" w:rsidR="001310C0" w:rsidRDefault="001310C0" w:rsidP="001310C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" w:hAnsi="Arial" w:cs="Arial"/>
          <w:sz w:val="20"/>
          <w:szCs w:val="20"/>
        </w:rPr>
      </w:pPr>
    </w:p>
    <w:p w14:paraId="72918EFD" w14:textId="77777777" w:rsidR="0006405D" w:rsidRDefault="0006405D"/>
    <w:p w14:paraId="048AF77A" w14:textId="77777777" w:rsidR="00E440F4" w:rsidRDefault="00E440F4"/>
    <w:p w14:paraId="7F429781" w14:textId="77777777" w:rsidR="00E440F4" w:rsidRDefault="00E440F4"/>
    <w:p w14:paraId="00638B99" w14:textId="77777777" w:rsidR="00E440F4" w:rsidRDefault="00E440F4"/>
    <w:p w14:paraId="7DC859FE" w14:textId="77777777" w:rsidR="00616C15" w:rsidRDefault="00616C15">
      <w:pPr>
        <w:rPr>
          <w:rFonts w:ascii="Arial" w:hAnsi="Arial" w:cs="Arial"/>
          <w:b/>
          <w:bCs/>
          <w:sz w:val="18"/>
          <w:szCs w:val="18"/>
        </w:rPr>
      </w:pPr>
    </w:p>
    <w:p w14:paraId="01F9D642" w14:textId="77777777" w:rsidR="00BB2BF3" w:rsidRDefault="00BB2BF3">
      <w:pPr>
        <w:rPr>
          <w:rFonts w:ascii="Arial" w:hAnsi="Arial" w:cs="Arial"/>
          <w:b/>
          <w:bCs/>
          <w:sz w:val="18"/>
          <w:szCs w:val="18"/>
        </w:rPr>
      </w:pPr>
    </w:p>
    <w:p w14:paraId="77570FA4" w14:textId="77777777" w:rsidR="00BB2BF3" w:rsidRDefault="00BB2BF3">
      <w:pPr>
        <w:rPr>
          <w:rFonts w:ascii="Arial" w:hAnsi="Arial" w:cs="Arial"/>
          <w:b/>
          <w:bCs/>
          <w:sz w:val="18"/>
          <w:szCs w:val="18"/>
        </w:rPr>
      </w:pPr>
    </w:p>
    <w:p w14:paraId="31FD8746" w14:textId="77777777" w:rsidR="00BB2BF3" w:rsidRDefault="00BB2BF3">
      <w:pPr>
        <w:rPr>
          <w:rFonts w:ascii="Arial" w:hAnsi="Arial" w:cs="Arial"/>
          <w:b/>
          <w:bCs/>
          <w:sz w:val="18"/>
          <w:szCs w:val="18"/>
        </w:rPr>
      </w:pPr>
    </w:p>
    <w:p w14:paraId="0F1BE3E8" w14:textId="77777777" w:rsidR="00BB2BF3" w:rsidRDefault="00BB2BF3">
      <w:pPr>
        <w:rPr>
          <w:rFonts w:ascii="Arial" w:hAnsi="Arial" w:cs="Arial"/>
          <w:b/>
          <w:bCs/>
          <w:sz w:val="18"/>
          <w:szCs w:val="18"/>
        </w:rPr>
      </w:pPr>
    </w:p>
    <w:p w14:paraId="574C3D1F" w14:textId="77777777" w:rsidR="00BB2BF3" w:rsidRDefault="00BB2BF3">
      <w:pPr>
        <w:rPr>
          <w:rFonts w:ascii="Arial" w:hAnsi="Arial" w:cs="Arial"/>
          <w:b/>
          <w:bCs/>
          <w:sz w:val="18"/>
          <w:szCs w:val="18"/>
        </w:rPr>
      </w:pPr>
    </w:p>
    <w:p w14:paraId="70DBF0E2" w14:textId="77777777" w:rsidR="00BB2BF3" w:rsidRPr="00EE7B8C" w:rsidRDefault="00BB2BF3">
      <w:pPr>
        <w:rPr>
          <w:rFonts w:ascii="Arial" w:hAnsi="Arial" w:cs="Arial"/>
          <w:b/>
          <w:bCs/>
          <w:sz w:val="18"/>
          <w:szCs w:val="18"/>
        </w:rPr>
      </w:pPr>
    </w:p>
    <w:sectPr w:rsidR="00BB2BF3" w:rsidRPr="00EE7B8C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16664" w14:textId="77777777" w:rsidR="00B92FBE" w:rsidRDefault="00B92FBE" w:rsidP="001310C0">
      <w:r>
        <w:separator/>
      </w:r>
    </w:p>
  </w:endnote>
  <w:endnote w:type="continuationSeparator" w:id="0">
    <w:p w14:paraId="40DCB7F1" w14:textId="77777777" w:rsidR="00B92FBE" w:rsidRDefault="00B92FBE" w:rsidP="00131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04443223"/>
      <w:docPartObj>
        <w:docPartGallery w:val="Page Numbers (Bottom of Page)"/>
        <w:docPartUnique/>
      </w:docPartObj>
    </w:sdtPr>
    <w:sdtContent>
      <w:p w14:paraId="703A821C" w14:textId="482F98F9" w:rsidR="001310C0" w:rsidRDefault="001310C0" w:rsidP="00903FA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43A6B7E" w14:textId="77777777" w:rsidR="001310C0" w:rsidRDefault="001310C0" w:rsidP="001310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52334100"/>
      <w:docPartObj>
        <w:docPartGallery w:val="Page Numbers (Bottom of Page)"/>
        <w:docPartUnique/>
      </w:docPartObj>
    </w:sdtPr>
    <w:sdtContent>
      <w:p w14:paraId="7F55B055" w14:textId="207B9D64" w:rsidR="001310C0" w:rsidRDefault="001310C0" w:rsidP="00903FA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DDC1670" w14:textId="77777777" w:rsidR="001310C0" w:rsidRDefault="001310C0" w:rsidP="001310C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EB46C" w14:textId="77777777" w:rsidR="00B92FBE" w:rsidRDefault="00B92FBE" w:rsidP="001310C0">
      <w:r>
        <w:separator/>
      </w:r>
    </w:p>
  </w:footnote>
  <w:footnote w:type="continuationSeparator" w:id="0">
    <w:p w14:paraId="480562AB" w14:textId="77777777" w:rsidR="00B92FBE" w:rsidRDefault="00B92FBE" w:rsidP="00131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C0"/>
    <w:rsid w:val="0006045C"/>
    <w:rsid w:val="0006405D"/>
    <w:rsid w:val="00094C4B"/>
    <w:rsid w:val="000A6C70"/>
    <w:rsid w:val="000C05EE"/>
    <w:rsid w:val="000F311E"/>
    <w:rsid w:val="001310C0"/>
    <w:rsid w:val="00144722"/>
    <w:rsid w:val="00165586"/>
    <w:rsid w:val="00172076"/>
    <w:rsid w:val="001B4170"/>
    <w:rsid w:val="0020290C"/>
    <w:rsid w:val="002765FB"/>
    <w:rsid w:val="00280989"/>
    <w:rsid w:val="002A01BE"/>
    <w:rsid w:val="002D7010"/>
    <w:rsid w:val="00362C98"/>
    <w:rsid w:val="00365A9D"/>
    <w:rsid w:val="003D1B09"/>
    <w:rsid w:val="0040366F"/>
    <w:rsid w:val="00431924"/>
    <w:rsid w:val="004353F5"/>
    <w:rsid w:val="00467F38"/>
    <w:rsid w:val="00500EE8"/>
    <w:rsid w:val="005B4E4B"/>
    <w:rsid w:val="00616C15"/>
    <w:rsid w:val="0064004C"/>
    <w:rsid w:val="00665BBE"/>
    <w:rsid w:val="006C5357"/>
    <w:rsid w:val="006F10E2"/>
    <w:rsid w:val="00741D30"/>
    <w:rsid w:val="007D0F93"/>
    <w:rsid w:val="007E10AF"/>
    <w:rsid w:val="00805D31"/>
    <w:rsid w:val="00846581"/>
    <w:rsid w:val="00867323"/>
    <w:rsid w:val="008945DC"/>
    <w:rsid w:val="008B07D4"/>
    <w:rsid w:val="008B642B"/>
    <w:rsid w:val="008E29AD"/>
    <w:rsid w:val="008E29FE"/>
    <w:rsid w:val="008E7620"/>
    <w:rsid w:val="009668B9"/>
    <w:rsid w:val="0098059F"/>
    <w:rsid w:val="009A2DCE"/>
    <w:rsid w:val="009D17CA"/>
    <w:rsid w:val="00A9746E"/>
    <w:rsid w:val="00AB52D3"/>
    <w:rsid w:val="00AD1DAE"/>
    <w:rsid w:val="00AD1DE0"/>
    <w:rsid w:val="00B05D81"/>
    <w:rsid w:val="00B24562"/>
    <w:rsid w:val="00B367AE"/>
    <w:rsid w:val="00B736B5"/>
    <w:rsid w:val="00B92FBE"/>
    <w:rsid w:val="00BB2BF3"/>
    <w:rsid w:val="00BF563A"/>
    <w:rsid w:val="00BF6A94"/>
    <w:rsid w:val="00C3020A"/>
    <w:rsid w:val="00C81835"/>
    <w:rsid w:val="00CE1E93"/>
    <w:rsid w:val="00CF5955"/>
    <w:rsid w:val="00D026CD"/>
    <w:rsid w:val="00D628AE"/>
    <w:rsid w:val="00DE68F4"/>
    <w:rsid w:val="00E35F0F"/>
    <w:rsid w:val="00E440F4"/>
    <w:rsid w:val="00E63ADA"/>
    <w:rsid w:val="00EA6242"/>
    <w:rsid w:val="00EB1837"/>
    <w:rsid w:val="00EB1CBC"/>
    <w:rsid w:val="00EE7B8C"/>
    <w:rsid w:val="00FC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6DE8C"/>
  <w15:chartTrackingRefBased/>
  <w15:docId w15:val="{54B5AD92-A2F1-6C49-B412-DAB8EDD7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0C0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0C0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0C0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0C0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0C0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0C0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0C0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0C0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0C0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0C0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0C0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1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0C0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1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0C0"/>
    <w:pPr>
      <w:widowControl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1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0C0"/>
    <w:pPr>
      <w:widowControl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1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0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0C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310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10C0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31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Cheng, You</dc:creator>
  <cp:keywords/>
  <dc:description/>
  <cp:lastModifiedBy>Cheng, You</cp:lastModifiedBy>
  <cp:revision>59</cp:revision>
  <dcterms:created xsi:type="dcterms:W3CDTF">2024-06-28T21:44:00Z</dcterms:created>
  <dcterms:modified xsi:type="dcterms:W3CDTF">2025-03-27T03:03:00Z</dcterms:modified>
</cp:coreProperties>
</file>