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after="600" w:afterAutospacing="0" w:line="520" w:lineRule="atLeast"/>
        <w:ind w:left="0" w:right="0" w:firstLine="0"/>
        <w:jc w:val="both"/>
        <w:rPr>
          <w:rFonts w:ascii="sans-serif" w:hAnsi="sans-serif" w:eastAsia="sans-serif" w:cs="sans-serif"/>
          <w:i w:val="0"/>
          <w:iCs w:val="0"/>
          <w:caps w:val="0"/>
          <w:color w:val="000000"/>
          <w:spacing w:val="0"/>
          <w:sz w:val="28"/>
          <w:szCs w:val="28"/>
          <w:u w:val="none"/>
        </w:rPr>
      </w:pPr>
      <w:r>
        <w:rPr>
          <w:rFonts w:hint="default" w:ascii="Verdana" w:hAnsi="Verdana" w:eastAsia="sans-serif" w:cs="Verdana"/>
          <w:i w:val="0"/>
          <w:iCs w:val="0"/>
          <w:caps w:val="0"/>
          <w:color w:val="000000"/>
          <w:spacing w:val="0"/>
          <w:sz w:val="32"/>
          <w:szCs w:val="32"/>
          <w:u w:val="none"/>
          <w:bdr w:val="none" w:color="auto" w:sz="0" w:space="0"/>
          <w:vertAlign w:val="baseline"/>
        </w:rPr>
        <w:t>Anayasa Mahkemesi; 12.01.2023 tarihinden yayımlanan 30.06.2022 tarihli ve 2018/137 E., 2022/86 K. sayılı kararıyla, ağırlıklı olarak olağanüstü halin kaldırılması sonrasına ilişkin tedbirleri düzenleyen iki Kanunun çeşitli hükümlerinin Anayasaya uygunluğunu incelemiştir. Mahkemenin incelediği iki Kanun şu şekildedir:</w:t>
      </w:r>
    </w:p>
    <w:p>
      <w:pPr>
        <w:keepNext w:val="0"/>
        <w:keepLines w:val="0"/>
        <w:widowControl/>
        <w:numPr>
          <w:ilvl w:val="0"/>
          <w:numId w:val="1"/>
        </w:numPr>
        <w:suppressLineNumbers w:val="0"/>
        <w:spacing w:before="0" w:beforeAutospacing="1" w:after="0" w:afterAutospacing="1"/>
        <w:ind w:left="1020" w:hanging="360"/>
        <w:jc w:val="both"/>
      </w:pPr>
      <w:r>
        <w:rPr>
          <w:rFonts w:hint="default" w:ascii="Verdana" w:hAnsi="Verdana" w:eastAsia="sans-serif" w:cs="Verdana"/>
          <w:i w:val="0"/>
          <w:iCs w:val="0"/>
          <w:caps w:val="0"/>
          <w:color w:val="000000"/>
          <w:spacing w:val="0"/>
          <w:sz w:val="32"/>
          <w:szCs w:val="32"/>
          <w:u w:val="none"/>
          <w:bdr w:val="none" w:color="auto" w:sz="0" w:space="0"/>
          <w:vertAlign w:val="baseline"/>
        </w:rPr>
        <w:t>25.07.2018 tarihli 7145 sayılı Bazı Kanun ve Kanun Hükmünde Kararnamelerde Değişiklik Yapılmasına Dair Kanun,</w:t>
      </w:r>
    </w:p>
    <w:p>
      <w:pPr>
        <w:keepNext w:val="0"/>
        <w:keepLines w:val="0"/>
        <w:widowControl/>
        <w:numPr>
          <w:ilvl w:val="0"/>
          <w:numId w:val="1"/>
        </w:numPr>
        <w:suppressLineNumbers w:val="0"/>
        <w:spacing w:before="0" w:beforeAutospacing="1" w:after="0" w:afterAutospacing="1"/>
        <w:ind w:left="1020" w:hanging="360"/>
        <w:jc w:val="both"/>
      </w:pPr>
      <w:r>
        <w:rPr>
          <w:rFonts w:hint="default" w:ascii="Verdana" w:hAnsi="Verdana" w:eastAsia="sans-serif" w:cs="Verdana"/>
          <w:i w:val="0"/>
          <w:iCs w:val="0"/>
          <w:caps w:val="0"/>
          <w:color w:val="000000"/>
          <w:spacing w:val="0"/>
          <w:sz w:val="32"/>
          <w:szCs w:val="32"/>
          <w:u w:val="none"/>
          <w:bdr w:val="none" w:color="auto" w:sz="0" w:space="0"/>
          <w:vertAlign w:val="baseline"/>
        </w:rPr>
        <w:t>18.7.2021 tarihli ve 7333 sayılı Bazı Kanun ve Kanun Hükmünde Kararnamelerde Değişiklik Yapılmasına Dair Kanun.</w:t>
      </w:r>
    </w:p>
    <w:p>
      <w:pPr>
        <w:pStyle w:val="4"/>
        <w:keepNext w:val="0"/>
        <w:keepLines w:val="0"/>
        <w:widowControl/>
        <w:suppressLineNumbers w:val="0"/>
        <w:spacing w:after="600" w:afterAutospacing="0" w:line="520" w:lineRule="atLeast"/>
        <w:ind w:left="0" w:right="0" w:firstLine="0"/>
        <w:jc w:val="both"/>
        <w:rPr>
          <w:rFonts w:hint="default" w:ascii="sans-serif" w:hAnsi="sans-serif" w:eastAsia="sans-serif" w:cs="sans-serif"/>
          <w:i w:val="0"/>
          <w:iCs w:val="0"/>
          <w:caps w:val="0"/>
          <w:color w:val="000000"/>
          <w:spacing w:val="0"/>
          <w:sz w:val="28"/>
          <w:szCs w:val="28"/>
          <w:u w:val="none"/>
        </w:rPr>
      </w:pPr>
      <w:r>
        <w:rPr>
          <w:rStyle w:val="5"/>
          <w:rFonts w:hint="default" w:ascii="Verdana" w:hAnsi="Verdana" w:eastAsia="sans-serif" w:cs="Verdana"/>
          <w:i w:val="0"/>
          <w:iCs w:val="0"/>
          <w:caps w:val="0"/>
          <w:color w:val="000000"/>
          <w:spacing w:val="0"/>
          <w:sz w:val="32"/>
          <w:szCs w:val="32"/>
          <w:u w:val="none"/>
          <w:bdr w:val="none" w:color="auto" w:sz="0" w:space="0"/>
          <w:vertAlign w:val="baseline"/>
        </w:rPr>
        <w:t>VIII. Göreve İade Edilen Kamu Görevlilerinin Görevinden Çıkarılmalarından Dolayı Tazminat Taleplerinin Engellenmesi</w:t>
      </w:r>
    </w:p>
    <w:p>
      <w:pPr>
        <w:pStyle w:val="4"/>
        <w:keepNext w:val="0"/>
        <w:keepLines w:val="0"/>
        <w:widowControl/>
        <w:suppressLineNumbers w:val="0"/>
        <w:spacing w:after="600" w:afterAutospacing="0" w:line="520" w:lineRule="atLeast"/>
        <w:ind w:left="0" w:right="0" w:firstLine="0"/>
        <w:jc w:val="both"/>
        <w:rPr>
          <w:rFonts w:hint="default" w:ascii="sans-serif" w:hAnsi="sans-serif" w:eastAsia="sans-serif" w:cs="sans-serif"/>
          <w:i w:val="0"/>
          <w:iCs w:val="0"/>
          <w:caps w:val="0"/>
          <w:color w:val="000000"/>
          <w:spacing w:val="0"/>
          <w:sz w:val="28"/>
          <w:szCs w:val="28"/>
          <w:u w:val="none"/>
        </w:rPr>
      </w:pPr>
      <w:r>
        <w:rPr>
          <w:rStyle w:val="5"/>
          <w:rFonts w:hint="default" w:ascii="Verdana" w:hAnsi="Verdana" w:eastAsia="sans-serif" w:cs="Verdana"/>
          <w:i w:val="0"/>
          <w:iCs w:val="0"/>
          <w:caps w:val="0"/>
          <w:color w:val="000000"/>
          <w:spacing w:val="0"/>
          <w:sz w:val="32"/>
          <w:szCs w:val="32"/>
          <w:u w:val="none"/>
          <w:bdr w:val="none" w:color="auto" w:sz="0" w:space="0"/>
          <w:vertAlign w:val="baseline"/>
        </w:rPr>
        <w:t>22</w:t>
      </w:r>
      <w:r>
        <w:rPr>
          <w:rStyle w:val="5"/>
          <w:rFonts w:hint="default" w:ascii="Verdana" w:hAnsi="Verdana" w:eastAsia="sans-serif" w:cs="Verdana"/>
          <w:i w:val="0"/>
          <w:iCs w:val="0"/>
          <w:caps w:val="0"/>
          <w:color w:val="010000"/>
          <w:spacing w:val="0"/>
          <w:sz w:val="32"/>
          <w:szCs w:val="32"/>
          <w:u w:val="none"/>
          <w:bdr w:val="none" w:color="auto" w:sz="0" w:space="0"/>
          <w:vertAlign w:val="baseline"/>
        </w:rPr>
        <w:t>.</w:t>
      </w:r>
      <w:r>
        <w:rPr>
          <w:rFonts w:hint="default" w:ascii="Verdana" w:hAnsi="Verdana" w:eastAsia="sans-serif" w:cs="Verdana"/>
          <w:i w:val="0"/>
          <w:iCs w:val="0"/>
          <w:caps w:val="0"/>
          <w:color w:val="000000"/>
          <w:spacing w:val="0"/>
          <w:sz w:val="32"/>
          <w:szCs w:val="32"/>
          <w:u w:val="none"/>
          <w:bdr w:val="none" w:color="auto" w:sz="0" w:space="0"/>
          <w:vertAlign w:val="baseline"/>
        </w:rPr>
        <w:t> Dava konusu kural ile göreve iade edilenlerin, kamu görevinden çıkarılmalarından dolayı herhangi bir tazminat talebinde bulunamayacakları belirtilmektedir. Kişilerin OHAL sonrası dönemde yetkili kurumların idari işlemleri nedeniyle zarara uğrandığı iddialarının dava edilmesini önleyen bu kural Anayasa Mahkemesi tarafından hak arama hürriyetine, mahkeme hakkına (Anayasa m.36) aykırı olduğu gibi, Anayasanın 125. maddesinde ifade edilen idari işlem ve eylemlerin yargı denetimine tabi olacağına ilişkin kurala da aykırı bulunmuştur.</w:t>
      </w:r>
    </w:p>
    <w:p>
      <w:pPr>
        <w:pStyle w:val="4"/>
        <w:keepNext w:val="0"/>
        <w:keepLines w:val="0"/>
        <w:widowControl/>
        <w:suppressLineNumbers w:val="0"/>
        <w:spacing w:after="600" w:afterAutospacing="0" w:line="520" w:lineRule="atLeast"/>
        <w:ind w:left="0" w:right="0" w:firstLine="0"/>
        <w:jc w:val="both"/>
        <w:rPr>
          <w:rFonts w:hint="default" w:ascii="sans-serif" w:hAnsi="sans-serif" w:eastAsia="sans-serif" w:cs="sans-serif"/>
          <w:i w:val="0"/>
          <w:iCs w:val="0"/>
          <w:caps w:val="0"/>
          <w:color w:val="000000"/>
          <w:spacing w:val="0"/>
          <w:sz w:val="28"/>
          <w:szCs w:val="28"/>
          <w:u w:val="none"/>
        </w:rPr>
      </w:pPr>
      <w:r>
        <w:rPr>
          <w:rStyle w:val="5"/>
          <w:rFonts w:hint="default" w:ascii="Verdana" w:hAnsi="Verdana" w:eastAsia="sans-serif" w:cs="Verdana"/>
          <w:i w:val="0"/>
          <w:iCs w:val="0"/>
          <w:caps w:val="0"/>
          <w:color w:val="000000"/>
          <w:spacing w:val="0"/>
          <w:sz w:val="32"/>
          <w:szCs w:val="32"/>
          <w:u w:val="none"/>
          <w:bdr w:val="none" w:color="auto" w:sz="0" w:space="0"/>
          <w:vertAlign w:val="baseline"/>
        </w:rPr>
        <w:t>IX. Göreve İadesi Kabul Edilen Dış İşleri, Emniyet ve TSK Personelinin Bakan Kararı ile Araştırma Merkezine Atanması Konusunda Belirsiz Yetki Verilmesi</w:t>
      </w:r>
    </w:p>
    <w:p>
      <w:pPr>
        <w:pStyle w:val="4"/>
        <w:keepNext w:val="0"/>
        <w:keepLines w:val="0"/>
        <w:widowControl/>
        <w:suppressLineNumbers w:val="0"/>
        <w:spacing w:after="600" w:afterAutospacing="0" w:line="520" w:lineRule="atLeast"/>
        <w:ind w:left="0" w:right="0" w:firstLine="0"/>
        <w:jc w:val="both"/>
        <w:rPr>
          <w:rFonts w:hint="default" w:ascii="sans-serif" w:hAnsi="sans-serif" w:eastAsia="sans-serif" w:cs="sans-serif"/>
          <w:i w:val="0"/>
          <w:iCs w:val="0"/>
          <w:caps w:val="0"/>
          <w:color w:val="000000"/>
          <w:spacing w:val="0"/>
          <w:sz w:val="28"/>
          <w:szCs w:val="28"/>
          <w:u w:val="none"/>
        </w:rPr>
      </w:pPr>
      <w:r>
        <w:rPr>
          <w:rStyle w:val="5"/>
          <w:rFonts w:hint="default" w:ascii="Verdana" w:hAnsi="Verdana" w:eastAsia="sans-serif" w:cs="Verdana"/>
          <w:i w:val="0"/>
          <w:iCs w:val="0"/>
          <w:caps w:val="0"/>
          <w:color w:val="000000"/>
          <w:spacing w:val="0"/>
          <w:sz w:val="32"/>
          <w:szCs w:val="32"/>
          <w:u w:val="none"/>
          <w:bdr w:val="none" w:color="auto" w:sz="0" w:space="0"/>
          <w:vertAlign w:val="baseline"/>
        </w:rPr>
        <w:t>23.</w:t>
      </w:r>
      <w:r>
        <w:rPr>
          <w:rFonts w:hint="default" w:ascii="Verdana" w:hAnsi="Verdana" w:eastAsia="sans-serif" w:cs="Verdana"/>
          <w:i w:val="0"/>
          <w:iCs w:val="0"/>
          <w:caps w:val="0"/>
          <w:color w:val="000000"/>
          <w:spacing w:val="0"/>
          <w:sz w:val="32"/>
          <w:szCs w:val="32"/>
          <w:u w:val="none"/>
          <w:bdr w:val="none" w:color="auto" w:sz="0" w:space="0"/>
          <w:vertAlign w:val="baseline"/>
        </w:rPr>
        <w:t> Dava konusu kuralla; kamu görevine iade edilen TSK ile genel kolluk kuvveti personeli ve Dışişleri Bakanlığı diplomatik kariyer memurları hakkında Millî Savunma, Dışişleri ve İçişleri Bakanı tarafından eski kadro, rütbe veya unvanına atanması uygun görülmeyenlerden binbaşı ve üstü rütbelerde olanlar ile emniyet hizmetleri sınıfında bulunan her sınıftaki emniyet müdürleri kurallar uyarınca araştırmacı unvanlı olarak istihdam edilecekler, diğer personel ise sözkonusu bakanlıklar tarafından tespit edilen araştırma merkezlerindeki diğer kadrolarda görevlendirileceklerdir.</w:t>
      </w:r>
    </w:p>
    <w:p>
      <w:pPr>
        <w:pStyle w:val="4"/>
        <w:keepNext w:val="0"/>
        <w:keepLines w:val="0"/>
        <w:widowControl/>
        <w:suppressLineNumbers w:val="0"/>
        <w:spacing w:after="600" w:afterAutospacing="0" w:line="520" w:lineRule="atLeast"/>
        <w:ind w:left="0" w:right="0" w:firstLine="0"/>
        <w:jc w:val="both"/>
        <w:rPr>
          <w:rFonts w:hint="default" w:ascii="sans-serif" w:hAnsi="sans-serif" w:eastAsia="sans-serif" w:cs="sans-serif"/>
          <w:i w:val="0"/>
          <w:iCs w:val="0"/>
          <w:caps w:val="0"/>
          <w:color w:val="000000"/>
          <w:spacing w:val="0"/>
          <w:sz w:val="28"/>
          <w:szCs w:val="28"/>
          <w:u w:val="none"/>
        </w:rPr>
      </w:pPr>
      <w:r>
        <w:rPr>
          <w:rStyle w:val="5"/>
          <w:rFonts w:hint="default" w:ascii="Verdana" w:hAnsi="Verdana" w:eastAsia="sans-serif" w:cs="Verdana"/>
          <w:i w:val="0"/>
          <w:iCs w:val="0"/>
          <w:caps w:val="0"/>
          <w:color w:val="000000"/>
          <w:spacing w:val="0"/>
          <w:sz w:val="32"/>
          <w:szCs w:val="32"/>
          <w:u w:val="none"/>
          <w:bdr w:val="none" w:color="auto" w:sz="0" w:space="0"/>
          <w:vertAlign w:val="baseline"/>
        </w:rPr>
        <w:t>24.</w:t>
      </w:r>
      <w:r>
        <w:rPr>
          <w:rFonts w:hint="default" w:ascii="Verdana" w:hAnsi="Verdana" w:eastAsia="sans-serif" w:cs="Verdana"/>
          <w:i w:val="0"/>
          <w:iCs w:val="0"/>
          <w:caps w:val="0"/>
          <w:color w:val="000000"/>
          <w:spacing w:val="0"/>
          <w:sz w:val="32"/>
          <w:szCs w:val="32"/>
          <w:u w:val="none"/>
          <w:bdr w:val="none" w:color="auto" w:sz="0" w:space="0"/>
          <w:vertAlign w:val="baseline"/>
        </w:rPr>
        <w:t> Anayasa Mahkemesi; öncelikle kamu görevine iade edilen sözkonusu personelin önceki kadro, rütbe ve unvanına göre atanmasını engelleyen kuralların kişilerin meslek hayatlarını, kişisel gelişimlerini, üçüncü kişilerle olan ilişkilerini ve itibarlarını olumsuz şekilde etkileyebileceğini tespit etmiştir.</w:t>
      </w:r>
    </w:p>
    <w:p>
      <w:pPr>
        <w:pStyle w:val="4"/>
        <w:keepNext w:val="0"/>
        <w:keepLines w:val="0"/>
        <w:widowControl/>
        <w:suppressLineNumbers w:val="0"/>
        <w:spacing w:after="600" w:afterAutospacing="0" w:line="520" w:lineRule="atLeast"/>
        <w:ind w:left="0" w:right="0" w:firstLine="0"/>
        <w:jc w:val="both"/>
        <w:rPr>
          <w:rFonts w:hint="default" w:ascii="sans-serif" w:hAnsi="sans-serif" w:eastAsia="sans-serif" w:cs="sans-serif"/>
          <w:i w:val="0"/>
          <w:iCs w:val="0"/>
          <w:caps w:val="0"/>
          <w:color w:val="000000"/>
          <w:spacing w:val="0"/>
          <w:sz w:val="28"/>
          <w:szCs w:val="28"/>
          <w:u w:val="none"/>
        </w:rPr>
      </w:pPr>
      <w:r>
        <w:rPr>
          <w:rStyle w:val="5"/>
          <w:rFonts w:hint="default" w:ascii="Verdana" w:hAnsi="Verdana" w:eastAsia="sans-serif" w:cs="Verdana"/>
          <w:i w:val="0"/>
          <w:iCs w:val="0"/>
          <w:caps w:val="0"/>
          <w:color w:val="000000"/>
          <w:spacing w:val="0"/>
          <w:sz w:val="32"/>
          <w:szCs w:val="32"/>
          <w:u w:val="none"/>
          <w:bdr w:val="none" w:color="auto" w:sz="0" w:space="0"/>
          <w:vertAlign w:val="baseline"/>
        </w:rPr>
        <w:t>25.</w:t>
      </w:r>
      <w:r>
        <w:rPr>
          <w:rFonts w:hint="default" w:ascii="Verdana" w:hAnsi="Verdana" w:eastAsia="sans-serif" w:cs="Verdana"/>
          <w:i w:val="0"/>
          <w:iCs w:val="0"/>
          <w:caps w:val="0"/>
          <w:color w:val="000000"/>
          <w:spacing w:val="0"/>
          <w:sz w:val="32"/>
          <w:szCs w:val="32"/>
          <w:u w:val="none"/>
          <w:bdr w:val="none" w:color="auto" w:sz="0" w:space="0"/>
          <w:vertAlign w:val="baseline"/>
        </w:rPr>
        <w:t> Yüksek Mahkeme; iade kararı ile hukuka aykırı olarak uygulanan kamu görevinden çıkarma tedbirinin tüm sonuçlarıyla ortadan kaldırılması başka bir ifadeyle tedbir hiç uygulanmamış gibi kişilerin önceki kazanımlarının dikkate alınması gerektiği halde bu kişilerin idari teşkilat içindeki mevcut kadrolarının, unvanlarının, rütbelerinin kısacası bu kapsamdaki kazanılmış haklarının gözardı edildiğine vurgu yapmakla birlikte, esas olarak ilgili bakana tanınan yetkinin kapsam ve sınırlarının açık, net ve anlaşılır olmaması nedeniyle göreve iade edilen personelin eski kadro, rütbe veya unvanına göre atanıp atanmayacağı hususunda idareye geniş bir takdir yetkisi veren kuralın kapsam ve sınırları itibarıyla idarenin keyfi uygulamalarını önleyecek niteliği haiz olmamasını iptal için temel gerekçe yapmıştır.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Verdan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4C6420"/>
    <w:multiLevelType w:val="multilevel"/>
    <w:tmpl w:val="EF4C64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D057C9"/>
    <w:rsid w:val="7CD05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2023-03-07T15:14:00Z</dcterms:created>
  <dc:creator>muharremturgut</dc:creator>
  <cp:lastModifiedBy>muharremturgut</cp:lastModifiedBy>
  <dcterms:modified xsi:type="dcterms:W3CDTF">2023-03-07T20:01:46Z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