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4"/>
        <w:tblW w:w="0" w:type="auto"/>
        <w:tblInd w:w="4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House-hold debt-driven growth</w:t>
            </w:r>
          </w:p>
        </w:tc>
      </w:tr>
    </w:tbl>
    <w:tbl>
      <w:tblPr>
        <w:tblStyle w:val="4"/>
        <w:tblpPr w:leftFromText="180" w:rightFromText="180" w:vertAnchor="text" w:horzAnchor="page" w:tblpX="1705" w:tblpY="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short-term capital inflows</w:t>
            </w:r>
          </w:p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portfolio investments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4"/>
        <w:tblpPr w:leftFromText="180" w:rightFromText="180" w:vertAnchor="text" w:horzAnchor="page" w:tblpX="10067" w:tblpY="-1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Construction</w:t>
            </w: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-based growth and CAD</w:t>
            </w:r>
          </w:p>
        </w:tc>
      </w:tr>
    </w:tbl>
    <w:tbl>
      <w:tblPr>
        <w:tblStyle w:val="4"/>
        <w:tblpPr w:leftFromText="180" w:rightFromText="180" w:vertAnchor="text" w:horzAnchor="page" w:tblpX="5999" w:tblpY="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Consumer Loans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4"/>
        <w:tblW w:w="0" w:type="auto"/>
        <w:tblInd w:w="4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Channeled into Turkish banks external borrowing</w:t>
            </w:r>
          </w:p>
        </w:tc>
      </w:tr>
    </w:tbl>
    <w:tbl>
      <w:tblPr>
        <w:tblStyle w:val="4"/>
        <w:tblpPr w:leftFromText="180" w:rightFromText="180" w:vertAnchor="text" w:horzAnchor="page" w:tblpX="9859" w:tblpY="-5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Construction Sector (import-dependent)</w:t>
            </w:r>
          </w:p>
        </w:tc>
      </w:tr>
    </w:tbl>
    <w:tbl>
      <w:tblPr>
        <w:tblStyle w:val="4"/>
        <w:tblpPr w:leftFromText="180" w:rightFromText="180" w:vertAnchor="text" w:horzAnchor="page" w:tblpX="2035" w:tblpY="2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Capital-Inflow dependent growth</w:t>
            </w:r>
          </w:p>
        </w:tc>
      </w:tr>
    </w:tbl>
    <w:tbl>
      <w:tblPr>
        <w:tblStyle w:val="4"/>
        <w:tblpPr w:leftFromText="180" w:rightFromText="180" w:vertAnchor="text" w:horzAnchor="page" w:tblpX="10035" w:tblpY="4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Credit Growth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4"/>
        <w:tblpPr w:leftFromText="180" w:rightFromText="180" w:vertAnchor="text" w:horzAnchor="page" w:tblpX="5329" w:tblpY="1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Caiptal Inflows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</w:p>
    <w:p>
      <w:pPr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4"/>
        <w:tblpPr w:leftFromText="180" w:rightFromText="180" w:vertAnchor="text" w:horzAnchor="page" w:tblpX="10067" w:tblpY="-1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Asset Bubbles</w:t>
            </w:r>
          </w:p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Colleteral effect</w:t>
            </w:r>
          </w:p>
        </w:tc>
      </w:tr>
    </w:tbl>
    <w:tbl>
      <w:tblPr>
        <w:tblStyle w:val="4"/>
        <w:tblpPr w:leftFromText="180" w:rightFromText="180" w:vertAnchor="text" w:horzAnchor="page" w:tblpX="5659" w:tblpY="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TL appreciates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</w:p>
    <w:p>
      <w:pPr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4"/>
        <w:tblpPr w:leftFromText="180" w:rightFromText="180" w:vertAnchor="text" w:horzAnchor="page" w:tblpX="9972" w:tblpY="1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More Consumption (CAD)</w:t>
            </w:r>
          </w:p>
        </w:tc>
      </w:tr>
    </w:tbl>
    <w:tbl>
      <w:tblPr>
        <w:tblStyle w:val="4"/>
        <w:tblpPr w:leftFromText="180" w:rightFromText="180" w:vertAnchor="text" w:horzAnchor="page" w:tblpX="5505" w:tblpY="2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Price Stability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  <w:r>
        <w:rPr>
          <w:rFonts w:hint="default" w:ascii="Times New Roman Regular" w:hAnsi="Times New Roman Regular" w:cs="Times New Roman Regular"/>
          <w:sz w:val="20"/>
        </w:rPr>
        <w:t xml:space="preserve"> </w:t>
      </w:r>
    </w:p>
    <w:tbl>
      <w:tblPr>
        <w:tblStyle w:val="4"/>
        <w:tblpPr w:leftFromText="180" w:rightFromText="180" w:vertAnchor="text" w:horzAnchor="page" w:tblpX="1939" w:tblpY="1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Carry-trade opportunities increased volatility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</w:p>
    <w:p>
      <w:pPr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4"/>
        <w:tblpPr w:leftFromText="180" w:rightFromText="180" w:vertAnchor="text" w:horzAnchor="page" w:tblpX="5482" w:tblpY="2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Demand for Imported Goods</w:t>
            </w:r>
          </w:p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Demand for Consumption</w:t>
            </w:r>
          </w:p>
        </w:tc>
      </w:tr>
    </w:tbl>
    <w:tbl>
      <w:tblPr>
        <w:tblStyle w:val="4"/>
        <w:tblpPr w:leftFromText="180" w:rightFromText="180" w:vertAnchor="text" w:horzAnchor="page" w:tblpX="9753" w:tblpY="6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3416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More Investment with Imported intermediaries (CAD)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4"/>
        <w:tblpPr w:leftFromText="180" w:rightFromText="180" w:vertAnchor="text" w:horzAnchor="page" w:tblpX="9682" w:tblpY="5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4318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 xml:space="preserve">Industrial-base destroyed </w:t>
            </w:r>
          </w:p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Competitiveness of domestic sectors (De-industrialization, increased import dependency and CAD)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4"/>
        <w:tblpPr w:leftFromText="180" w:rightFromText="180" w:vertAnchor="text" w:horzAnchor="page" w:tblpX="2437" w:tblpY="1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2340" w:type="dxa"/>
          </w:tcPr>
          <w:p>
            <w:pP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vertAlign w:val="baseline"/>
              </w:rPr>
              <w:t>Credit-driven Growth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0"/>
        </w:rPr>
      </w:pPr>
    </w:p>
    <w:p>
      <w:pPr>
        <w:rPr>
          <w:rFonts w:hint="default" w:ascii="Times New Roman Regular" w:hAnsi="Times New Roman Regular" w:cs="Times New Roman Regular"/>
          <w:sz w:val="20"/>
        </w:rPr>
      </w:pPr>
      <w:r>
        <w:rPr>
          <w:rFonts w:hint="default" w:ascii="Times New Roman Regular" w:hAnsi="Times New Roman Regular" w:cs="Times New Roman Regular"/>
          <w:sz w:val="20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0"/>
        </w:rPr>
      </w:pPr>
    </w:p>
    <w:p>
      <w:pPr>
        <w:rPr>
          <w:rFonts w:hint="default" w:ascii="Times New Roman Regular" w:hAnsi="Times New Roman Regular" w:cs="Times New Roman Regular"/>
          <w:sz w:val="20"/>
        </w:rPr>
      </w:pPr>
    </w:p>
    <w:p>
      <w:pPr>
        <w:rPr>
          <w:rFonts w:hint="default" w:ascii="Times New Roman Regular" w:hAnsi="Times New Roman Regular" w:cs="Times New Roman Regular"/>
          <w:sz w:val="20"/>
        </w:rPr>
      </w:pPr>
    </w:p>
    <w:p/>
    <w:p/>
    <w:p>
      <w:pPr>
        <w:rPr>
          <w:rFonts w:hint="default" w:ascii="Times New Roman Regular" w:hAnsi="Times New Roman Regular" w:cs="Times New Roman" w:eastAsiaTheme="minorEastAsia"/>
          <w:sz w:val="20"/>
        </w:rPr>
      </w:pPr>
      <w:r>
        <w:rPr>
          <w:rFonts w:hint="default" w:ascii="Times New Roman Regular" w:hAnsi="Times New Roman Regular" w:cs="Times New Roman" w:eastAsiaTheme="minorEastAsia"/>
          <w:sz w:val="20"/>
        </w:rPr>
        <w:t xml:space="preserve">Capital Inflows push factors (global): 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" w:eastAsiaTheme="minorEastAsia"/>
          <w:sz w:val="20"/>
        </w:rPr>
      </w:pPr>
      <w:r>
        <w:rPr>
          <w:rFonts w:hint="default" w:ascii="Times New Roman Regular" w:hAnsi="Times New Roman Regular" w:cs="Times New Roman" w:eastAsiaTheme="minorEastAsia"/>
          <w:sz w:val="20"/>
        </w:rPr>
        <w:t>Global Liquidity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" w:eastAsiaTheme="minorEastAsia"/>
          <w:sz w:val="20"/>
        </w:rPr>
      </w:pPr>
      <w:r>
        <w:rPr>
          <w:rFonts w:hint="default" w:ascii="Times New Roman Regular" w:hAnsi="Times New Roman Regular" w:cs="Times New Roman" w:eastAsiaTheme="minorEastAsia"/>
          <w:sz w:val="20"/>
        </w:rPr>
        <w:t>Global risk appetite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" w:eastAsiaTheme="minorEastAsia"/>
          <w:sz w:val="20"/>
        </w:rPr>
      </w:pPr>
      <w:r>
        <w:rPr>
          <w:rFonts w:hint="default" w:ascii="Times New Roman Regular" w:hAnsi="Times New Roman Regular" w:cs="Times New Roman" w:eastAsiaTheme="minorEastAsia"/>
          <w:sz w:val="20"/>
        </w:rPr>
        <w:t>Quantitative Easing following 2008-2009 crisis</w:t>
      </w:r>
    </w:p>
    <w:p>
      <w:pPr>
        <w:numPr>
          <w:numId w:val="0"/>
        </w:numPr>
        <w:rPr>
          <w:rFonts w:hint="default" w:ascii="Times New Roman Regular" w:hAnsi="Times New Roman Regular" w:cs="Times New Roman" w:eastAsiaTheme="minorEastAsia"/>
          <w:sz w:val="20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" w:eastAsiaTheme="minorEastAsia"/>
          <w:sz w:val="20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" w:eastAsiaTheme="minorEastAsia"/>
          <w:sz w:val="20"/>
        </w:rPr>
      </w:pPr>
      <w:r>
        <w:rPr>
          <w:rFonts w:hint="default" w:ascii="Times New Roman Regular" w:hAnsi="Times New Roman Regular" w:cs="Times New Roman" w:eastAsiaTheme="minorEastAsia"/>
          <w:sz w:val="20"/>
        </w:rPr>
        <w:t>Capital Inflows pull factors (domestic):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 Regular" w:hAnsi="Times New Roman Regular" w:cs="Times New Roman" w:eastAsiaTheme="minorEastAsia"/>
          <w:b w:val="0"/>
          <w:bCs w:val="0"/>
          <w:sz w:val="20"/>
        </w:rPr>
      </w:pPr>
      <w:r>
        <w:rPr>
          <w:rFonts w:hint="default" w:ascii="Times New Roman Regular" w:hAnsi="Times New Roman Regular" w:cs="Times New Roman"/>
          <w:b w:val="0"/>
          <w:bCs w:val="0"/>
          <w:sz w:val="20"/>
        </w:rPr>
        <w:t>H</w:t>
      </w:r>
      <w:r>
        <w:rPr>
          <w:rFonts w:hint="default" w:ascii="Times New Roman Regular" w:hAnsi="Times New Roman Regular" w:cs="Times New Roman" w:eastAsiaTheme="minorEastAsia"/>
          <w:b w:val="0"/>
          <w:bCs w:val="0"/>
          <w:sz w:val="20"/>
        </w:rPr>
        <w:t xml:space="preserve">igh interest rates in Turkey 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 Regular" w:hAnsi="Times New Roman Regular" w:cs="Times New Roman" w:eastAsiaTheme="minorEastAsia"/>
          <w:sz w:val="20"/>
        </w:rPr>
      </w:pPr>
      <w:r>
        <w:rPr>
          <w:rFonts w:hint="default" w:ascii="Times New Roman Regular" w:hAnsi="Times New Roman Regular" w:cs="Times New Roman"/>
          <w:b w:val="0"/>
          <w:bCs w:val="0"/>
          <w:sz w:val="20"/>
        </w:rPr>
        <w:t>S</w:t>
      </w:r>
      <w:r>
        <w:rPr>
          <w:rFonts w:hint="default" w:ascii="Times New Roman Regular" w:hAnsi="Times New Roman Regular" w:cs="Times New Roman" w:eastAsiaTheme="minorEastAsia"/>
          <w:b w:val="0"/>
          <w:bCs w:val="0"/>
          <w:sz w:val="20"/>
        </w:rPr>
        <w:t xml:space="preserve">tabile </w:t>
      </w:r>
      <w:bookmarkStart w:id="0" w:name="_GoBack"/>
      <w:bookmarkEnd w:id="0"/>
      <w:r>
        <w:rPr>
          <w:rFonts w:hint="default" w:ascii="Times New Roman Regular" w:hAnsi="Times New Roman Regular" w:cs="Times New Roman"/>
          <w:b w:val="0"/>
          <w:bCs w:val="0"/>
          <w:sz w:val="20"/>
        </w:rPr>
        <w:t>and appreciated TL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 Regular" w:hAnsi="Times New Roman Regular" w:cs="Times New Roman" w:eastAsiaTheme="minorEastAsia"/>
          <w:sz w:val="20"/>
        </w:rPr>
      </w:pPr>
      <w:r>
        <w:rPr>
          <w:rFonts w:hint="default" w:ascii="Times New Roman Regular" w:hAnsi="Times New Roman Regular" w:cs="Times New Roman"/>
          <w:b w:val="0"/>
          <w:bCs w:val="0"/>
          <w:sz w:val="20"/>
        </w:rPr>
        <w:t>M</w:t>
      </w:r>
      <w:r>
        <w:rPr>
          <w:rFonts w:hint="default" w:ascii="Times New Roman Regular" w:hAnsi="Times New Roman Regular" w:cs="Times New Roman" w:eastAsiaTheme="minorEastAsia"/>
          <w:b w:val="0"/>
          <w:bCs w:val="0"/>
          <w:sz w:val="20"/>
        </w:rPr>
        <w:t>onetary policy predictability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 Regular" w:hAnsi="Times New Roman Regular" w:cs="Times New Roman" w:eastAsiaTheme="minorEastAsia"/>
          <w:sz w:val="20"/>
        </w:rPr>
      </w:pPr>
      <w:r>
        <w:rPr>
          <w:rFonts w:hint="default" w:ascii="Times New Roman Regular" w:hAnsi="Times New Roman Regular" w:cs="Times New Roman"/>
          <w:b w:val="0"/>
          <w:bCs w:val="0"/>
          <w:sz w:val="20"/>
        </w:rPr>
        <w:t>R</w:t>
      </w:r>
      <w:r>
        <w:rPr>
          <w:rFonts w:hint="default" w:ascii="Times New Roman Regular" w:hAnsi="Times New Roman Regular" w:cs="Times New Roman" w:eastAsiaTheme="minorEastAsia"/>
          <w:b w:val="0"/>
          <w:bCs w:val="0"/>
          <w:sz w:val="20"/>
        </w:rPr>
        <w:t xml:space="preserve">egulatory framework 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 Regular" w:hAnsi="Times New Roman Regular" w:cs="Times New Roman" w:eastAsiaTheme="minorEastAsia"/>
          <w:sz w:val="20"/>
        </w:rPr>
      </w:pPr>
      <w:r>
        <w:rPr>
          <w:rFonts w:hint="default" w:ascii="Times New Roman Regular" w:hAnsi="Times New Roman Regular" w:cs="Times New Roman"/>
          <w:b w:val="0"/>
          <w:bCs w:val="0"/>
          <w:sz w:val="20"/>
        </w:rPr>
        <w:t>Decreasing risk premium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7F2DE"/>
    <w:multiLevelType w:val="singleLevel"/>
    <w:tmpl w:val="B7F7F2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DEE8E2"/>
    <w:multiLevelType w:val="singleLevel"/>
    <w:tmpl w:val="F7DEE8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97A82"/>
    <w:rsid w:val="1FCBAB9A"/>
    <w:rsid w:val="3CEE14CF"/>
    <w:rsid w:val="3D7D83AE"/>
    <w:rsid w:val="3DFE6D10"/>
    <w:rsid w:val="3F6FAC46"/>
    <w:rsid w:val="4F297A82"/>
    <w:rsid w:val="4F3BC567"/>
    <w:rsid w:val="6FFE7691"/>
    <w:rsid w:val="B7DF6578"/>
    <w:rsid w:val="BB4FA4AA"/>
    <w:rsid w:val="CDFB2303"/>
    <w:rsid w:val="DE9DCACE"/>
    <w:rsid w:val="F3A8462E"/>
    <w:rsid w:val="F7FFC446"/>
    <w:rsid w:val="FC3F0307"/>
    <w:rsid w:val="FDB54056"/>
    <w:rsid w:val="FE3D0FE9"/>
    <w:rsid w:val="FFF7D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2022-11-09T15:01:00Z</dcterms:created>
  <dc:creator>muharremturgut</dc:creator>
  <cp:lastModifiedBy>muharremturgut</cp:lastModifiedBy>
  <dcterms:modified xsi:type="dcterms:W3CDTF">2022-11-09T22:18:55Z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