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default" w:ascii="Times New Roman Regular" w:hAnsi="Times New Roman Regular"/>
          <w:sz w:val="24"/>
          <w:szCs w:val="24"/>
          <w:highlight w:val="magenta"/>
          <w:lang w:val="tr-TR"/>
        </w:rPr>
      </w:pPr>
    </w:p>
    <w:p>
      <w:pPr>
        <w:numPr>
          <w:ilvl w:val="0"/>
          <w:numId w:val="0"/>
        </w:numPr>
        <w:jc w:val="both"/>
        <w:rPr>
          <w:rFonts w:hint="default" w:ascii="Times New Roman Italic" w:hAnsi="Times New Roman Italic" w:cs="Times New Roman Italic"/>
          <w:i/>
          <w:iCs/>
          <w:sz w:val="24"/>
          <w:szCs w:val="24"/>
          <w:highlight w:val="magenta"/>
          <w:lang w:val="tr-TR"/>
        </w:rPr>
      </w:pPr>
    </w:p>
    <w:p>
      <w:pPr>
        <w:numPr>
          <w:ilvl w:val="0"/>
          <w:numId w:val="0"/>
        </w:numPr>
        <w:jc w:val="both"/>
        <w:rPr>
          <w:rFonts w:hint="default" w:ascii="Times New Roman Italic" w:hAnsi="Times New Roman Italic" w:cs="Times New Roman Italic"/>
          <w:i/>
          <w:iCs/>
          <w:sz w:val="24"/>
          <w:szCs w:val="24"/>
          <w:highlight w:val="magenta"/>
          <w:lang w:val="en-US"/>
        </w:rPr>
      </w:pPr>
      <w:bookmarkStart w:id="0" w:name="_GoBack"/>
      <w:r>
        <w:rPr>
          <w:rFonts w:hint="default" w:ascii="Times New Roman Italic" w:hAnsi="Times New Roman Italic" w:cs="Times New Roman Italic"/>
          <w:i/>
          <w:iCs/>
          <w:sz w:val="24"/>
          <w:szCs w:val="24"/>
          <w:highlight w:val="magenta"/>
          <w:lang w:val="en-US"/>
        </w:rPr>
        <w:t>Dilekceden cikardigimiz ama mahkemede kullanabilecegimiz hususlar:</w:t>
      </w:r>
    </w:p>
    <w:bookmarkEnd w:id="0"/>
    <w:p>
      <w:pPr>
        <w:numPr>
          <w:ilvl w:val="0"/>
          <w:numId w:val="0"/>
        </w:numPr>
        <w:jc w:val="both"/>
        <w:rPr>
          <w:rFonts w:hint="default" w:ascii="Times New Roman Italic" w:hAnsi="Times New Roman Italic" w:cs="Times New Roman Italic"/>
          <w:i/>
          <w:iCs/>
          <w:sz w:val="24"/>
          <w:szCs w:val="24"/>
          <w:highlight w:val="magenta"/>
          <w:lang w:val="en-US"/>
        </w:rPr>
      </w:pPr>
    </w:p>
    <w:p>
      <w:pPr>
        <w:numPr>
          <w:ilvl w:val="0"/>
          <w:numId w:val="0"/>
        </w:numPr>
        <w:jc w:val="both"/>
        <w:rPr>
          <w:rFonts w:hint="default" w:ascii="Times New Roman Regular" w:hAnsi="Times New Roman Regular" w:cs="Times New Roman Regular"/>
          <w:sz w:val="24"/>
          <w:szCs w:val="24"/>
          <w:highlight w:val="yellow"/>
          <w:lang w:val="tr-TR"/>
        </w:rPr>
      </w:pPr>
      <w:r>
        <w:rPr>
          <w:rFonts w:hint="default" w:ascii="Times New Roman Regular" w:hAnsi="Times New Roman Regular" w:cs="Times New Roman Regular"/>
          <w:sz w:val="24"/>
          <w:szCs w:val="24"/>
          <w:highlight w:val="yellow"/>
          <w:lang w:val="tr-TR"/>
        </w:rPr>
        <w:t>Anayasa Mahkemesi bu konuda Demet Demirel ve Diğeleri kararının emsal niteliğine atıfta bulunmaktadır.</w:t>
      </w:r>
    </w:p>
    <w:p>
      <w:pPr>
        <w:numPr>
          <w:ilvl w:val="0"/>
          <w:numId w:val="0"/>
        </w:numPr>
        <w:jc w:val="both"/>
        <w:rPr>
          <w:rFonts w:hint="default" w:ascii="Times New Roman Regular" w:hAnsi="Times New Roman Regular"/>
          <w:sz w:val="24"/>
          <w:szCs w:val="24"/>
          <w:lang w:val="tr-TR"/>
        </w:rPr>
      </w:pPr>
    </w:p>
    <w:p>
      <w:pPr>
        <w:numPr>
          <w:ilvl w:val="0"/>
          <w:numId w:val="0"/>
        </w:numPr>
        <w:jc w:val="both"/>
        <w:rPr>
          <w:rFonts w:hint="default" w:ascii="Times New Roman Regular" w:hAnsi="Times New Roman Regular"/>
          <w:sz w:val="24"/>
          <w:szCs w:val="24"/>
          <w:lang w:val="tr-TR"/>
        </w:rPr>
      </w:pPr>
    </w:p>
    <w:p>
      <w:pPr>
        <w:numPr>
          <w:ilvl w:val="0"/>
          <w:numId w:val="0"/>
        </w:numPr>
        <w:jc w:val="both"/>
        <w:rPr>
          <w:rFonts w:hint="default" w:ascii="Times New Roman Regular" w:hAnsi="Times New Roman Regular"/>
          <w:sz w:val="24"/>
          <w:szCs w:val="24"/>
          <w:highlight w:val="yellow"/>
          <w:lang w:val="tr-TR"/>
        </w:rPr>
      </w:pPr>
    </w:p>
    <w:p>
      <w:pPr>
        <w:numPr>
          <w:ilvl w:val="0"/>
          <w:numId w:val="0"/>
        </w:numPr>
        <w:ind w:leftChars="0"/>
        <w:rPr>
          <w:rFonts w:hint="default"/>
          <w:highlight w:val="yellow"/>
          <w:lang w:val="tr-TR"/>
        </w:rPr>
      </w:pPr>
      <w:r>
        <w:rPr>
          <w:rFonts w:hint="default"/>
          <w:highlight w:val="yellow"/>
          <w:lang w:val="tr-TR"/>
        </w:rPr>
        <w:t>Bilindiği üzere Anayasa Mahkemesinin 12.01.2023 tarihinde yürürlüğe giren 2022/86 numaralı kararı ile</w:t>
      </w:r>
    </w:p>
    <w:p>
      <w:pPr>
        <w:numPr>
          <w:ilvl w:val="0"/>
          <w:numId w:val="0"/>
        </w:numPr>
        <w:ind w:leftChars="0"/>
        <w:rPr>
          <w:rFonts w:hint="default"/>
          <w:highlight w:val="yellow"/>
          <w:lang w:val="tr-TR"/>
        </w:rPr>
      </w:pPr>
    </w:p>
    <w:p>
      <w:pPr>
        <w:rPr>
          <w:rFonts w:hint="default"/>
          <w:highlight w:val="yellow"/>
          <w:lang w:val="tr-TR"/>
        </w:rPr>
      </w:pPr>
      <w:r>
        <w:rPr>
          <w:rFonts w:hint="default"/>
          <w:highlight w:val="yellow"/>
          <w:lang w:val="tr-TR"/>
        </w:rPr>
        <w:t>Kamu Görevine iade edilen Dışişleri Bakanlığı Diplomatik Kariyer Memurlarının Dışişleri Bakanlığı bünyesinde kurulacak Araştırma Merkezinde istihdam edilmelerini düzenleyen kuralı iptal etmiştir.</w:t>
      </w:r>
    </w:p>
    <w:p>
      <w:pPr>
        <w:rPr>
          <w:rFonts w:hint="default"/>
          <w:highlight w:val="yellow"/>
          <w:lang w:val="tr-TR"/>
        </w:rPr>
      </w:pPr>
    </w:p>
    <w:p>
      <w:pPr>
        <w:rPr>
          <w:rFonts w:hint="default"/>
          <w:highlight w:val="yellow"/>
          <w:lang w:val="tr-TR"/>
        </w:rPr>
      </w:pPr>
      <w:r>
        <w:rPr>
          <w:rFonts w:hint="default"/>
          <w:highlight w:val="yellow"/>
          <w:lang w:val="tr-TR"/>
        </w:rPr>
        <w:t>Anayasa Mahkemesi bahsekonu kuralın iptali için,</w:t>
      </w:r>
    </w:p>
    <w:p>
      <w:pPr>
        <w:rPr>
          <w:rFonts w:hint="default"/>
          <w:highlight w:val="yellow"/>
          <w:lang w:val="tr-TR"/>
        </w:rPr>
      </w:pPr>
    </w:p>
    <w:p>
      <w:pPr>
        <w:rPr>
          <w:rFonts w:hint="default"/>
          <w:i/>
          <w:iCs/>
          <w:highlight w:val="yellow"/>
          <w:lang w:val="tr-TR"/>
        </w:rPr>
      </w:pPr>
      <w:r>
        <w:rPr>
          <w:rFonts w:hint="default"/>
          <w:i/>
          <w:iCs/>
          <w:highlight w:val="yellow"/>
          <w:lang w:val="tr-TR"/>
        </w:rPr>
        <w:t>-Mahkemelerce veya Olağanüstü Hal İşlemleri İnceleme Komisyonunca kişiler hakkında göreve iade kararı verilmesine rağmen söz konusu tedbirin sebep unsurunun ortadan kalkmadığı izlenimi doğacak şekilde bu kişilerin eski kadro, rütbe veya unvanına uygun olarak atanmalarının engellendiği, iadeyle birlikte kamu görevinden çıkarma tedbirinin tüm sonuçlarıyla ortadan kaldırılması gerektiği halde kişilerin kazanılmış hakları gözardı edilerek farklı bir statüde atanmalarına imkan tanındığı,</w:t>
      </w:r>
    </w:p>
    <w:p>
      <w:pPr>
        <w:rPr>
          <w:rFonts w:hint="default"/>
          <w:i/>
          <w:iCs/>
          <w:highlight w:val="yellow"/>
          <w:lang w:val="tr-TR"/>
        </w:rPr>
      </w:pPr>
    </w:p>
    <w:p>
      <w:pPr>
        <w:rPr>
          <w:rFonts w:hint="default"/>
          <w:i/>
          <w:iCs/>
          <w:highlight w:val="yellow"/>
          <w:lang w:val="tr-TR"/>
        </w:rPr>
      </w:pPr>
      <w:r>
        <w:rPr>
          <w:rFonts w:hint="default"/>
          <w:i/>
          <w:iCs/>
          <w:highlight w:val="yellow"/>
          <w:lang w:val="tr-TR"/>
        </w:rPr>
        <w:t>-Kamu görevine iade edilen kişilerin yeniden atanmalarında ilgili bakanın hangi ölçütlere göre değerlendirme yapacağına ilişkin bir belirlilik bulunmadığı, bu konuda idareye oldukça geniş yetki tanınmasının kamu düzeninin sağlanması ve kamu yararı amacının gerçekleştirilmesi bakımından zorunlu bir toplumsal ihtiyaca karşılık gelmediği,</w:t>
      </w:r>
    </w:p>
    <w:p>
      <w:pPr>
        <w:rPr>
          <w:rFonts w:hint="default"/>
          <w:i/>
          <w:iCs/>
          <w:highlight w:val="yellow"/>
          <w:lang w:val="tr-TR"/>
        </w:rPr>
      </w:pPr>
    </w:p>
    <w:p>
      <w:pPr>
        <w:rPr>
          <w:rFonts w:hint="default"/>
          <w:i/>
          <w:iCs/>
          <w:highlight w:val="yellow"/>
          <w:lang w:val="tr-TR"/>
        </w:rPr>
      </w:pPr>
      <w:r>
        <w:rPr>
          <w:rFonts w:hint="default"/>
          <w:i/>
          <w:iCs/>
          <w:highlight w:val="yellow"/>
          <w:lang w:val="tr-TR"/>
        </w:rPr>
        <w:t>-Yine kamu görevine iade edilen personelin farklı statüde istihdam edilmelerini gerektirecek kabul edilebilir ölçüde hukuki ve fiili zorunlulukların gösterilmediği, bu açıdan göreve iade edilen kişilerin araştırma merkezlerine atanmasına imkan tanınmasının kamu yararı ve kamu düzeninin sağlanması amacı bakımından gerekli olduğunun söylenemeyeceği,</w:t>
      </w:r>
    </w:p>
    <w:p>
      <w:pPr>
        <w:rPr>
          <w:rFonts w:hint="default"/>
          <w:i/>
          <w:iCs/>
          <w:highlight w:val="yellow"/>
          <w:lang w:val="tr-TR"/>
        </w:rPr>
      </w:pPr>
    </w:p>
    <w:p>
      <w:pPr>
        <w:rPr>
          <w:rFonts w:hint="default"/>
          <w:highlight w:val="yellow"/>
          <w:lang w:val="tr-TR"/>
        </w:rPr>
      </w:pPr>
      <w:r>
        <w:rPr>
          <w:rFonts w:hint="default"/>
          <w:highlight w:val="yellow"/>
          <w:lang w:val="tr-TR"/>
        </w:rPr>
        <w:t>gerekçelerini belirtmiştir.</w:t>
      </w:r>
    </w:p>
    <w:p>
      <w:pPr>
        <w:rPr>
          <w:rFonts w:hint="default"/>
          <w:highlight w:val="yellow"/>
          <w:lang w:val="tr-TR"/>
        </w:rPr>
      </w:pPr>
    </w:p>
    <w:p>
      <w:pPr>
        <w:numPr>
          <w:ilvl w:val="0"/>
          <w:numId w:val="0"/>
        </w:numPr>
        <w:jc w:val="both"/>
        <w:rPr>
          <w:rFonts w:hint="default" w:ascii="Times New Roman Regular" w:hAnsi="Times New Roman Regular"/>
          <w:sz w:val="24"/>
          <w:szCs w:val="24"/>
          <w:lang w:val="tr-TR"/>
        </w:rPr>
      </w:pPr>
    </w:p>
    <w:p>
      <w:pPr>
        <w:numPr>
          <w:ilvl w:val="0"/>
          <w:numId w:val="0"/>
        </w:numPr>
        <w:jc w:val="both"/>
        <w:rPr>
          <w:rFonts w:hint="default" w:ascii="Times New Roman Regular" w:hAnsi="Times New Roman Regular"/>
          <w:b/>
          <w:bCs/>
          <w:color w:val="FF0000"/>
          <w:sz w:val="24"/>
          <w:szCs w:val="24"/>
          <w:highlight w:val="yellow"/>
          <w:lang w:val="tr-TR"/>
        </w:rPr>
      </w:pPr>
      <w:r>
        <w:rPr>
          <w:rFonts w:hint="default" w:ascii="Times New Roman Regular" w:hAnsi="Times New Roman Regular"/>
          <w:b/>
          <w:bCs/>
          <w:color w:val="FF0000"/>
          <w:sz w:val="24"/>
          <w:szCs w:val="24"/>
          <w:highlight w:val="yellow"/>
          <w:lang w:val="tr-TR"/>
        </w:rPr>
        <w:t>Tayin ve yurtdışı maaşlar</w:t>
      </w:r>
    </w:p>
    <w:p>
      <w:pPr>
        <w:rPr>
          <w:rFonts w:hint="default"/>
          <w:b w:val="0"/>
          <w:bCs w:val="0"/>
          <w:highlight w:val="yellow"/>
          <w:lang w:val="tr-TR"/>
        </w:rPr>
      </w:pPr>
      <w:r>
        <w:rPr>
          <w:rFonts w:hint="default"/>
          <w:b w:val="0"/>
          <w:bCs w:val="0"/>
          <w:highlight w:val="yellow"/>
          <w:lang w:val="tr-TR"/>
        </w:rPr>
        <w:t xml:space="preserve">Dolayısıyla, Dışişleri Bakanlığı’nın ‘Dışişleri Bakanlığı Memurlarının Yurtdışına Sürekli Görevle Atanmasına İlişkin Usul ve Esaslar Hakkında Yönetmelik’in “Yurtdışı sürekli göreve engel teşkil eden hususlar” başlıklı </w:t>
      </w:r>
      <w:r>
        <w:rPr>
          <w:rFonts w:hint="default"/>
          <w:b/>
          <w:bCs/>
          <w:highlight w:val="yellow"/>
          <w:lang w:val="tr-TR"/>
        </w:rPr>
        <w:t>18. maddesinin 1/e bendi de</w:t>
      </w:r>
      <w:r>
        <w:rPr>
          <w:rFonts w:hint="default"/>
          <w:b w:val="0"/>
          <w:bCs w:val="0"/>
          <w:highlight w:val="yellow"/>
          <w:lang w:val="tr-TR"/>
        </w:rPr>
        <w:t xml:space="preserve"> Anayasa Mahkemesi’nin bahsekonu kararına aykırılık teşkil etmektedir.</w:t>
      </w:r>
    </w:p>
    <w:p>
      <w:pPr>
        <w:rPr>
          <w:rFonts w:hint="default"/>
          <w:b w:val="0"/>
          <w:bCs w:val="0"/>
          <w:highlight w:val="yellow"/>
          <w:lang w:val="tr-TR"/>
        </w:rPr>
      </w:pPr>
    </w:p>
    <w:p>
      <w:pPr>
        <w:widowControl w:val="0"/>
        <w:numPr>
          <w:ilvl w:val="0"/>
          <w:numId w:val="0"/>
        </w:numPr>
        <w:jc w:val="both"/>
        <w:rPr>
          <w:rFonts w:hint="default" w:ascii="Times New Roman Regular" w:hAnsi="Times New Roman Regular" w:cs="Times New Roman Regular"/>
          <w:sz w:val="24"/>
          <w:szCs w:val="24"/>
          <w:highlight w:val="yellow"/>
          <w:lang w:val="tr-TR"/>
        </w:rPr>
      </w:pPr>
    </w:p>
    <w:p>
      <w:pPr>
        <w:widowControl w:val="0"/>
        <w:numPr>
          <w:ilvl w:val="0"/>
          <w:numId w:val="0"/>
        </w:numPr>
        <w:jc w:val="both"/>
        <w:rPr>
          <w:rFonts w:hint="default" w:ascii="Times New Roman Regular" w:hAnsi="Times New Roman Regular" w:cs="Times New Roman Regular"/>
          <w:sz w:val="24"/>
          <w:szCs w:val="24"/>
          <w:highlight w:val="yellow"/>
          <w:lang w:val="tr-TR"/>
        </w:rPr>
      </w:pPr>
      <w:r>
        <w:rPr>
          <w:rFonts w:hint="default" w:ascii="Times New Roman Regular" w:hAnsi="Times New Roman Regular" w:cs="Times New Roman Regular"/>
          <w:sz w:val="24"/>
          <w:szCs w:val="24"/>
          <w:highlight w:val="yellow"/>
          <w:lang w:val="tr-TR"/>
        </w:rPr>
        <w:t>Nitekim Dışişleri bakanlığının sitesinde Dışişleri Bakanlığının çalışma prensipleri 4 (veya 5) yıl yurtdışı sürekli görev, 2 (veya 3) yıl merkez görevi olarak tanımlanmıştır. Dışişleri Bakanlığının tayin sistemi üzerine kurulu bir bakanlık olduğu ve kariyer memurlarının hayatlarının çoğunu tayinde geçirdikleri herkesin malumudur. Nitekim eşim o yıl evlenecek olmamız nedeniyle tayine 1 yıl geç gitmek istediğini bildirdiğinde talebi kabul görmemiş ve Yemen’e tayin edilmiştir. Dolayısıyla, tayin görevi bir opsiyon, bir ödül mekanizması değil, Dışişleri Bakanlığı açısından bir zorunluluk olup kariyer memurlarının kariyer gelişiminin temel görevidir.</w:t>
      </w:r>
    </w:p>
    <w:p>
      <w:pPr>
        <w:widowControl w:val="0"/>
        <w:numPr>
          <w:ilvl w:val="0"/>
          <w:numId w:val="0"/>
        </w:numPr>
        <w:jc w:val="both"/>
        <w:rPr>
          <w:rFonts w:hint="default" w:ascii="Times New Roman Regular" w:hAnsi="Times New Roman Regular" w:cs="Times New Roman Regular"/>
          <w:sz w:val="24"/>
          <w:szCs w:val="24"/>
          <w:highlight w:val="yellow"/>
          <w:lang w:val="tr-TR"/>
        </w:rPr>
      </w:pPr>
    </w:p>
    <w:p>
      <w:pPr>
        <w:widowControl w:val="0"/>
        <w:numPr>
          <w:ilvl w:val="0"/>
          <w:numId w:val="0"/>
        </w:numPr>
        <w:jc w:val="both"/>
        <w:rPr>
          <w:rFonts w:hint="default" w:ascii="Times New Roman Regular" w:hAnsi="Times New Roman Regular" w:cs="Times New Roman Regular"/>
          <w:sz w:val="24"/>
          <w:szCs w:val="24"/>
          <w:highlight w:val="yellow"/>
          <w:lang w:val="tr-TR"/>
        </w:rPr>
      </w:pPr>
      <w:r>
        <w:rPr>
          <w:rFonts w:hint="default" w:ascii="Times New Roman Regular" w:hAnsi="Times New Roman Regular" w:cs="Times New Roman Regular"/>
          <w:sz w:val="24"/>
          <w:szCs w:val="24"/>
          <w:highlight w:val="yellow"/>
          <w:lang w:val="tr-TR"/>
        </w:rPr>
        <w:t>Görevine iade olan öğretmenler için mahkemeler maaşlarının ve enflasyon farkının haricinde ekders ücreti, eğitim yılı hazırlık ödenekleri ve nöbet ücretleri haklarının da geri ödenmesine hükmetmektedir. (ek). Kaldı ki bu yan ödemeler öğretmenlik görevinin temelini dahi oluşturmamakta olan ilave kazançlardır. Tayine gitmeyen bir dışişleri memuru ise düşünülemez. Yurtdışı görevi ve yurtdışı maaşları bir dışişleri memuru için olmazsa olmazdır. Dolayısıyla haksız bir karar ile görevden çıkarılmamış olsaydım kesin olarak gideceğim ve en az 4 yıl boyunca sürdüreceğim yurtdışı tayini dolayısıyla haketmiş olacağım yurtdışı maaşlarımın da tarafıma geri ödenmesi gerekmektedir.</w:t>
      </w:r>
    </w:p>
    <w:p>
      <w:pPr>
        <w:widowControl w:val="0"/>
        <w:numPr>
          <w:ilvl w:val="0"/>
          <w:numId w:val="0"/>
        </w:numPr>
        <w:jc w:val="both"/>
        <w:rPr>
          <w:rFonts w:hint="default" w:ascii="Times New Roman Regular" w:hAnsi="Times New Roman Regular" w:cs="Times New Roman Regular"/>
          <w:sz w:val="24"/>
          <w:szCs w:val="24"/>
          <w:highlight w:val="yellow"/>
          <w:lang w:val="tr-TR"/>
        </w:rPr>
      </w:pPr>
    </w:p>
    <w:p>
      <w:pPr>
        <w:widowControl w:val="0"/>
        <w:numPr>
          <w:ilvl w:val="0"/>
          <w:numId w:val="0"/>
        </w:numPr>
        <w:jc w:val="both"/>
        <w:rPr>
          <w:rFonts w:hint="default" w:ascii="Times New Roman Regular" w:hAnsi="Times New Roman Regular" w:cs="Times New Roman Regular"/>
          <w:b/>
          <w:bCs/>
          <w:color w:val="FF0000"/>
          <w:sz w:val="24"/>
          <w:szCs w:val="24"/>
          <w:highlight w:val="yellow"/>
          <w:lang w:val="tr-TR"/>
        </w:rPr>
      </w:pPr>
      <w:r>
        <w:rPr>
          <w:rFonts w:hint="default" w:ascii="Times New Roman Regular" w:hAnsi="Times New Roman Regular" w:cs="Times New Roman Regular"/>
          <w:b/>
          <w:bCs/>
          <w:color w:val="FF0000"/>
          <w:sz w:val="24"/>
          <w:szCs w:val="24"/>
          <w:highlight w:val="yellow"/>
          <w:lang w:val="tr-TR"/>
        </w:rPr>
        <w:t>Geçmiş dönem hakedişlerimin Enflasyon farkı ile ödenmesi</w:t>
      </w:r>
    </w:p>
    <w:p>
      <w:pPr>
        <w:widowControl w:val="0"/>
        <w:numPr>
          <w:ilvl w:val="0"/>
          <w:numId w:val="0"/>
        </w:numPr>
        <w:jc w:val="both"/>
        <w:rPr>
          <w:rFonts w:hint="default" w:ascii="Times New Roman Regular" w:hAnsi="Times New Roman Regular" w:cs="Times New Roman Regular"/>
          <w:sz w:val="24"/>
          <w:szCs w:val="24"/>
          <w:highlight w:val="yellow"/>
          <w:lang w:val="tr-TR"/>
        </w:rPr>
      </w:pPr>
    </w:p>
    <w:p>
      <w:pPr>
        <w:widowControl w:val="0"/>
        <w:numPr>
          <w:ilvl w:val="0"/>
          <w:numId w:val="0"/>
        </w:numPr>
        <w:jc w:val="both"/>
        <w:rPr>
          <w:rFonts w:hint="default" w:ascii="Times New Roman Regular" w:hAnsi="Times New Roman Regular" w:cs="Times New Roman Regular"/>
          <w:sz w:val="24"/>
          <w:szCs w:val="24"/>
          <w:highlight w:val="yellow"/>
          <w:lang w:val="tr-TR"/>
        </w:rPr>
      </w:pPr>
      <w:r>
        <w:rPr>
          <w:rFonts w:hint="default" w:ascii="Times New Roman Regular" w:hAnsi="Times New Roman Regular" w:cs="Times New Roman Regular"/>
          <w:sz w:val="24"/>
          <w:szCs w:val="24"/>
          <w:highlight w:val="yellow"/>
          <w:lang w:val="tr-TR"/>
        </w:rPr>
        <w:t xml:space="preserve">Ayrıca anayasa mahkemesi bu husustaki AİHM kararlarından da bahsetmektedir. BUNA BAK </w:t>
      </w:r>
    </w:p>
    <w:p>
      <w:pPr>
        <w:widowControl w:val="0"/>
        <w:numPr>
          <w:ilvl w:val="0"/>
          <w:numId w:val="0"/>
        </w:numPr>
        <w:jc w:val="both"/>
        <w:rPr>
          <w:rFonts w:hint="default" w:ascii="Times New Roman Regular" w:hAnsi="Times New Roman Regular" w:cs="Times New Roman Regular"/>
          <w:sz w:val="24"/>
          <w:szCs w:val="24"/>
          <w:highlight w:val="yellow"/>
          <w:lang w:val="tr-TR"/>
        </w:rPr>
      </w:pPr>
    </w:p>
    <w:p>
      <w:pPr>
        <w:numPr>
          <w:ilvl w:val="0"/>
          <w:numId w:val="0"/>
        </w:numPr>
        <w:jc w:val="both"/>
        <w:rPr>
          <w:rFonts w:hint="default" w:ascii="Times New Roman Regular" w:hAnsi="Times New Roman Regular" w:cs="Times New Roman Regular"/>
          <w:sz w:val="24"/>
          <w:szCs w:val="24"/>
          <w:lang w:val="tr-T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1A56"/>
    <w:rsid w:val="77FF1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2023-05-12T09:52:00Z</dcterms:created>
  <dc:creator>muharremturgut</dc:creator>
  <cp:lastModifiedBy>muharremturgut</cp:lastModifiedBy>
  <dcterms:modified xsi:type="dcterms:W3CDTF">2023-05-12T09:52:59Z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