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III. STRATEGIES FOR FINDING RESOURCES AND PREVENTING EXCHANGE RATE HIKES</w:t>
      </w:r>
    </w:p>
    <w:p/>
    <w:p>
      <w:pPr>
        <w:numPr>
          <w:ilvl w:val="0"/>
          <w:numId w:val="0"/>
        </w:numPr>
        <w:rPr>
          <w:rFonts w:hint="default"/>
        </w:rPr>
      </w:pPr>
    </w:p>
    <w:p>
      <w:pPr>
        <w:numPr>
          <w:ilvl w:val="0"/>
          <w:numId w:val="0"/>
        </w:numPr>
      </w:pPr>
      <w:r>
        <w:rPr>
          <w:b/>
          <w:bCs/>
        </w:rPr>
        <w:t xml:space="preserve">III.1. MB Rezerv Satışı ve Swap İşlemleri </w:t>
      </w:r>
      <w:r>
        <w:t>(Özellikle 2019 sonrası)</w:t>
      </w:r>
    </w:p>
    <w:p>
      <w:pPr>
        <w:numPr>
          <w:ilvl w:val="0"/>
          <w:numId w:val="0"/>
        </w:numPr>
      </w:pPr>
    </w:p>
    <w:p>
      <w:pPr>
        <w:numPr>
          <w:ilvl w:val="0"/>
          <w:numId w:val="0"/>
        </w:numPr>
        <w:rPr>
          <w:b/>
          <w:bCs/>
        </w:rPr>
      </w:pPr>
      <w:r>
        <w:rPr>
          <w:b/>
          <w:bCs/>
        </w:rPr>
        <w:t>III.1.a MB Rezerv Satışı</w:t>
      </w:r>
    </w:p>
    <w:p>
      <w:pPr>
        <w:numPr>
          <w:ilvl w:val="0"/>
          <w:numId w:val="0"/>
        </w:numPr>
        <w:rPr>
          <w:b/>
          <w:bCs/>
        </w:rPr>
      </w:pPr>
      <w:r>
        <w:rPr>
          <w:b/>
          <w:bCs/>
        </w:rPr>
        <w:t xml:space="preserve">III.1.b. Swap </w:t>
      </w:r>
    </w:p>
    <w:p>
      <w:pPr>
        <w:numPr>
          <w:ilvl w:val="0"/>
          <w:numId w:val="0"/>
        </w:numPr>
        <w:rPr>
          <w:b/>
          <w:bCs/>
        </w:rPr>
      </w:pPr>
    </w:p>
    <w:p>
      <w:pPr>
        <w:numPr>
          <w:ilvl w:val="0"/>
          <w:numId w:val="0"/>
        </w:numPr>
      </w:pPr>
      <w:r>
        <w:rPr>
          <w:b/>
          <w:bCs/>
        </w:rPr>
        <w:t xml:space="preserve">III.2. KKM </w:t>
      </w:r>
      <w:r>
        <w:t>(2021 Aralık sonundan beri)</w:t>
      </w:r>
    </w:p>
    <w:p>
      <w:pPr>
        <w:numPr>
          <w:ilvl w:val="0"/>
          <w:numId w:val="0"/>
        </w:numPr>
        <w:rPr>
          <w:rFonts w:hint="default"/>
          <w:b/>
          <w:bCs/>
        </w:rPr>
      </w:pPr>
      <w:r>
        <w:rPr>
          <w:rFonts w:hint="default"/>
          <w:b/>
          <w:bCs/>
        </w:rPr>
        <w:t>III.3. MB’nın Hazine’ye Kaynak Aktarma Mekanizmaları</w:t>
      </w:r>
    </w:p>
    <w:p>
      <w:pPr>
        <w:numPr>
          <w:ilvl w:val="0"/>
          <w:numId w:val="0"/>
        </w:numPr>
      </w:pPr>
    </w:p>
    <w:p>
      <w:pPr>
        <w:numPr>
          <w:ilvl w:val="0"/>
          <w:numId w:val="0"/>
        </w:numPr>
        <w:rPr>
          <w:b/>
          <w:bCs/>
        </w:rPr>
      </w:pPr>
      <w:r>
        <w:rPr>
          <w:b/>
          <w:bCs/>
        </w:rPr>
        <w:t>III.3. Borçlanma (iç-dış)</w:t>
      </w:r>
    </w:p>
    <w:p>
      <w:pPr>
        <w:numPr>
          <w:ilvl w:val="0"/>
          <w:numId w:val="0"/>
        </w:numPr>
        <w:rPr>
          <w:b/>
          <w:bCs/>
        </w:rPr>
      </w:pPr>
      <w:r>
        <w:rPr>
          <w:b/>
          <w:bCs/>
        </w:rPr>
        <w:t>III.4. Yabancılara ev satışı</w:t>
      </w:r>
    </w:p>
    <w:p>
      <w:pPr>
        <w:numPr>
          <w:ilvl w:val="0"/>
          <w:numId w:val="0"/>
        </w:numPr>
        <w:rPr>
          <w:b/>
          <w:bCs/>
        </w:rPr>
      </w:pPr>
      <w:r>
        <w:rPr>
          <w:b/>
          <w:bCs/>
        </w:rPr>
        <w:t>III.5. Orta Doğu</w:t>
      </w:r>
      <w:r>
        <w:rPr>
          <w:rFonts w:hint="default"/>
          <w:b/>
          <w:bCs/>
        </w:rPr>
        <w:t>’dan kaynağı belirsiz para girişleri-Net Hata Noksan</w:t>
      </w:r>
    </w:p>
    <w:p>
      <w:pPr>
        <w:numPr>
          <w:ilvl w:val="0"/>
          <w:numId w:val="0"/>
        </w:numPr>
        <w:rPr>
          <w:rFonts w:hint="default"/>
          <w:b/>
          <w:bCs/>
        </w:rPr>
      </w:pPr>
      <w:r>
        <w:rPr>
          <w:b/>
          <w:bCs/>
        </w:rPr>
        <w:t>III.</w:t>
      </w:r>
      <w:r>
        <w:rPr>
          <w:rFonts w:hint="default"/>
          <w:b/>
          <w:bCs/>
        </w:rPr>
        <w:t>6</w:t>
      </w:r>
      <w:r>
        <w:rPr>
          <w:b/>
          <w:bCs/>
        </w:rPr>
        <w:t>. İhracatçılara gelen dövizin %25</w:t>
      </w:r>
      <w:r>
        <w:rPr>
          <w:rFonts w:hint="default"/>
          <w:b/>
          <w:bCs/>
        </w:rPr>
        <w:t>’ini/40’ını TL’ye geçme zorunluluğu (2021 sonu/2022)</w:t>
      </w:r>
    </w:p>
    <w:p>
      <w:pPr>
        <w:numPr>
          <w:ilvl w:val="0"/>
          <w:numId w:val="0"/>
        </w:numPr>
        <w:rPr>
          <w:rFonts w:hint="default"/>
          <w:b/>
          <w:bCs/>
        </w:rPr>
      </w:pPr>
      <w:r>
        <w:rPr>
          <w:rFonts w:hint="default"/>
          <w:b/>
          <w:bCs/>
        </w:rPr>
        <w:t>III.7. Bankaları ve şirketleri döviz işlemlerinde sıkıştırmak (Döviz Alış-Satış kurları arasındaki %2ye varan marj telkini-şirketlere döviz alırken sorgu, döviz bozdurma ricaları)</w:t>
      </w:r>
    </w:p>
    <w:p>
      <w:pPr>
        <w:numPr>
          <w:ilvl w:val="0"/>
          <w:numId w:val="0"/>
        </w:numPr>
        <w:rPr>
          <w:b/>
          <w:bCs/>
        </w:rPr>
      </w:pPr>
      <w:r>
        <w:rPr>
          <w:b/>
          <w:bCs/>
        </w:rPr>
        <w:t>III.</w:t>
      </w:r>
      <w:r>
        <w:rPr>
          <w:rFonts w:hint="default"/>
          <w:b/>
          <w:bCs/>
        </w:rPr>
        <w:t>8</w:t>
      </w:r>
      <w:r>
        <w:rPr>
          <w:b/>
          <w:bCs/>
        </w:rPr>
        <w:t>. Yabancı Para Zorunlu Karşılık Artırılması /Rezerv opsiyon mekanizması</w:t>
      </w:r>
    </w:p>
    <w:p>
      <w:pPr>
        <w:numPr>
          <w:ilvl w:val="0"/>
          <w:numId w:val="0"/>
        </w:numPr>
        <w:rPr>
          <w:rFonts w:hint="default"/>
          <w:b/>
          <w:bCs/>
        </w:rPr>
      </w:pPr>
      <w:r>
        <w:rPr>
          <w:rFonts w:hint="default"/>
          <w:b/>
          <w:bCs/>
        </w:rPr>
        <w:t>III.9. Altınların sisteme sokulması teşviki için kuyumcularla anlaşılması (2022 başı)</w:t>
      </w:r>
    </w:p>
    <w:p>
      <w:pPr>
        <w:numPr>
          <w:ilvl w:val="0"/>
          <w:numId w:val="0"/>
        </w:numPr>
        <w:rPr>
          <w:rFonts w:hint="default"/>
        </w:rPr>
      </w:pPr>
    </w:p>
    <w:p>
      <w:pPr>
        <w:numPr>
          <w:ilvl w:val="0"/>
          <w:numId w:val="0"/>
        </w:numPr>
        <w:rPr>
          <w:b/>
          <w:bCs/>
        </w:rPr>
      </w:pPr>
      <w:r>
        <w:rPr>
          <w:b/>
          <w:bCs/>
        </w:rPr>
        <w:t>III.</w:t>
      </w:r>
      <w:r>
        <w:rPr>
          <w:rFonts w:hint="default"/>
          <w:b/>
          <w:bCs/>
        </w:rPr>
        <w:t>10</w:t>
      </w:r>
      <w:r>
        <w:rPr>
          <w:b/>
          <w:bCs/>
        </w:rPr>
        <w:t>. TL Mevduatın ve Dövizden TL</w:t>
      </w:r>
      <w:r>
        <w:rPr>
          <w:rFonts w:hint="default"/>
          <w:b/>
          <w:bCs/>
        </w:rPr>
        <w:t>’ye geçişin</w:t>
      </w:r>
      <w:r>
        <w:rPr>
          <w:b/>
          <w:bCs/>
        </w:rPr>
        <w:t xml:space="preserve"> desteklenmesi</w:t>
      </w:r>
    </w:p>
    <w:p>
      <w:pPr>
        <w:numPr>
          <w:ilvl w:val="0"/>
          <w:numId w:val="0"/>
        </w:numPr>
        <w:rPr>
          <w:b/>
          <w:bCs/>
        </w:rPr>
      </w:pPr>
    </w:p>
    <w:p>
      <w:pPr>
        <w:numPr>
          <w:ilvl w:val="0"/>
          <w:numId w:val="0"/>
        </w:numPr>
        <w:rPr>
          <w:rFonts w:hint="default"/>
          <w:b/>
          <w:bCs/>
        </w:rPr>
      </w:pPr>
      <w:r>
        <w:rPr>
          <w:b/>
          <w:bCs/>
        </w:rPr>
        <w:t>III.</w:t>
      </w:r>
      <w:r>
        <w:rPr>
          <w:rFonts w:hint="default"/>
          <w:b/>
          <w:bCs/>
        </w:rPr>
        <w:t>10. a. Mevduat gelirleri stopaj oranı indirimi</w:t>
      </w:r>
    </w:p>
    <w:p>
      <w:pPr>
        <w:numPr>
          <w:ilvl w:val="0"/>
          <w:numId w:val="0"/>
        </w:numPr>
        <w:rPr>
          <w:b/>
          <w:bCs/>
        </w:rPr>
      </w:pPr>
      <w:r>
        <w:rPr>
          <w:b/>
          <w:bCs/>
        </w:rPr>
        <w:t>III.</w:t>
      </w:r>
      <w:r>
        <w:rPr>
          <w:rFonts w:hint="default"/>
          <w:b/>
          <w:bCs/>
        </w:rPr>
        <w:t xml:space="preserve">10. b. Döviz alışlarına </w:t>
      </w:r>
      <w:r>
        <w:rPr>
          <w:b/>
          <w:bCs/>
        </w:rPr>
        <w:t>Kambiyo Vergisi getirilmesi</w:t>
      </w:r>
    </w:p>
    <w:p>
      <w:pPr>
        <w:numPr>
          <w:ilvl w:val="0"/>
          <w:numId w:val="0"/>
        </w:numPr>
        <w:rPr>
          <w:rFonts w:hint="default"/>
          <w:b/>
          <w:bCs/>
        </w:rPr>
      </w:pPr>
      <w:r>
        <w:rPr>
          <w:rFonts w:hint="default"/>
          <w:b/>
          <w:bCs/>
        </w:rPr>
        <w:t>III.10.c. Son Konut Kredisi- Dövizden altından geçene extra teşvik</w:t>
      </w:r>
    </w:p>
    <w:p>
      <w:pPr>
        <w:numPr>
          <w:ilvl w:val="0"/>
          <w:numId w:val="0"/>
        </w:numPr>
        <w:rPr>
          <w:rFonts w:hint="default"/>
          <w:b/>
          <w:bCs/>
        </w:rPr>
      </w:pPr>
      <w:r>
        <w:rPr>
          <w:rFonts w:hint="default"/>
          <w:b/>
          <w:bCs/>
        </w:rPr>
        <w:t>III.10.d TL mevduat zorunlu karşılığın 0’a indirilmesi</w:t>
      </w:r>
    </w:p>
    <w:p>
      <w:pPr>
        <w:numPr>
          <w:ilvl w:val="0"/>
          <w:numId w:val="0"/>
        </w:numPr>
        <w:rPr>
          <w:rFonts w:hint="default"/>
        </w:rPr>
      </w:pPr>
    </w:p>
    <w:p>
      <w:pPr>
        <w:numPr>
          <w:ilvl w:val="0"/>
          <w:numId w:val="0"/>
        </w:numPr>
        <w:rPr>
          <w:rFonts w:hint="default"/>
          <w:b/>
          <w:bCs/>
        </w:rPr>
      </w:pPr>
      <w:r>
        <w:rPr>
          <w:rFonts w:hint="default"/>
          <w:b/>
          <w:bCs/>
        </w:rPr>
        <w:t>Özellikle 2018 Kur Krizi sonrası başvurulan yöntemler:</w:t>
      </w:r>
    </w:p>
    <w:p>
      <w:pPr>
        <w:numPr>
          <w:ilvl w:val="0"/>
          <w:numId w:val="0"/>
        </w:numPr>
        <w:rPr>
          <w:rFonts w:hint="default"/>
          <w:b/>
          <w:bCs/>
        </w:rPr>
      </w:pPr>
    </w:p>
    <w:p>
      <w:pPr>
        <w:numPr>
          <w:ilvl w:val="0"/>
          <w:numId w:val="0"/>
        </w:numPr>
        <w:rPr>
          <w:b/>
          <w:bCs/>
        </w:rPr>
      </w:pPr>
      <w:r>
        <w:rPr>
          <w:b/>
          <w:bCs/>
        </w:rPr>
        <w:t>III.1</w:t>
      </w:r>
      <w:r>
        <w:rPr>
          <w:rFonts w:hint="default"/>
          <w:b/>
          <w:bCs/>
        </w:rPr>
        <w:t>1</w:t>
      </w:r>
      <w:r>
        <w:rPr>
          <w:b/>
          <w:bCs/>
        </w:rPr>
        <w:t>. Döviz Bozdurma Çağrısı (özellikle 2018 kur krizi sırasında)</w:t>
      </w:r>
      <w:r>
        <w:rPr>
          <w:b/>
          <w:bCs/>
        </w:rPr>
        <w:br w:type="textWrapping"/>
      </w:r>
      <w:r>
        <w:rPr>
          <w:b/>
          <w:bCs/>
        </w:rPr>
        <w:t>III.1</w:t>
      </w:r>
      <w:r>
        <w:rPr>
          <w:rFonts w:hint="default"/>
          <w:b/>
          <w:bCs/>
        </w:rPr>
        <w:t>2</w:t>
      </w:r>
      <w:r>
        <w:rPr>
          <w:b/>
          <w:bCs/>
        </w:rPr>
        <w:t>. Türkiye Varlık Fonu (2017-2019 arası ağırlıklı)</w:t>
      </w:r>
    </w:p>
    <w:p>
      <w:pPr>
        <w:numPr>
          <w:ilvl w:val="0"/>
          <w:numId w:val="0"/>
        </w:numPr>
        <w:rPr>
          <w:b/>
          <w:bCs/>
        </w:rPr>
      </w:pPr>
      <w:r>
        <w:rPr>
          <w:b/>
          <w:bCs/>
        </w:rPr>
        <w:t>III.1</w:t>
      </w:r>
      <w:r>
        <w:rPr>
          <w:rFonts w:hint="default"/>
          <w:b/>
          <w:bCs/>
        </w:rPr>
        <w:t>3</w:t>
      </w:r>
      <w:r>
        <w:rPr>
          <w:b/>
          <w:bCs/>
        </w:rPr>
        <w:t>. Takas Limiti Kısıtlaması</w:t>
      </w:r>
    </w:p>
    <w:p>
      <w:pPr>
        <w:numPr>
          <w:ilvl w:val="0"/>
          <w:numId w:val="0"/>
        </w:numPr>
        <w:rPr>
          <w:rFonts w:hint="default"/>
          <w:b/>
          <w:bCs/>
        </w:rPr>
      </w:pPr>
      <w:r>
        <w:rPr>
          <w:b/>
          <w:bCs/>
        </w:rPr>
        <w:t>III.1</w:t>
      </w:r>
      <w:r>
        <w:rPr>
          <w:rFonts w:hint="default"/>
          <w:b/>
          <w:bCs/>
        </w:rPr>
        <w:t>4</w:t>
      </w:r>
      <w:r>
        <w:rPr>
          <w:b/>
          <w:bCs/>
        </w:rPr>
        <w:t>. BDDK</w:t>
      </w:r>
      <w:r>
        <w:rPr>
          <w:rFonts w:hint="default"/>
          <w:b/>
          <w:bCs/>
        </w:rPr>
        <w:t>’nın swap işlem limitini %10’a çekmesi (Uzun TL pozisyonu zorlama)</w:t>
      </w:r>
    </w:p>
    <w:p>
      <w:pPr>
        <w:numPr>
          <w:ilvl w:val="0"/>
          <w:numId w:val="0"/>
        </w:numPr>
        <w:rPr>
          <w:rFonts w:hint="default"/>
          <w:b/>
          <w:bCs/>
        </w:rPr>
      </w:pPr>
    </w:p>
    <w:p/>
    <w:p>
      <w:pPr>
        <w:numPr>
          <w:ilvl w:val="0"/>
          <w:numId w:val="0"/>
        </w:numPr>
      </w:pPr>
      <w:r>
        <w:rPr>
          <w:b/>
          <w:bCs/>
        </w:rPr>
        <w:t xml:space="preserve">III.1. </w:t>
      </w:r>
      <w:r>
        <w:rPr>
          <w:rFonts w:hint="default"/>
          <w:b/>
          <w:bCs/>
        </w:rPr>
        <w:t xml:space="preserve">CBRT Transactions: </w:t>
      </w:r>
      <w:bookmarkStart w:id="0" w:name="_GoBack"/>
      <w:bookmarkEnd w:id="0"/>
      <w:r>
        <w:rPr>
          <w:rFonts w:hint="default"/>
          <w:b/>
          <w:bCs/>
        </w:rPr>
        <w:t xml:space="preserve">Sales from official foreign exchange reserves and Swaps </w:t>
      </w:r>
      <w:r>
        <w:t xml:space="preserve">(2019 </w:t>
      </w:r>
      <w:r>
        <w:rPr>
          <w:rFonts w:hint="default"/>
        </w:rPr>
        <w:t>onwards</w:t>
      </w:r>
      <w:r>
        <w:t>)</w:t>
      </w:r>
    </w:p>
    <w:p/>
    <w:p>
      <w:pPr>
        <w:rPr>
          <w:rFonts w:hint="default"/>
        </w:rPr>
      </w:pPr>
      <w:r>
        <w:t>Özellikle 2018 kur krizinden sonra yaşanan kur şokunun etkilerinin hafifletilebilmesi amacıyla, MB yoğun bir şekilde piyasaya döviz satmıştır. Hazine ile MB arasında yapılan bir mutabakat sayesinde, MB</w:t>
      </w:r>
      <w:r>
        <w:rPr>
          <w:rFonts w:hint="default"/>
        </w:rPr>
        <w:t>’nin doğrudan değil, kamu bankaları üzerinden piyasaya döviz satışı, ‘arka kapıdan döviz satışı’ olarak anılmıştır. MB’nin yoğun bir şekilde piyasaya döviz satarak kuru tutmaya çalışması, rezerv kayıplarıyla sonuçlanmıştır. MB eriyen rezervlerini, yaptığı kısa vadeli swap anlaşmaları ile TL-döviz takası neticesinde edindiği dövizlerle yerine koymaya çalışmıştır. MB swap anlaşması yaparak ve sürekli yenileyerek, spotta rezervleri yerinde göstermiş ve anlaşmadan doğan ve bilanço dışı yükümlülük olarak gösterilen döviz borcunu geleceğe ötelemiştir. Bir diğer deyişle, MB geleceğin borcunu, şimdinin rezervi olarak kullanmaya devam etmiştir.</w:t>
      </w:r>
    </w:p>
    <w:p>
      <w:pPr>
        <w:rPr>
          <w:rFonts w:hint="default"/>
        </w:rPr>
      </w:pPr>
    </w:p>
    <w:p>
      <w:r>
        <w:t>Swap işlemlerinin temel işlevi</w:t>
      </w:r>
      <w:r>
        <w:rPr>
          <w:rFonts w:hint="default"/>
        </w:rPr>
        <w:t>, MB’nın gerçekte rezerv özelliği taşımayan bir kaynak elde etmesi ve dolayısıyla</w:t>
      </w:r>
      <w:r>
        <w:t xml:space="preserve"> </w:t>
      </w:r>
      <w:r>
        <w:rPr>
          <w:rFonts w:hint="default"/>
        </w:rPr>
        <w:t xml:space="preserve">sorunu </w:t>
      </w:r>
      <w:r>
        <w:rPr>
          <w:b/>
          <w:bCs/>
        </w:rPr>
        <w:t>ötelemek</w:t>
      </w:r>
      <w:r>
        <w:rPr>
          <w:rFonts w:hint="default"/>
          <w:b/>
          <w:bCs/>
        </w:rPr>
        <w:t xml:space="preserve"> </w:t>
      </w:r>
      <w:r>
        <w:t xml:space="preserve">olmuştur. Bu açıdan </w:t>
      </w:r>
      <w:r>
        <w:rPr>
          <w:b/>
          <w:bCs/>
        </w:rPr>
        <w:t xml:space="preserve">palyatif </w:t>
      </w:r>
      <w:r>
        <w:t xml:space="preserve">ve </w:t>
      </w:r>
      <w:r>
        <w:rPr>
          <w:b/>
          <w:bCs/>
        </w:rPr>
        <w:t xml:space="preserve">manipülatif </w:t>
      </w:r>
      <w:r>
        <w:t>bir uygulama olan swap işlemleri sayesinde, MB geleceğin döviz yükümlülüğünü bugünün rezervi olarak kullanmaya devam etmiştir.</w:t>
      </w:r>
    </w:p>
    <w:p/>
    <w:p>
      <w:pPr>
        <w:rPr>
          <w:rFonts w:hint="default"/>
          <w:b/>
          <w:bCs/>
        </w:rPr>
      </w:pPr>
      <w:r>
        <w:rPr>
          <w:b/>
          <w:bCs/>
        </w:rPr>
        <w:t xml:space="preserve">III.1.a </w:t>
      </w:r>
      <w:r>
        <w:rPr>
          <w:rFonts w:hint="default"/>
          <w:b/>
          <w:bCs/>
        </w:rPr>
        <w:t xml:space="preserve">MB Rezervlerinin Satılarak Kurun Tutulması </w:t>
      </w:r>
    </w:p>
    <w:p>
      <w:pPr>
        <w:rPr>
          <w:rFonts w:hint="default"/>
          <w:b/>
          <w:bCs/>
          <w:highlight w:val="green"/>
        </w:rPr>
      </w:pPr>
    </w:p>
    <w:p>
      <w:pPr>
        <w:rPr>
          <w:rFonts w:hint="default"/>
          <w:b/>
          <w:bCs/>
        </w:rPr>
      </w:pPr>
      <w:r>
        <w:rPr>
          <w:rFonts w:hint="default"/>
          <w:b/>
          <w:bCs/>
          <w:highlight w:val="green"/>
        </w:rPr>
        <w:t>Artan döviz talebi, Piyasanın döviz ihtiyacı olması, döviz talebinin ve ihtiyacın sermaye girişleri ile karşılanaması, bu nedenle MB satım yoluyla müdahale etmek zorunda kalması</w:t>
      </w:r>
    </w:p>
    <w:p>
      <w:pPr>
        <w:rPr>
          <w:rFonts w:hint="default"/>
          <w:b/>
          <w:bCs/>
        </w:rPr>
      </w:pPr>
    </w:p>
    <w:p>
      <w:pPr>
        <w:widowControl w:val="0"/>
        <w:numPr>
          <w:ilvl w:val="0"/>
          <w:numId w:val="0"/>
        </w:numPr>
        <w:jc w:val="both"/>
        <w:rPr>
          <w:rFonts w:hint="default"/>
          <w:b w:val="0"/>
          <w:bCs w:val="0"/>
        </w:rPr>
      </w:pPr>
      <w:r>
        <w:rPr>
          <w:rFonts w:hint="default"/>
          <w:b w:val="0"/>
          <w:bCs w:val="0"/>
        </w:rPr>
        <w:t xml:space="preserve">TCMB, özellikle 2018 kur krizinden sonra, rezervlerinden piyasaya döviz satışı yaparak kurun yükselmesini engellemeye çalışmaktadır. Piyasaya döviz satışından beklenilen, piyasaya döviz satıldığında, kurun kısa süreli de olsa düşmesinin, piyasada kurun daha da düşeceği inancını yaratması ve aktörlerin bu inançla döviz satmaya devam etmesidir. Ancak bu umulan mekanizma bir türlü işlememekte, piyasadaki güvensizlik ve yüksek risk primlerinin de etkisiyle, döviz talebi devam etmekte, kısa süreli düşüşlerden sonra kurlar yeniden yükselmeye devam etmektedir. Dolayısıyla, MB, kısa süreli sonuçlar elde edebilmek ve sorunları geleceğe öteleyebilmek için, rezervlerini eritmekte, uzun vadede, CDS priminin daha da yükselmesine, dolayısıyla kurların artmasına bizzat neden olmaktadır. CDS primi, Mayıs 2022 itibariyle 700’ün, Haziran 2022 itibariyle 800’ün, Temmuz 2022 itibariyle 900’ün üzerine çıkarak, TR’yi dünyadaki </w:t>
      </w:r>
      <w:r>
        <w:rPr>
          <w:rFonts w:hint="default"/>
          <w:b w:val="0"/>
          <w:bCs w:val="0"/>
          <w:highlight w:val="yellow"/>
        </w:rPr>
        <w:t>en riskli üç ülkeden biri (en riiskli ülke)</w:t>
      </w:r>
      <w:r>
        <w:rPr>
          <w:rFonts w:hint="default"/>
          <w:b w:val="0"/>
          <w:bCs w:val="0"/>
        </w:rPr>
        <w:t xml:space="preserve"> haline getirmiştir. Dolayısıyla, hem TR’ye dışarıdan sermaye girişi kesilmiş, hem de yerleşiklerin dolarizasyonu artmıştır.</w:t>
      </w:r>
    </w:p>
    <w:p>
      <w:pPr>
        <w:rPr>
          <w:rFonts w:hint="default"/>
          <w:b/>
          <w:bCs/>
        </w:rPr>
      </w:pPr>
    </w:p>
    <w:p>
      <w:pPr>
        <w:widowControl w:val="0"/>
        <w:numPr>
          <w:ilvl w:val="0"/>
          <w:numId w:val="0"/>
        </w:numPr>
        <w:jc w:val="both"/>
      </w:pPr>
      <w:r>
        <w:drawing>
          <wp:inline distT="0" distB="0" distL="114300" distR="114300">
            <wp:extent cx="5270500" cy="3144520"/>
            <wp:effectExtent l="0" t="0" r="12700" b="508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4"/>
                    <a:stretch>
                      <a:fillRect/>
                    </a:stretch>
                  </pic:blipFill>
                  <pic:spPr>
                    <a:xfrm>
                      <a:off x="0" y="0"/>
                      <a:ext cx="5270500" cy="3144520"/>
                    </a:xfrm>
                    <a:prstGeom prst="rect">
                      <a:avLst/>
                    </a:prstGeom>
                    <a:noFill/>
                    <a:ln w="9525">
                      <a:noFill/>
                    </a:ln>
                  </pic:spPr>
                </pic:pic>
              </a:graphicData>
            </a:graphic>
          </wp:inline>
        </w:drawing>
      </w:r>
    </w:p>
    <w:p>
      <w:pPr>
        <w:rPr>
          <w:rFonts w:hint="default"/>
          <w:b/>
          <w:bCs/>
        </w:rPr>
      </w:pPr>
    </w:p>
    <w:p>
      <w:pPr>
        <w:rPr>
          <w:rFonts w:hint="default"/>
          <w:b w:val="0"/>
          <w:bCs w:val="0"/>
        </w:rPr>
      </w:pPr>
      <w:r>
        <w:rPr>
          <w:rFonts w:hint="default"/>
          <w:b w:val="0"/>
          <w:bCs w:val="0"/>
        </w:rPr>
        <w:t>Yukarıdaki grafikte MB’nin 2018-2022 yılları arasındaki net rezervleri ile swap hariç net rezervleri gösterilmektedir.</w:t>
      </w:r>
    </w:p>
    <w:p>
      <w:pPr>
        <w:rPr>
          <w:rFonts w:hint="default"/>
          <w:b/>
          <w:bCs/>
        </w:rPr>
      </w:pPr>
    </w:p>
    <w:p>
      <w:pPr>
        <w:widowControl w:val="0"/>
        <w:numPr>
          <w:ilvl w:val="0"/>
          <w:numId w:val="0"/>
        </w:numPr>
        <w:jc w:val="both"/>
        <w:rPr>
          <w:rFonts w:hint="default"/>
          <w:b w:val="0"/>
          <w:bCs w:val="0"/>
        </w:rPr>
      </w:pPr>
      <w:r>
        <w:rPr>
          <w:rFonts w:hint="default"/>
          <w:b w:val="0"/>
          <w:bCs w:val="0"/>
        </w:rPr>
        <w:t xml:space="preserve">TCMB’nin resmi verilerine dayanılarak, TCMB’nin net altın ve döviz rezervleri ile swap hariç net rezervleri hesaplandığında, rezervlerin yıllar içinde azalmış olduğu, bunu engellemek amacıyla sürekli yeni ve innovatif yöntemlerle rezervlere kaynak yapılma çabalarına rağmen rezervlerin erimeye devam ettiği açık bir şekilde anlaşılmaktadır. Rezerv Opsiyon mekanizması, YP zorunlu karşılıkların artırılması mekanizmalarıyla başlayan ilave rezerv oluşturma çabaları, 2019 yılından itibaren yoğunluğunu artıran kısa vadeli swap işlemleriyle devam etmiş, 2021 yıl sonu itibariyle KKM uygulamasından medet umulmuş, 2022 yılı başından itibaren ise, ihracatçılara gelen döviz bedelinin </w:t>
      </w:r>
      <w:r>
        <w:rPr>
          <w:rFonts w:hint="default"/>
          <w:b w:val="0"/>
          <w:bCs w:val="0"/>
          <w:color w:val="FF0000"/>
        </w:rPr>
        <w:t>%40-60’ını</w:t>
      </w:r>
      <w:r>
        <w:rPr>
          <w:rFonts w:hint="default"/>
          <w:b w:val="0"/>
          <w:bCs w:val="0"/>
        </w:rPr>
        <w:t xml:space="preserve"> MB’na yatırma zorunluluğu getirilmesiyle sürdürülmüştür. Tüm bu ilave palyatif rezerv oluşturma mekanizmalarına rağmen, rezervlerdeki eriyiş, TCMB’nin yoğun olarak piyasaya döviz sattığını kanıtlamaktadır. Aynı zamanda TCMB’nin net döviz pozisyonu yıllar içinde azalma eğilimi göstermiş, özellikle 2019 yıl sonundan itibaren ciddi oranda düşmeye başlamıştır.</w:t>
      </w:r>
    </w:p>
    <w:p>
      <w:pPr>
        <w:widowControl w:val="0"/>
        <w:numPr>
          <w:ilvl w:val="0"/>
          <w:numId w:val="0"/>
        </w:numPr>
        <w:jc w:val="both"/>
        <w:rPr>
          <w:rFonts w:hint="default"/>
          <w:b w:val="0"/>
          <w:bCs w:val="0"/>
        </w:rPr>
      </w:pPr>
    </w:p>
    <w:p>
      <w:pPr>
        <w:widowControl w:val="0"/>
        <w:numPr>
          <w:ilvl w:val="0"/>
          <w:numId w:val="0"/>
        </w:numPr>
        <w:jc w:val="both"/>
        <w:rPr>
          <w:rFonts w:hint="default"/>
          <w:b/>
          <w:bCs/>
        </w:rPr>
      </w:pPr>
      <w:r>
        <w:rPr>
          <w:rFonts w:hint="default"/>
          <w:b/>
          <w:bCs/>
        </w:rPr>
        <w:t>TCMB NET EXCHANGE POSITION</w:t>
      </w:r>
    </w:p>
    <w:p>
      <w:pPr>
        <w:widowControl w:val="0"/>
        <w:numPr>
          <w:ilvl w:val="0"/>
          <w:numId w:val="0"/>
        </w:numPr>
        <w:jc w:val="both"/>
        <w:rPr>
          <w:rFonts w:hint="default"/>
          <w:b w:val="0"/>
          <w:bCs w:val="0"/>
        </w:rPr>
      </w:pPr>
    </w:p>
    <w:p>
      <w:pPr>
        <w:widowControl w:val="0"/>
        <w:numPr>
          <w:ilvl w:val="0"/>
          <w:numId w:val="0"/>
        </w:numPr>
        <w:jc w:val="both"/>
        <w:rPr>
          <w:rFonts w:hint="default"/>
          <w:b w:val="0"/>
          <w:bCs w:val="0"/>
          <w:highlight w:val="green"/>
        </w:rPr>
      </w:pPr>
      <w:r>
        <w:rPr>
          <w:rFonts w:hint="default"/>
          <w:b w:val="0"/>
          <w:bCs w:val="0"/>
          <w:highlight w:val="green"/>
        </w:rPr>
        <w:t xml:space="preserve">Net döviz posizyonu neden önemli?? Neyi gösteriyor. Neden buna bakıyoruz.. </w:t>
      </w:r>
    </w:p>
    <w:p>
      <w:pPr>
        <w:widowControl w:val="0"/>
        <w:numPr>
          <w:ilvl w:val="0"/>
          <w:numId w:val="0"/>
        </w:numPr>
        <w:jc w:val="both"/>
        <w:rPr>
          <w:rFonts w:hint="default"/>
          <w:b w:val="0"/>
          <w:bCs w:val="0"/>
          <w:highlight w:val="green"/>
        </w:rPr>
      </w:pP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2019 yılından itibaren yoğunlukla yapılan kısa vadeli döviz/TL swapları aynı zamanda swap hariç TCMB net döviz pozisyonunu da etkilemiş, 2019 yılından itibaren hızla azalan swap hariç döviz net pozisyonu, 2020 yılının Mart ayında negatife dönmüştür. Aşağıdaki grafik, 2020 yılının başından itibaren swaplar düşülmüş net döviz pozisyonunun gelişimini göstermektedir. 2022 yılının Nisan ayı itibariyle, swap hariç net döviz pozisyonu -52 milyar dolara gerilemiş bulunmaktadır.</w:t>
      </w:r>
    </w:p>
    <w:p>
      <w:pPr>
        <w:rPr>
          <w:rFonts w:hint="default"/>
          <w:i/>
          <w:iCs/>
        </w:rPr>
      </w:pPr>
    </w:p>
    <w:p>
      <w:pPr>
        <w:widowControl w:val="0"/>
        <w:numPr>
          <w:ilvl w:val="0"/>
          <w:numId w:val="0"/>
        </w:numPr>
        <w:jc w:val="both"/>
        <w:rPr>
          <w:rFonts w:hint="default"/>
          <w:b w:val="0"/>
          <w:bCs w:val="0"/>
        </w:rPr>
      </w:pPr>
      <w:r>
        <w:drawing>
          <wp:inline distT="0" distB="0" distL="114300" distR="114300">
            <wp:extent cx="5271135" cy="3622675"/>
            <wp:effectExtent l="6350" t="6350" r="31115" b="285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 xml:space="preserve">TCMB’nin piyasaya sattığı dövizler, bankalarca alınarak, sisteme girmiş olur. Bankalar bu dövizlerin bir kısmını, müşterilerinin döviz tevdiat hesapları olarak tutarlar. </w:t>
      </w:r>
      <w:r>
        <w:rPr>
          <w:rFonts w:hint="default"/>
          <w:b w:val="0"/>
          <w:bCs w:val="0"/>
          <w:highlight w:val="green"/>
        </w:rPr>
        <w:t>Dövizle kredi oranları yok denecek kadar az olduğundan,</w:t>
      </w:r>
      <w:r>
        <w:rPr>
          <w:rFonts w:hint="default"/>
          <w:b w:val="0"/>
          <w:bCs w:val="0"/>
        </w:rPr>
        <w:t xml:space="preserve"> döviz tevdiat hesapları krediye dönüşmez ancak bu meblağların bir kısmı ile müşterilerinin yurtdışı ödemelerini yaparlar. Böylelikle, TCMB’nin sattığı dövizlerin bir kısmı yurtdışına çıkmış olur. Bir miktar döviz ise, tasarruf sahipleri tarafından satın alınarak yastık altı dövizler olarak sistemden çıkmış olur. Bankalar, kalan dövizin bir kısmını ise MB’na geri satarlar. Bu devri-daim mekanizması içinde işleyen rezerv satışları, sistemden leakage’lar kadar, yani bankaların MB’na geri satmadığı döviz kadar rezervde erimeye neden olur. </w:t>
      </w:r>
    </w:p>
    <w:p>
      <w:pPr>
        <w:widowControl w:val="0"/>
        <w:numPr>
          <w:ilvl w:val="0"/>
          <w:numId w:val="0"/>
        </w:numPr>
        <w:jc w:val="both"/>
        <w:rPr>
          <w:rFonts w:hint="default"/>
          <w:b w:val="0"/>
          <w:bCs w:val="0"/>
        </w:rPr>
      </w:pPr>
    </w:p>
    <w:p>
      <w:pPr>
        <w:widowControl w:val="0"/>
        <w:numPr>
          <w:ilvl w:val="0"/>
          <w:numId w:val="0"/>
        </w:numPr>
        <w:jc w:val="both"/>
        <w:rPr>
          <w:rFonts w:hint="default"/>
          <w:i/>
          <w:iCs/>
        </w:rPr>
      </w:pPr>
      <w:r>
        <w:rPr>
          <w:rFonts w:hint="default"/>
          <w:i/>
          <w:iCs/>
        </w:rPr>
        <w:t>TCMB Döviz Satışları</w:t>
      </w:r>
      <w:r>
        <w:rPr>
          <w:rFonts w:hint="default" w:ascii="Arial" w:hAnsi="Arial" w:cs="Arial"/>
          <w:i/>
          <w:iCs/>
        </w:rPr>
        <w:t>→</w:t>
      </w:r>
      <w:r>
        <w:rPr>
          <w:rFonts w:hint="default" w:cstheme="minorHAnsi"/>
          <w:i/>
          <w:iCs/>
        </w:rPr>
        <w:t xml:space="preserve"> Bankalar </w:t>
      </w:r>
      <w:r>
        <w:rPr>
          <w:rFonts w:hint="default" w:ascii="Arial" w:hAnsi="Arial" w:cs="Arial"/>
          <w:i/>
          <w:iCs/>
        </w:rPr>
        <w:t>→</w:t>
      </w:r>
      <w:r>
        <w:rPr>
          <w:rFonts w:hint="default" w:cstheme="minorHAnsi"/>
          <w:i/>
          <w:iCs/>
        </w:rPr>
        <w:t xml:space="preserve"> Döviz tevdiat hesapları</w:t>
      </w:r>
      <w:r>
        <w:rPr>
          <w:rFonts w:hint="default" w:ascii="Arial" w:hAnsi="Arial" w:cs="Arial"/>
          <w:i/>
          <w:iCs/>
        </w:rPr>
        <w:t>→</w:t>
      </w:r>
      <w:r>
        <w:rPr>
          <w:rFonts w:hint="default" w:cstheme="minorHAnsi"/>
          <w:i/>
          <w:iCs/>
        </w:rPr>
        <w:t>yurtdışı döviz ödemeleri</w:t>
      </w:r>
    </w:p>
    <w:p>
      <w:pPr>
        <w:widowControl w:val="0"/>
        <w:numPr>
          <w:ilvl w:val="0"/>
          <w:numId w:val="0"/>
        </w:numPr>
        <w:ind w:left="2520" w:leftChars="0" w:firstLine="420" w:firstLineChars="0"/>
        <w:jc w:val="both"/>
        <w:rPr>
          <w:rFonts w:hint="default" w:ascii="Arial" w:hAnsi="Arial" w:cs="Arial"/>
          <w:i/>
          <w:iCs/>
        </w:rPr>
      </w:pPr>
      <w:r>
        <w:rPr>
          <w:rFonts w:hint="default" w:ascii="Arial" w:hAnsi="Arial" w:cs="Arial"/>
          <w:i/>
          <w:iCs/>
        </w:rPr>
        <w:t>→ Yastık altı döviz</w:t>
      </w:r>
    </w:p>
    <w:p>
      <w:pPr>
        <w:widowControl w:val="0"/>
        <w:numPr>
          <w:ilvl w:val="0"/>
          <w:numId w:val="0"/>
        </w:numPr>
        <w:jc w:val="both"/>
        <w:rPr>
          <w:rFonts w:hint="default" w:ascii="Arial" w:hAnsi="Arial" w:cs="Arial"/>
          <w:i/>
          <w:iCs/>
        </w:rPr>
      </w:pPr>
      <w:r>
        <w:rPr>
          <w:rFonts w:hint="default" w:ascii="Arial" w:hAnsi="Arial" w:cs="Arial"/>
          <w:i/>
          <w:iCs/>
        </w:rPr>
        <w:t>Bankalar →kalan dövizin TCMB’ye satılması</w:t>
      </w:r>
    </w:p>
    <w:p>
      <w:pPr>
        <w:widowControl w:val="0"/>
        <w:numPr>
          <w:ilvl w:val="0"/>
          <w:numId w:val="0"/>
        </w:numPr>
        <w:jc w:val="both"/>
        <w:rPr>
          <w:rFonts w:hint="default" w:ascii="Arial" w:hAnsi="Arial" w:cs="Arial"/>
          <w:i/>
          <w:iCs/>
        </w:rPr>
      </w:pPr>
      <w:r>
        <w:rPr>
          <w:rFonts w:hint="default" w:ascii="Arial" w:hAnsi="Arial" w:cs="Arial"/>
          <w:i/>
          <w:iCs/>
        </w:rPr>
        <w:t>Bankalara satılan döviz- Bankaların TCMB’ye geri sattığı döviz= Rezervlerdeki erime</w:t>
      </w:r>
    </w:p>
    <w:p>
      <w:pPr>
        <w:widowControl w:val="0"/>
        <w:numPr>
          <w:ilvl w:val="0"/>
          <w:numId w:val="0"/>
        </w:numPr>
        <w:jc w:val="both"/>
        <w:rPr>
          <w:rFonts w:hint="default"/>
          <w:b w:val="0"/>
          <w:bCs w:val="0"/>
        </w:rPr>
      </w:pPr>
    </w:p>
    <w:p>
      <w:pPr>
        <w:widowControl w:val="0"/>
        <w:numPr>
          <w:ilvl w:val="0"/>
          <w:numId w:val="0"/>
        </w:numPr>
        <w:jc w:val="both"/>
        <w:rPr>
          <w:rFonts w:hint="default"/>
          <w:b/>
          <w:bCs/>
        </w:rPr>
      </w:pPr>
      <w:r>
        <w:rPr>
          <w:rFonts w:hint="default"/>
          <w:b w:val="0"/>
          <w:bCs w:val="0"/>
        </w:rPr>
        <w:t xml:space="preserve">Sistemden leak eden dövizler aynı zamanda da kur artışına neden olur. Aslında rezerv satışları ile kuru tutmaya çalışmanın bedeli, nihayetinde kurların daha çok yükselmesidir. İlerleyen dönemlerde daha çok rezerv kaynağı bulma, daha çok rezerv satış zorunluluğu ile sonuçlanır. Bu çerçevede, rezerv satışları ile kura müdahale etmek, </w:t>
      </w:r>
      <w:r>
        <w:rPr>
          <w:rFonts w:hint="default"/>
          <w:b/>
          <w:bCs/>
        </w:rPr>
        <w:t>sorunları geleceğe ötelemenin palyatif ve manipülatif bir enstrümanı haline gelmiştir.</w:t>
      </w:r>
    </w:p>
    <w:p>
      <w:pPr>
        <w:rPr>
          <w:rFonts w:hint="default"/>
          <w:b/>
          <w:bCs/>
        </w:rPr>
      </w:pPr>
    </w:p>
    <w:p>
      <w:pPr>
        <w:rPr>
          <w:rFonts w:hint="default"/>
          <w:b/>
          <w:bCs/>
        </w:rPr>
      </w:pPr>
    </w:p>
    <w:p>
      <w:pPr>
        <w:rPr>
          <w:rFonts w:hint="default"/>
          <w:i/>
          <w:iCs/>
        </w:rPr>
      </w:pPr>
      <w:r>
        <w:t>Hazine ile MB arasında yapılan bir mutabakat sayesinde, MB</w:t>
      </w:r>
      <w:r>
        <w:rPr>
          <w:rFonts w:hint="default"/>
        </w:rPr>
        <w:t xml:space="preserve">’nin doğrudan değil, kamu bankaları üzerinden piyasaya döviz satışı, ‘arka kapıdan döviz satışı’ olarak nitelendirilirken, </w:t>
      </w:r>
      <w:r>
        <w:rPr>
          <w:rFonts w:hint="default"/>
          <w:b w:val="0"/>
          <w:bCs w:val="0"/>
        </w:rPr>
        <w:t xml:space="preserve">MB piyasaya doğrudan da döviz satışı yaparak kurlara müdahale edebilir. Bunların bazıları da bizzat MB tarafından duyurularak, hedeflenen amaca ulaşmayı hızlandırması beklenmektedir. Örneğin, en son, 2021 Eylül ayından itibaren TCMB politika faizinin düşürülmeye başlanmasıyla tırmanışa geçen kurları tutmak amacıyla yoğun şekilde piyasaya döviz satılmıştır. TCMB’nin, </w:t>
      </w:r>
      <w:r>
        <w:rPr>
          <w:rFonts w:hint="default"/>
          <w:b w:val="0"/>
          <w:bCs w:val="0"/>
          <w:i/>
          <w:iCs/>
        </w:rPr>
        <w:t>‘17 Aralık 2021 tarihli basın açıklamasında, ‘</w:t>
      </w:r>
      <w:r>
        <w:rPr>
          <w:rFonts w:hint="default"/>
          <w:i/>
          <w:iCs/>
        </w:rPr>
        <w:t>Döviz kurlarında görülen sağlıksız fiyat oluşumları nedeniyle piyasaya satım yönünde doğrudan müdahale edilmektedir.’ denmiştir.</w:t>
      </w:r>
    </w:p>
    <w:p>
      <w:pPr>
        <w:rPr>
          <w:rFonts w:hint="default"/>
          <w:i/>
          <w:iCs/>
        </w:rPr>
      </w:pPr>
    </w:p>
    <w:p>
      <w:pPr>
        <w:widowControl w:val="0"/>
        <w:numPr>
          <w:ilvl w:val="0"/>
          <w:numId w:val="0"/>
        </w:numPr>
        <w:jc w:val="both"/>
        <w:rPr>
          <w:rFonts w:hint="default"/>
          <w:b/>
          <w:bCs/>
          <w:color w:val="FF0000"/>
        </w:rPr>
      </w:pPr>
      <w:r>
        <w:rPr>
          <w:rFonts w:hint="default"/>
          <w:b/>
          <w:bCs/>
          <w:color w:val="FF0000"/>
        </w:rPr>
        <w:t>2022 Nisan ayı itibariyle, MB’nın Piyasa Döviz Satışı- örnek hesaplama:</w:t>
      </w:r>
    </w:p>
    <w:p>
      <w:pPr>
        <w:widowControl w:val="0"/>
        <w:numPr>
          <w:ilvl w:val="0"/>
          <w:numId w:val="0"/>
        </w:numPr>
        <w:jc w:val="both"/>
        <w:rPr>
          <w:rFonts w:hint="default"/>
          <w:b/>
          <w:bCs/>
        </w:rPr>
      </w:pPr>
    </w:p>
    <w:p>
      <w:pPr>
        <w:widowControl w:val="0"/>
        <w:numPr>
          <w:ilvl w:val="0"/>
          <w:numId w:val="0"/>
        </w:numPr>
        <w:jc w:val="both"/>
        <w:rPr>
          <w:rFonts w:hint="default"/>
          <w:b/>
          <w:bCs/>
        </w:rPr>
      </w:pPr>
      <w:r>
        <w:rPr>
          <w:rFonts w:hint="default"/>
          <w:b/>
          <w:bCs/>
        </w:rPr>
        <w:t>MB Rezerv Satışı = brüt rezervdeki azalma + (Döviz girişleri-Döviz pozisyonundaki kapanma)+ sattığını doğrudan açıkladıkları (BOTAŞ)</w:t>
      </w:r>
    </w:p>
    <w:p>
      <w:pPr>
        <w:widowControl w:val="0"/>
        <w:numPr>
          <w:ilvl w:val="0"/>
          <w:numId w:val="0"/>
        </w:numPr>
        <w:jc w:val="both"/>
        <w:rPr>
          <w:rFonts w:hint="default"/>
          <w:b/>
          <w:bCs/>
        </w:rPr>
      </w:pPr>
      <w:r>
        <w:rPr>
          <w:rFonts w:hint="default"/>
          <w:b/>
          <w:bCs/>
        </w:rPr>
        <w:t>Döviz Girişleri= İhracatçının getirdiği döviz x %25 + KKM + Reeskont</w:t>
      </w:r>
    </w:p>
    <w:p>
      <w:pPr>
        <w:rPr>
          <w:rFonts w:hint="default"/>
          <w:i/>
          <w:iCs/>
        </w:rPr>
      </w:pPr>
    </w:p>
    <w:tbl>
      <w:tblPr>
        <w:tblStyle w:val="5"/>
        <w:tblW w:w="10074" w:type="dxa"/>
        <w:tblInd w:w="-7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9"/>
        <w:gridCol w:w="1434"/>
        <w:gridCol w:w="2028"/>
        <w:gridCol w:w="846"/>
        <w:gridCol w:w="1533"/>
        <w:gridCol w:w="2094"/>
      </w:tblGrid>
      <w:tr>
        <w:tc>
          <w:tcPr>
            <w:tcW w:w="2139" w:type="dxa"/>
          </w:tcPr>
          <w:p>
            <w:pPr>
              <w:rPr>
                <w:rFonts w:hint="default"/>
                <w:vertAlign w:val="baseline"/>
              </w:rPr>
            </w:pPr>
          </w:p>
        </w:tc>
        <w:tc>
          <w:tcPr>
            <w:tcW w:w="1434" w:type="dxa"/>
          </w:tcPr>
          <w:p>
            <w:pPr>
              <w:rPr>
                <w:rFonts w:hint="default"/>
                <w:b/>
                <w:bCs/>
                <w:vertAlign w:val="baseline"/>
              </w:rPr>
            </w:pPr>
          </w:p>
        </w:tc>
        <w:tc>
          <w:tcPr>
            <w:tcW w:w="2028" w:type="dxa"/>
            <w:vAlign w:val="top"/>
          </w:tcPr>
          <w:p>
            <w:pPr>
              <w:rPr>
                <w:rFonts w:hint="default"/>
                <w:b/>
                <w:bCs/>
                <w:vertAlign w:val="baseline"/>
              </w:rPr>
            </w:pPr>
            <w:r>
              <w:rPr>
                <w:rFonts w:hint="default"/>
                <w:b/>
                <w:bCs/>
                <w:vertAlign w:val="baseline"/>
              </w:rPr>
              <w:t>TCMB Brüt rezerv (Ocak 2022)</w:t>
            </w:r>
          </w:p>
        </w:tc>
        <w:tc>
          <w:tcPr>
            <w:tcW w:w="846" w:type="dxa"/>
            <w:vAlign w:val="top"/>
          </w:tcPr>
          <w:p>
            <w:pPr>
              <w:rPr>
                <w:rFonts w:hint="default"/>
                <w:b/>
                <w:bCs/>
                <w:vertAlign w:val="baseline"/>
              </w:rPr>
            </w:pPr>
            <w:r>
              <w:rPr>
                <w:rFonts w:hint="default"/>
                <w:b/>
                <w:bCs/>
                <w:vertAlign w:val="baseline"/>
              </w:rPr>
              <w:t>TCMB Brüt rezerv (Nisan 2022)</w:t>
            </w:r>
          </w:p>
        </w:tc>
        <w:tc>
          <w:tcPr>
            <w:tcW w:w="1533" w:type="dxa"/>
            <w:vAlign w:val="top"/>
          </w:tcPr>
          <w:p>
            <w:pPr>
              <w:rPr>
                <w:rFonts w:hint="default"/>
                <w:vertAlign w:val="baseline"/>
              </w:rPr>
            </w:pPr>
            <w:r>
              <w:rPr>
                <w:rFonts w:hint="default"/>
                <w:b/>
                <w:bCs/>
                <w:vertAlign w:val="baseline"/>
              </w:rPr>
              <w:t>Brüt rezerv farkı (Ocak-Nisan 2022)</w:t>
            </w:r>
          </w:p>
        </w:tc>
        <w:tc>
          <w:tcPr>
            <w:tcW w:w="2094" w:type="dxa"/>
          </w:tcPr>
          <w:p>
            <w:pPr>
              <w:rPr>
                <w:rFonts w:hint="default"/>
                <w:b/>
                <w:bCs/>
                <w:vertAlign w:val="baseline"/>
              </w:rPr>
            </w:pPr>
            <w:r>
              <w:rPr>
                <w:rFonts w:hint="default"/>
                <w:b/>
                <w:bCs/>
                <w:vertAlign w:val="baseline"/>
              </w:rPr>
              <w:t>MB REZERV SATIŞI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9" w:type="dxa"/>
          </w:tcPr>
          <w:p>
            <w:pPr>
              <w:rPr>
                <w:rFonts w:hint="default"/>
                <w:vertAlign w:val="baseline"/>
              </w:rPr>
            </w:pPr>
          </w:p>
        </w:tc>
        <w:tc>
          <w:tcPr>
            <w:tcW w:w="1434" w:type="dxa"/>
          </w:tcPr>
          <w:p>
            <w:pPr>
              <w:rPr>
                <w:rFonts w:hint="default"/>
                <w:vertAlign w:val="baseline"/>
              </w:rPr>
            </w:pPr>
          </w:p>
        </w:tc>
        <w:tc>
          <w:tcPr>
            <w:tcW w:w="2028" w:type="dxa"/>
            <w:vAlign w:val="top"/>
          </w:tcPr>
          <w:p>
            <w:pPr>
              <w:rPr>
                <w:rFonts w:hint="default"/>
                <w:vertAlign w:val="baseline"/>
              </w:rPr>
            </w:pPr>
            <w:r>
              <w:rPr>
                <w:rFonts w:hint="default"/>
                <w:vertAlign w:val="baseline"/>
              </w:rPr>
              <w:t>111.8 milyar dolar</w:t>
            </w:r>
          </w:p>
        </w:tc>
        <w:tc>
          <w:tcPr>
            <w:tcW w:w="846" w:type="dxa"/>
            <w:vAlign w:val="top"/>
          </w:tcPr>
          <w:p>
            <w:pPr>
              <w:rPr>
                <w:rFonts w:hint="default"/>
                <w:vertAlign w:val="baseline"/>
              </w:rPr>
            </w:pPr>
            <w:r>
              <w:rPr>
                <w:rFonts w:hint="default"/>
              </w:rPr>
              <w:t>106.9 milyar dolar</w:t>
            </w:r>
          </w:p>
        </w:tc>
        <w:tc>
          <w:tcPr>
            <w:tcW w:w="1533" w:type="dxa"/>
            <w:vAlign w:val="top"/>
          </w:tcPr>
          <w:p>
            <w:pPr>
              <w:rPr>
                <w:rFonts w:hint="default"/>
                <w:vertAlign w:val="baseline"/>
              </w:rPr>
            </w:pPr>
            <w:r>
              <w:rPr>
                <w:rFonts w:hint="default"/>
                <w:b/>
                <w:bCs/>
                <w:vertAlign w:val="baseline"/>
              </w:rPr>
              <w:t>5 milyar dolar azalmış</w:t>
            </w:r>
          </w:p>
        </w:tc>
        <w:tc>
          <w:tcPr>
            <w:tcW w:w="2094"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9" w:type="dxa"/>
          </w:tcPr>
          <w:p>
            <w:pPr>
              <w:rPr>
                <w:rFonts w:hint="default"/>
                <w:vertAlign w:val="baseline"/>
              </w:rPr>
            </w:pPr>
            <w:r>
              <w:rPr>
                <w:rFonts w:hint="default"/>
                <w:b/>
                <w:bCs/>
                <w:vertAlign w:val="baseline"/>
              </w:rPr>
              <w:t>İhracatçının getirdiği dövizin %25’i</w:t>
            </w:r>
            <w:r>
              <w:rPr>
                <w:rFonts w:hint="default"/>
                <w:vertAlign w:val="baseline"/>
              </w:rPr>
              <w:t xml:space="preserve"> </w:t>
            </w:r>
          </w:p>
        </w:tc>
        <w:tc>
          <w:tcPr>
            <w:tcW w:w="1434" w:type="dxa"/>
          </w:tcPr>
          <w:p>
            <w:pPr>
              <w:rPr>
                <w:rFonts w:hint="default"/>
                <w:vertAlign w:val="baseline"/>
              </w:rPr>
            </w:pPr>
            <w:r>
              <w:rPr>
                <w:rFonts w:hint="default"/>
              </w:rPr>
              <w:t xml:space="preserve">180 günü dolan ihracat miktarı 76.6 milyar dolar. Bunun %25'i ise </w:t>
            </w:r>
            <w:r>
              <w:rPr>
                <w:rFonts w:hint="default"/>
                <w:b/>
                <w:bCs/>
              </w:rPr>
              <w:t>19.1 milyar dolar döviz girişi</w:t>
            </w:r>
          </w:p>
        </w:tc>
        <w:tc>
          <w:tcPr>
            <w:tcW w:w="2028" w:type="dxa"/>
          </w:tcPr>
          <w:p>
            <w:pPr>
              <w:rPr>
                <w:rFonts w:hint="default"/>
                <w:vertAlign w:val="baseline"/>
              </w:rPr>
            </w:pPr>
            <w:r>
              <w:rPr>
                <w:rFonts w:hint="default"/>
                <w:vertAlign w:val="baseline"/>
              </w:rPr>
              <w:t>+19.1+28+4,9=</w:t>
            </w:r>
            <w:r>
              <w:rPr>
                <w:rFonts w:hint="default"/>
                <w:b/>
                <w:bCs/>
                <w:vertAlign w:val="baseline"/>
              </w:rPr>
              <w:t>51</w:t>
            </w:r>
            <w:r>
              <w:rPr>
                <w:rFonts w:hint="default"/>
                <w:vertAlign w:val="baseline"/>
              </w:rPr>
              <w:t xml:space="preserve"> (kasaya girmesi gereken döviz)</w:t>
            </w:r>
          </w:p>
          <w:p>
            <w:pPr>
              <w:rPr>
                <w:rFonts w:hint="default"/>
                <w:vertAlign w:val="baseline"/>
              </w:rPr>
            </w:pPr>
          </w:p>
          <w:p>
            <w:pPr>
              <w:rPr>
                <w:rFonts w:hint="default"/>
                <w:vertAlign w:val="baseline"/>
              </w:rPr>
            </w:pPr>
            <w:r>
              <w:rPr>
                <w:rFonts w:hint="default"/>
                <w:vertAlign w:val="baseline"/>
              </w:rPr>
              <w:t>Brüt döviz artışı= kasaya giren-kasadan çıkan döviz</w:t>
            </w:r>
          </w:p>
          <w:p>
            <w:pPr>
              <w:rPr>
                <w:rFonts w:hint="default"/>
                <w:vertAlign w:val="baseline"/>
              </w:rPr>
            </w:pPr>
            <w:r>
              <w:rPr>
                <w:rFonts w:hint="default"/>
                <w:vertAlign w:val="baseline"/>
              </w:rPr>
              <w:t xml:space="preserve">51-16=35 </w:t>
            </w:r>
          </w:p>
          <w:p>
            <w:pPr>
              <w:rPr>
                <w:rFonts w:hint="default"/>
                <w:vertAlign w:val="baseline"/>
              </w:rPr>
            </w:pPr>
            <w:r>
              <w:rPr>
                <w:rFonts w:hint="default"/>
                <w:vertAlign w:val="baseline"/>
              </w:rPr>
              <w:t xml:space="preserve">35 civarı yaklaşık brüt döviz pozisyonu artmalıyken, </w:t>
            </w:r>
          </w:p>
          <w:p>
            <w:pPr>
              <w:rPr>
                <w:rFonts w:hint="default"/>
                <w:vertAlign w:val="baseline"/>
              </w:rPr>
            </w:pPr>
          </w:p>
          <w:p>
            <w:pPr>
              <w:rPr>
                <w:rFonts w:hint="default"/>
                <w:color w:val="FF0000"/>
                <w:vertAlign w:val="baseline"/>
              </w:rPr>
            </w:pPr>
            <w:r>
              <w:rPr>
                <w:rFonts w:hint="default"/>
                <w:color w:val="FF0000"/>
                <w:vertAlign w:val="baseline"/>
              </w:rPr>
              <w:t>Nisan sonu döviz pozisyonu sadece 8.7 milyar dolarlık kapanmış.</w:t>
            </w:r>
          </w:p>
          <w:p>
            <w:pPr>
              <w:rPr>
                <w:rFonts w:hint="default"/>
                <w:vertAlign w:val="baseline"/>
              </w:rPr>
            </w:pPr>
          </w:p>
        </w:tc>
        <w:tc>
          <w:tcPr>
            <w:tcW w:w="846" w:type="dxa"/>
          </w:tcPr>
          <w:p>
            <w:pPr>
              <w:rPr>
                <w:rFonts w:hint="default"/>
                <w:vertAlign w:val="baseline"/>
              </w:rPr>
            </w:pPr>
            <w:r>
              <w:rPr>
                <w:rFonts w:hint="default" w:ascii="Arial" w:hAnsi="Arial" w:cs="Arial"/>
                <w:vertAlign w:val="baseline"/>
              </w:rPr>
              <w:t>→</w:t>
            </w:r>
          </w:p>
        </w:tc>
        <w:tc>
          <w:tcPr>
            <w:tcW w:w="1533" w:type="dxa"/>
          </w:tcPr>
          <w:p>
            <w:pPr>
              <w:rPr>
                <w:rFonts w:hint="default"/>
                <w:vertAlign w:val="baseline"/>
              </w:rPr>
            </w:pPr>
            <w:r>
              <w:rPr>
                <w:rFonts w:hint="default"/>
                <w:vertAlign w:val="baseline"/>
              </w:rPr>
              <w:t>35-8.7=</w:t>
            </w:r>
            <w:r>
              <w:rPr>
                <w:rFonts w:hint="default"/>
                <w:b/>
                <w:bCs/>
                <w:vertAlign w:val="baseline"/>
              </w:rPr>
              <w:t xml:space="preserve">26,3 MİLYAR DOLAR REZERV ARTIŞI OLMALIYDI. </w:t>
            </w:r>
          </w:p>
        </w:tc>
        <w:tc>
          <w:tcPr>
            <w:tcW w:w="2094" w:type="dxa"/>
          </w:tcPr>
          <w:p>
            <w:pPr>
              <w:rPr>
                <w:rFonts w:hint="default"/>
                <w:vertAlign w:val="baseline"/>
              </w:rPr>
            </w:pPr>
            <w:r>
              <w:rPr>
                <w:rFonts w:hint="default"/>
                <w:vertAlign w:val="baseline"/>
              </w:rPr>
              <w:t>26,3 milyar dolar artması gerekirken, 5 milyar dolarlık brüt rezerv azalışı var. Dolayısıyla 4 ayda 31,3 milyar döviz (rezerv) eritilmiş.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9" w:type="dxa"/>
          </w:tcPr>
          <w:p>
            <w:pPr>
              <w:rPr>
                <w:rFonts w:hint="default"/>
                <w:b/>
                <w:bCs/>
                <w:vertAlign w:val="baseline"/>
              </w:rPr>
            </w:pPr>
            <w:r>
              <w:rPr>
                <w:rFonts w:hint="default"/>
                <w:b/>
                <w:bCs/>
                <w:vertAlign w:val="baseline"/>
              </w:rPr>
              <w:t>KKM</w:t>
            </w:r>
          </w:p>
        </w:tc>
        <w:tc>
          <w:tcPr>
            <w:tcW w:w="1434" w:type="dxa"/>
          </w:tcPr>
          <w:p>
            <w:pPr>
              <w:rPr>
                <w:rFonts w:hint="default"/>
                <w:vertAlign w:val="baseline"/>
              </w:rPr>
            </w:pPr>
            <w:r>
              <w:rPr>
                <w:rFonts w:hint="default"/>
                <w:b/>
                <w:bCs/>
                <w:vertAlign w:val="baseline"/>
              </w:rPr>
              <w:t>28 Milyar dolar döviz girişi</w:t>
            </w:r>
          </w:p>
        </w:tc>
        <w:tc>
          <w:tcPr>
            <w:tcW w:w="2028" w:type="dxa"/>
          </w:tcPr>
          <w:p>
            <w:pPr>
              <w:rPr>
                <w:rFonts w:hint="default"/>
                <w:vertAlign w:val="baseline"/>
              </w:rPr>
            </w:pPr>
          </w:p>
        </w:tc>
        <w:tc>
          <w:tcPr>
            <w:tcW w:w="846" w:type="dxa"/>
          </w:tcPr>
          <w:p>
            <w:pPr>
              <w:rPr>
                <w:rFonts w:hint="default"/>
                <w:vertAlign w:val="baseline"/>
              </w:rPr>
            </w:pPr>
          </w:p>
        </w:tc>
        <w:tc>
          <w:tcPr>
            <w:tcW w:w="1533" w:type="dxa"/>
          </w:tcPr>
          <w:p>
            <w:pPr>
              <w:rPr>
                <w:rFonts w:hint="default"/>
                <w:vertAlign w:val="baseline"/>
              </w:rPr>
            </w:pPr>
          </w:p>
        </w:tc>
        <w:tc>
          <w:tcPr>
            <w:tcW w:w="2094"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9" w:type="dxa"/>
          </w:tcPr>
          <w:p>
            <w:pPr>
              <w:rPr>
                <w:rFonts w:hint="default"/>
                <w:b/>
                <w:bCs/>
                <w:vertAlign w:val="baseline"/>
              </w:rPr>
            </w:pPr>
            <w:r>
              <w:rPr>
                <w:rFonts w:hint="default"/>
                <w:b/>
                <w:bCs/>
                <w:vertAlign w:val="baseline"/>
              </w:rPr>
              <w:t>Reeskont kredileri</w:t>
            </w:r>
          </w:p>
        </w:tc>
        <w:tc>
          <w:tcPr>
            <w:tcW w:w="1434" w:type="dxa"/>
          </w:tcPr>
          <w:p>
            <w:pPr>
              <w:rPr>
                <w:rFonts w:hint="default"/>
                <w:vertAlign w:val="baseline"/>
              </w:rPr>
            </w:pPr>
            <w:r>
              <w:rPr>
                <w:rFonts w:hint="default"/>
              </w:rPr>
              <w:t xml:space="preserve">vadesinde olması gereken </w:t>
            </w:r>
            <w:r>
              <w:rPr>
                <w:rFonts w:hint="default"/>
                <w:b/>
                <w:bCs/>
              </w:rPr>
              <w:t>döviz girişi 4,9 milyar dolar</w:t>
            </w:r>
          </w:p>
        </w:tc>
        <w:tc>
          <w:tcPr>
            <w:tcW w:w="2028" w:type="dxa"/>
          </w:tcPr>
          <w:p>
            <w:pPr>
              <w:rPr>
                <w:rFonts w:hint="default"/>
                <w:vertAlign w:val="baseline"/>
              </w:rPr>
            </w:pPr>
          </w:p>
        </w:tc>
        <w:tc>
          <w:tcPr>
            <w:tcW w:w="846" w:type="dxa"/>
          </w:tcPr>
          <w:p>
            <w:pPr>
              <w:rPr>
                <w:rFonts w:hint="default"/>
                <w:vertAlign w:val="baseline"/>
              </w:rPr>
            </w:pPr>
          </w:p>
        </w:tc>
        <w:tc>
          <w:tcPr>
            <w:tcW w:w="1533" w:type="dxa"/>
          </w:tcPr>
          <w:p>
            <w:pPr>
              <w:rPr>
                <w:rFonts w:hint="default"/>
                <w:vertAlign w:val="baseline"/>
              </w:rPr>
            </w:pPr>
          </w:p>
        </w:tc>
        <w:tc>
          <w:tcPr>
            <w:tcW w:w="2094"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9" w:type="dxa"/>
          </w:tcPr>
          <w:p>
            <w:pPr>
              <w:rPr>
                <w:rFonts w:hint="default"/>
                <w:b/>
                <w:bCs/>
                <w:vertAlign w:val="baseline"/>
              </w:rPr>
            </w:pPr>
            <w:r>
              <w:rPr>
                <w:rFonts w:hint="default"/>
                <w:b/>
                <w:bCs/>
                <w:vertAlign w:val="baseline"/>
              </w:rPr>
              <w:t>BOTAŞ</w:t>
            </w:r>
          </w:p>
        </w:tc>
        <w:tc>
          <w:tcPr>
            <w:tcW w:w="1434" w:type="dxa"/>
          </w:tcPr>
          <w:p>
            <w:pPr>
              <w:rPr>
                <w:rFonts w:hint="default"/>
                <w:vertAlign w:val="baseline"/>
              </w:rPr>
            </w:pPr>
            <w:r>
              <w:rPr>
                <w:rFonts w:hint="default"/>
                <w:b/>
                <w:bCs/>
                <w:vertAlign w:val="baseline"/>
              </w:rPr>
              <w:t xml:space="preserve">BOTAŞ’a 16 milyar </w:t>
            </w:r>
            <w:r>
              <w:rPr>
                <w:rFonts w:hint="default"/>
                <w:vertAlign w:val="baseline"/>
              </w:rPr>
              <w:t xml:space="preserve">dolar satıldı. </w:t>
            </w:r>
            <w:r>
              <w:rPr>
                <w:rFonts w:hint="default"/>
                <w:b/>
                <w:bCs/>
                <w:vertAlign w:val="baseline"/>
              </w:rPr>
              <w:t>Döviz çıkışı</w:t>
            </w:r>
          </w:p>
        </w:tc>
        <w:tc>
          <w:tcPr>
            <w:tcW w:w="2028" w:type="dxa"/>
          </w:tcPr>
          <w:p>
            <w:pPr>
              <w:rPr>
                <w:rFonts w:hint="default"/>
                <w:vertAlign w:val="baseline"/>
              </w:rPr>
            </w:pPr>
          </w:p>
        </w:tc>
        <w:tc>
          <w:tcPr>
            <w:tcW w:w="846" w:type="dxa"/>
          </w:tcPr>
          <w:p>
            <w:pPr>
              <w:rPr>
                <w:rFonts w:hint="default"/>
                <w:vertAlign w:val="baseline"/>
              </w:rPr>
            </w:pPr>
          </w:p>
        </w:tc>
        <w:tc>
          <w:tcPr>
            <w:tcW w:w="1533" w:type="dxa"/>
          </w:tcPr>
          <w:p>
            <w:pPr>
              <w:rPr>
                <w:rFonts w:hint="default"/>
                <w:vertAlign w:val="baseline"/>
              </w:rPr>
            </w:pPr>
          </w:p>
        </w:tc>
        <w:tc>
          <w:tcPr>
            <w:tcW w:w="2094" w:type="dxa"/>
          </w:tcPr>
          <w:p>
            <w:pPr>
              <w:rPr>
                <w:rFonts w:hint="default"/>
                <w:vertAlign w:val="baseline"/>
              </w:rPr>
            </w:pPr>
          </w:p>
        </w:tc>
      </w:tr>
    </w:tbl>
    <w:p>
      <w:pPr>
        <w:rPr>
          <w:rFonts w:hint="default"/>
          <w:i/>
          <w:iCs/>
        </w:rPr>
      </w:pPr>
    </w:p>
    <w:p>
      <w:pPr>
        <w:widowControl w:val="0"/>
        <w:numPr>
          <w:ilvl w:val="0"/>
          <w:numId w:val="0"/>
        </w:numPr>
        <w:jc w:val="both"/>
        <w:rPr>
          <w:rFonts w:hint="default"/>
          <w:b w:val="0"/>
          <w:bCs w:val="0"/>
        </w:rPr>
      </w:pPr>
      <w:r>
        <w:rPr>
          <w:rFonts w:hint="default"/>
          <w:b w:val="0"/>
          <w:bCs w:val="0"/>
        </w:rPr>
        <w:t xml:space="preserve">Yukarıdaki hesaplamalardan, 2022 yılının ilk 4 ayında MB tarafından 31,3 milyar dolar döviz satışı yapıldığı anlaşılmaktadır. </w:t>
      </w:r>
      <w:r>
        <w:rPr>
          <w:rFonts w:hint="default"/>
          <w:b w:val="0"/>
          <w:bCs w:val="0"/>
          <w:highlight w:val="red"/>
        </w:rPr>
        <w:t>BOTAŞ’a doğrudan 16 milyar dolar satıldığı göz önünde bulundurulduğunda, geriye kalan yaklaşık 15 milyar doların, yine arka kapıdan satılarak, kurun aşırı yükselmesinin önüne geçilmeye çalışıldığı anlaşılmaktadır.</w:t>
      </w:r>
      <w:r>
        <w:rPr>
          <w:rFonts w:hint="default"/>
          <w:b w:val="0"/>
          <w:bCs w:val="0"/>
        </w:rPr>
        <w:t xml:space="preserve"> </w:t>
      </w:r>
    </w:p>
    <w:p>
      <w:pPr>
        <w:rPr>
          <w:rFonts w:hint="default"/>
          <w:i/>
          <w:iCs/>
        </w:rPr>
      </w:pPr>
    </w:p>
    <w:p>
      <w:pPr>
        <w:rPr>
          <w:rFonts w:hint="default"/>
          <w:i/>
          <w:iCs/>
        </w:rPr>
      </w:pPr>
    </w:p>
    <w:p>
      <w:pPr>
        <w:widowControl w:val="0"/>
        <w:numPr>
          <w:ilvl w:val="0"/>
          <w:numId w:val="0"/>
        </w:numPr>
        <w:jc w:val="both"/>
        <w:rPr>
          <w:rFonts w:hint="default"/>
          <w:b/>
          <w:bCs/>
        </w:rPr>
      </w:pPr>
      <w:r>
        <w:rPr>
          <w:rFonts w:hint="default"/>
          <w:b/>
          <w:bCs/>
        </w:rPr>
        <w:t>- MB rezervlerinden altın satışı:</w:t>
      </w:r>
    </w:p>
    <w:p>
      <w:pPr>
        <w:widowControl w:val="0"/>
        <w:numPr>
          <w:ilvl w:val="0"/>
          <w:numId w:val="0"/>
        </w:numPr>
        <w:jc w:val="both"/>
        <w:rPr>
          <w:rFonts w:hint="default"/>
          <w:b/>
          <w:bCs/>
        </w:rPr>
      </w:pPr>
    </w:p>
    <w:p>
      <w:pPr>
        <w:widowControl w:val="0"/>
        <w:numPr>
          <w:ilvl w:val="0"/>
          <w:numId w:val="0"/>
        </w:numPr>
        <w:jc w:val="both"/>
        <w:rPr>
          <w:rFonts w:hint="default"/>
          <w:b/>
          <w:bCs/>
        </w:rPr>
      </w:pPr>
    </w:p>
    <w:p>
      <w:pPr>
        <w:widowControl w:val="0"/>
        <w:numPr>
          <w:ilvl w:val="0"/>
          <w:numId w:val="0"/>
        </w:numPr>
        <w:jc w:val="both"/>
        <w:rPr>
          <w:rFonts w:hint="default"/>
          <w:b w:val="0"/>
          <w:bCs w:val="0"/>
        </w:rPr>
      </w:pPr>
      <w:r>
        <w:rPr>
          <w:rFonts w:hint="default"/>
          <w:b w:val="0"/>
          <w:bCs w:val="0"/>
        </w:rPr>
        <w:t>Ilk olarak Mayıs 2022’de, Londra piyasasında yüklü miktar altın satılmasının üzerine, bunun ancak bir devletin MB’ı olabileceği ve bu ülkenin de risk primleri ve mevcut rezerv satış uygulaması dolayısıyla, TCMB olabileceğinin düşünüldüğü haberleri yayıldı.</w:t>
      </w:r>
    </w:p>
    <w:p>
      <w:pPr>
        <w:widowControl w:val="0"/>
        <w:numPr>
          <w:ilvl w:val="0"/>
          <w:numId w:val="0"/>
        </w:numPr>
        <w:jc w:val="both"/>
        <w:rPr>
          <w:rFonts w:hint="default"/>
          <w:b/>
          <w:bCs/>
        </w:rPr>
      </w:pPr>
    </w:p>
    <w:p>
      <w:pPr>
        <w:widowControl w:val="0"/>
        <w:numPr>
          <w:ilvl w:val="0"/>
          <w:numId w:val="0"/>
        </w:numPr>
        <w:jc w:val="both"/>
        <w:rPr>
          <w:rFonts w:hint="default"/>
          <w:b w:val="0"/>
          <w:bCs w:val="0"/>
          <w:color w:val="FF0000"/>
        </w:rPr>
      </w:pPr>
      <w:r>
        <w:rPr>
          <w:rFonts w:hint="default"/>
          <w:b w:val="0"/>
          <w:bCs w:val="0"/>
        </w:rPr>
        <w:t xml:space="preserve">Merkez Bankası'nın 2021 Yıllık Faaliyet Raporu'na göre yıl sonu itibarıyla 657,7 ton uluslararası standartta bulunan altının 461 tonu TCMB malı altın olup, </w:t>
      </w:r>
      <w:r>
        <w:rPr>
          <w:rFonts w:hint="default"/>
          <w:b w:val="0"/>
          <w:bCs w:val="0"/>
          <w:color w:val="FF0000"/>
        </w:rPr>
        <w:t>geriye kalan kısmı, bankaların TCMB’de tuttukları altından oluşmaktadır.</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2021 yılsonu verilerine göre, TCMB malı altın rezervinin 78 tonu İngiltere Merkez Bankası (BoE), 34 tonu TCMB ve 349 tonu Borsa İstanbul nezdinde muhafaza edilmektedir.</w:t>
      </w:r>
    </w:p>
    <w:p>
      <w:pPr>
        <w:widowControl w:val="0"/>
        <w:numPr>
          <w:ilvl w:val="0"/>
          <w:numId w:val="0"/>
        </w:numPr>
        <w:jc w:val="both"/>
        <w:rPr>
          <w:rFonts w:hint="default"/>
          <w:b/>
          <w:bCs/>
        </w:rPr>
      </w:pPr>
    </w:p>
    <w:p>
      <w:pPr>
        <w:keepNext w:val="0"/>
        <w:keepLines w:val="0"/>
        <w:widowControl/>
        <w:suppressLineNumbers w:val="0"/>
        <w:jc w:val="left"/>
      </w:pPr>
      <w:r>
        <w:rPr>
          <w:rFonts w:hint="default" w:ascii="Roboto" w:hAnsi="Roboto" w:eastAsia="Roboto" w:cs="Roboto"/>
          <w:i w:val="0"/>
          <w:caps w:val="0"/>
          <w:color w:val="2196F3"/>
          <w:spacing w:val="0"/>
          <w:sz w:val="36"/>
          <w:szCs w:val="36"/>
          <w:u w:val="none"/>
        </w:rPr>
        <w:drawing>
          <wp:inline distT="0" distB="0" distL="114300" distR="114300">
            <wp:extent cx="6096000" cy="3190875"/>
            <wp:effectExtent l="0" t="0" r="0" b="9525"/>
            <wp:docPr id="15" name="Picture 2"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IMG_256"/>
                    <pic:cNvPicPr>
                      <a:picLocks noChangeAspect="1"/>
                    </pic:cNvPicPr>
                  </pic:nvPicPr>
                  <pic:blipFill>
                    <a:blip r:embed="rId7"/>
                    <a:stretch>
                      <a:fillRect/>
                    </a:stretch>
                  </pic:blipFill>
                  <pic:spPr>
                    <a:xfrm>
                      <a:off x="0" y="0"/>
                      <a:ext cx="6096000" cy="3190875"/>
                    </a:xfrm>
                    <a:prstGeom prst="rect">
                      <a:avLst/>
                    </a:prstGeom>
                    <a:noFill/>
                    <a:ln w="9525">
                      <a:noFill/>
                    </a:ln>
                  </pic:spPr>
                </pic:pic>
              </a:graphicData>
            </a:graphic>
          </wp:inline>
        </w:drawing>
      </w:r>
    </w:p>
    <w:p>
      <w:pPr>
        <w:rPr>
          <w:rFonts w:hint="default"/>
          <w:i/>
          <w:iCs/>
        </w:rPr>
      </w:pPr>
    </w:p>
    <w:p>
      <w:pPr>
        <w:widowControl w:val="0"/>
        <w:numPr>
          <w:ilvl w:val="0"/>
          <w:numId w:val="0"/>
        </w:numPr>
        <w:jc w:val="both"/>
        <w:rPr>
          <w:rFonts w:hint="default"/>
          <w:b w:val="0"/>
          <w:bCs w:val="0"/>
        </w:rPr>
      </w:pPr>
      <w:r>
        <w:rPr>
          <w:rFonts w:hint="default"/>
          <w:b w:val="0"/>
          <w:bCs w:val="0"/>
        </w:rPr>
        <w:t>15 Nisan 2022 tarihinde 112,296 milyon $ olan altın rezervi, 13 Mayıs itibariyle 101,939’a, 20 Mayıs 2022 tarihinde ise 100,260 milyon $’a gerilemiştir.</w:t>
      </w:r>
    </w:p>
    <w:p>
      <w:pPr>
        <w:rPr>
          <w:rFonts w:hint="default"/>
          <w:i/>
          <w:iCs/>
        </w:rPr>
      </w:pPr>
    </w:p>
    <w:p>
      <w:pPr>
        <w:rPr>
          <w:rFonts w:hint="default"/>
          <w:b/>
          <w:bCs/>
        </w:rPr>
      </w:pPr>
    </w:p>
    <w:p>
      <w:pPr>
        <w:numPr>
          <w:ilvl w:val="0"/>
          <w:numId w:val="0"/>
        </w:numPr>
        <w:rPr>
          <w:b/>
          <w:bCs/>
        </w:rPr>
      </w:pPr>
      <w:r>
        <w:rPr>
          <w:b/>
          <w:bCs/>
        </w:rPr>
        <w:t xml:space="preserve">III.1.b. Swap </w:t>
      </w:r>
    </w:p>
    <w:p>
      <w:pPr>
        <w:numPr>
          <w:ilvl w:val="0"/>
          <w:numId w:val="0"/>
        </w:numPr>
        <w:rPr>
          <w:b/>
          <w:bCs/>
        </w:rPr>
      </w:pPr>
    </w:p>
    <w:p>
      <w:pPr>
        <w:rPr>
          <w:rFonts w:hint="default"/>
          <w:highlight w:val="green"/>
        </w:rPr>
      </w:pPr>
      <w:r>
        <w:rPr>
          <w:rFonts w:hint="default"/>
          <w:highlight w:val="green"/>
        </w:rPr>
        <w:t>TCMB’nin yurtdışı MB’lerle yaptığı swap’lar. MB’ler neden bunu yapar? Uluslararası uygulamaları? Nenden yapılır, ne işe yarar?</w:t>
      </w:r>
    </w:p>
    <w:p/>
    <w:p>
      <w:pPr>
        <w:rPr>
          <w:rFonts w:hint="default"/>
        </w:rPr>
      </w:pPr>
      <w:r>
        <w:t>Özellikle 2018 kur krizinden sonra MB, kriz koşullarını yönetmek ve kurları tutabilmek için piyasaya sıklıkla döviz sattı.</w:t>
      </w:r>
      <w:r>
        <w:rPr>
          <w:rFonts w:hint="default"/>
        </w:rPr>
        <w:t xml:space="preserve"> Bu döviz satışları neticesinde </w:t>
      </w:r>
      <w:r>
        <w:t>MB</w:t>
      </w:r>
      <w:r>
        <w:rPr>
          <w:rFonts w:hint="default"/>
        </w:rPr>
        <w:t>’nın eriyen rezervleri ise, 2016 yılında başlayan ancak 2018 kur krizinden sonra yoğunluğu artan ve vadesi kısalan döviz/TL swap işlemleri ile yönetilmeye çalışıldı.</w:t>
      </w:r>
    </w:p>
    <w:p>
      <w:pPr>
        <w:rPr>
          <w:rFonts w:hint="default"/>
        </w:rPr>
      </w:pPr>
    </w:p>
    <w:p>
      <w:pPr>
        <w:rPr>
          <w:rFonts w:hint="default"/>
        </w:rPr>
      </w:pPr>
      <w:r>
        <w:t xml:space="preserve">MB rezervlerinin satışı suretiyle kurları tutma çabası </w:t>
      </w:r>
      <w:r>
        <w:rPr>
          <w:rFonts w:hint="default"/>
        </w:rPr>
        <w:t xml:space="preserve">neticesinde azalan </w:t>
      </w:r>
      <w:r>
        <w:t>MB rezervleri, 2019</w:t>
      </w:r>
      <w:r>
        <w:rPr>
          <w:rFonts w:hint="default"/>
        </w:rPr>
        <w:t xml:space="preserve">’dan bu yana yoğunlukla gerçekleştirilen swap işlemleri ile spotta elde edilen dövizlerin, MB bilançosunun döviz varlıklarında görünmesi nedeniyle ilk hesaplamalarda erimemiş gibi görünüyordu. </w:t>
      </w:r>
    </w:p>
    <w:p>
      <w:pPr>
        <w:rPr>
          <w:rFonts w:hint="default"/>
        </w:rPr>
      </w:pPr>
    </w:p>
    <w:p>
      <w:pPr>
        <w:rPr>
          <w:rFonts w:hint="default"/>
        </w:rPr>
      </w:pPr>
      <w:r>
        <w:rPr>
          <w:rFonts w:hint="default"/>
        </w:rPr>
        <w:t>2019 yılının Nisan ayında (17.04.2019) Financial Times, TCMB’nin açıklamış olduğu rezervlerin gerçeği yansıtmadığı ve kur swapları ile elde edilen dövizlerin net rezerv hesaplamasına dahil edildiğini, hesaplamalardan bu tutarların düşülmesi halinde, gerçek rezervin daha düşük olduğuna dair bir haber yayımladı. Haberde yer alan grafik aşağıda sunulmaktadır.</w:t>
      </w:r>
    </w:p>
    <w:p>
      <w:pPr>
        <w:rPr>
          <w:rFonts w:hint="default"/>
        </w:rPr>
      </w:pPr>
    </w:p>
    <w:p>
      <w:pPr>
        <w:rPr>
          <w:rFonts w:hint="default" w:ascii="Roboto" w:hAnsi="Roboto" w:eastAsia="Roboto" w:cs="Roboto"/>
          <w:i w:val="0"/>
          <w:caps w:val="0"/>
          <w:color w:val="2196F3"/>
          <w:spacing w:val="0"/>
          <w:sz w:val="32"/>
          <w:szCs w:val="32"/>
          <w:u w:val="none"/>
        </w:rPr>
      </w:pPr>
      <w:r>
        <w:rPr>
          <w:rFonts w:hint="default" w:ascii="Roboto" w:hAnsi="Roboto" w:eastAsia="Roboto" w:cs="Roboto"/>
          <w:i w:val="0"/>
          <w:caps w:val="0"/>
          <w:color w:val="2196F3"/>
          <w:spacing w:val="0"/>
          <w:sz w:val="32"/>
          <w:szCs w:val="32"/>
          <w:u w:val="none"/>
        </w:rPr>
        <w:drawing>
          <wp:inline distT="0" distB="0" distL="114300" distR="114300">
            <wp:extent cx="4162425" cy="2705100"/>
            <wp:effectExtent l="0" t="0" r="3175" b="12700"/>
            <wp:docPr id="13" name="Picture 6"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IMG_256"/>
                    <pic:cNvPicPr>
                      <a:picLocks noChangeAspect="1"/>
                    </pic:cNvPicPr>
                  </pic:nvPicPr>
                  <pic:blipFill>
                    <a:blip r:embed="rId9"/>
                    <a:stretch>
                      <a:fillRect/>
                    </a:stretch>
                  </pic:blipFill>
                  <pic:spPr>
                    <a:xfrm>
                      <a:off x="0" y="0"/>
                      <a:ext cx="4162425" cy="2705100"/>
                    </a:xfrm>
                    <a:prstGeom prst="rect">
                      <a:avLst/>
                    </a:prstGeom>
                    <a:noFill/>
                    <a:ln w="9525">
                      <a:noFill/>
                    </a:ln>
                  </pic:spPr>
                </pic:pic>
              </a:graphicData>
            </a:graphic>
          </wp:inline>
        </w:drawing>
      </w:r>
    </w:p>
    <w:p>
      <w:pPr>
        <w:rPr>
          <w:rFonts w:hint="default" w:ascii="Roboto" w:hAnsi="Roboto" w:eastAsia="Roboto" w:cs="Roboto"/>
          <w:i w:val="0"/>
          <w:caps w:val="0"/>
          <w:color w:val="2196F3"/>
          <w:spacing w:val="0"/>
          <w:sz w:val="32"/>
          <w:szCs w:val="32"/>
          <w:u w:val="none"/>
        </w:rPr>
      </w:pPr>
    </w:p>
    <w:p>
      <w:pPr>
        <w:rPr>
          <w:rFonts w:hint="default"/>
        </w:rPr>
      </w:pPr>
      <w:r>
        <w:rPr>
          <w:rFonts w:hint="default"/>
        </w:rPr>
        <w:t xml:space="preserve">Bu tarihten itibaren, ekonomistler ve araştırmacılar, MB rezervleri kullanılarak piyasaya döviz satışlarını ve MB rezervlerinin eridiğini tartışıyorlar, gerçekleştirilen swap işlemlerine dikkat çekiyorlardı. TMCB de FT haberinin ardından, kur swapları işlemleri neticesinde elde edilen dövizlerin rezerv hesaplamalarına dahil edilmesinin uluslararası standartlara uygun olmayan bir yanının bulunmadığını açıkladı. Ancak, bu yoğunlukta ve çoğunluğu kısa vadeli olarak gerçekleşen ve aslında TCMB rezervlerinin eridiğini gizlemeye yarayan bu uygulamanın manipülatif ve şeffaflıktan uzak olduğu açıktı. </w:t>
      </w:r>
    </w:p>
    <w:p>
      <w:pPr>
        <w:rPr>
          <w:rFonts w:hint="default"/>
        </w:rPr>
      </w:pPr>
    </w:p>
    <w:p>
      <w:pPr>
        <w:rPr>
          <w:rFonts w:hint="default"/>
          <w:highlight w:val="red"/>
        </w:rPr>
      </w:pPr>
      <w:r>
        <w:rPr>
          <w:rFonts w:hint="default"/>
          <w:highlight w:val="red"/>
        </w:rPr>
        <w:t>Merkez Bankası bünyesindeki döviz karşılığı TL swap piyasasında vadesi gelmemiş toplam swap satış limiti 4 Nisan 2019’da yüzde 30'dan yüzde 40'a çıkarıldı. Kısa vadeli döviz/TL swap işlemleri, TCMB’nin mutad uygulaması haline geldi.</w:t>
      </w:r>
    </w:p>
    <w:p>
      <w:pPr>
        <w:numPr>
          <w:ilvl w:val="0"/>
          <w:numId w:val="0"/>
        </w:numPr>
        <w:rPr>
          <w:b/>
          <w:bCs/>
        </w:rPr>
      </w:pPr>
    </w:p>
    <w:p>
      <w:pPr>
        <w:rPr>
          <w:rFonts w:hint="default"/>
        </w:rPr>
      </w:pPr>
      <w:r>
        <w:rPr>
          <w:rFonts w:hint="default"/>
        </w:rPr>
        <w:t>2021 yılının Nisan ayında, m</w:t>
      </w:r>
      <w:r>
        <w:t xml:space="preserve">uhalefetin </w:t>
      </w:r>
      <w:r>
        <w:rPr>
          <w:rFonts w:hint="default"/>
        </w:rPr>
        <w:t>‘</w:t>
      </w:r>
      <w:r>
        <w:t>128 milyar nerede</w:t>
      </w:r>
      <w:r>
        <w:rPr>
          <w:rFonts w:hint="default"/>
        </w:rPr>
        <w:t>’</w:t>
      </w:r>
      <w:r>
        <w:t xml:space="preserve"> sloganıyla yaptığı kampanya ile de </w:t>
      </w:r>
      <w:r>
        <w:rPr>
          <w:rFonts w:hint="default"/>
        </w:rPr>
        <w:t xml:space="preserve">‘Swap hariç net rezerv’ hesaplamasıyla elde edilen gerçek rakamlar, MB rezerv satışlarını ve MB’nın (-) rezervle faaliyet gösterdiği geniş kesimlere </w:t>
      </w:r>
      <w:r>
        <w:t>duyurulmuş oldu.</w:t>
      </w:r>
      <w:r>
        <w:rPr>
          <w:rFonts w:hint="default"/>
        </w:rPr>
        <w:t xml:space="preserve"> Kampanya kapsamında İstanbul, Bursa, Kırşehir ve Ardahan gibi illerde rezerv harcamalarına atıfta bulunan afişler asıldı. Nisan 2021'de CHP binalarına asılan “128 milyar dolar nerede?” yazılı afiş ve pankartlar savcılık talimatıyla polis tarafından vinçlerle gece saatlerinde indirildi.</w:t>
      </w:r>
    </w:p>
    <w:p>
      <w:pPr>
        <w:rPr>
          <w:rFonts w:hint="default"/>
        </w:rPr>
      </w:pPr>
    </w:p>
    <w:p>
      <w:pPr>
        <w:rPr>
          <w:rFonts w:hint="default"/>
        </w:rPr>
      </w:pPr>
      <w:r>
        <w:rPr>
          <w:rFonts w:hint="default"/>
        </w:rPr>
        <w:t xml:space="preserve">Daha önce, ‘salgın döneminde kullanıldığı’, ‘Hazine’de durduğu’ yönünde açıklamalar yapan Cumhurbaşkanı Erdoğan Nisan 2021’de AKP TBMM Grup Toplantısı'nda yaptığı konuşmada muhalefetin "128 milyar dolar nerede?" sorusuna "128 milyar dolar ne buhar olmuştur, ne de haksız ve hukuksuz yere herhangi birinin cebine girmiştir. Bu para ve çok daha fazlası, ekonominin aktörleri ve vatandaşımız arasında dolaşıma girmiş, yani yer değiştirmiş, ama sonuçta çoğu yine ülkemizin değeri olarak yurt içinde kalmıştır" ifadeleriyle cevap verdi. Sonuç olarak, bu ifadeler MB rezervlerinin, döviz satışları suretiyle eridiğinin resmi itirafı olarak kayda geçti. </w:t>
      </w:r>
    </w:p>
    <w:p>
      <w:pPr>
        <w:rPr>
          <w:rFonts w:hint="default"/>
        </w:rPr>
      </w:pPr>
    </w:p>
    <w:p>
      <w:pPr>
        <w:rPr>
          <w:rFonts w:hint="default"/>
        </w:rPr>
      </w:pPr>
      <w:r>
        <w:rPr>
          <w:rFonts w:hint="default"/>
        </w:rPr>
        <w:t>Cumhurbaşkanı Erdoğan, konuşmasında "Son iki yılda, Merkez Bankası kaynaklarından 30 milyar dolar cari açığın finansmanı için kullanılmıştır. Yabancı sermaye çıkışı için kullanılan rakam 31 milyar doları bulmuştur. Reel sektörün döviz cinsinden borcunu azaltmak için talep ettiği kaynak da 50 milyar dolara ulaşmıştır. Vatandaşlarımız da 54 milyar dolar karşılığı döviz ve altın alarak, tasarruf tercihlerinde değişikliğe gitmiştir. Gördüğünüz gibi, sadece 4 kalemde 165 milyar dolarlık bir rakam ortaya çıktı" diyerek, piyasanın artan döviz talebini karşılamak için MB rezervlerinin kullanıldığını ilk ağızdan açıklamış oldu.</w:t>
      </w:r>
    </w:p>
    <w:p/>
    <w:p>
      <w:pPr>
        <w:rPr>
          <w:rFonts w:hint="default"/>
          <w:b/>
          <w:bCs/>
        </w:rPr>
      </w:pPr>
      <w:r>
        <w:rPr>
          <w:rFonts w:hint="default"/>
          <w:b/>
          <w:bCs/>
        </w:rPr>
        <w:t>Swap İşlemlerinin Muhasebeleştirilmesi ve Swap hariç Net Rezerv Hesaplamaları</w:t>
      </w:r>
    </w:p>
    <w:p>
      <w:pPr>
        <w:rPr>
          <w:rFonts w:hint="default"/>
        </w:rPr>
      </w:pPr>
    </w:p>
    <w:p>
      <w:r>
        <w:t>Swap dolayısıyla spotta elde edilen dövizlerin, MB bilançosunun aktifinde döviz varlıkları olarak görünmesi ve MB</w:t>
      </w:r>
      <w:r>
        <w:rPr>
          <w:rFonts w:hint="default"/>
        </w:rPr>
        <w:t xml:space="preserve">’nın gelecekteki döviz yükümlülüklerinin bilanço dışı yükümlülüklerde sınıflandırılması nedeniyle, MB rezervleri yerinde görünmektedir. MB, spotta, döviz kaynağı elde etmiş bulunmakta, gelecekte geri ödeyeceği dövizleri bugün kullanma imkanına erişmektedir. Bu açıdan </w:t>
      </w:r>
      <w:r>
        <w:rPr>
          <w:rFonts w:hint="default"/>
          <w:b/>
          <w:bCs/>
        </w:rPr>
        <w:t>palyatif ve manipülatif</w:t>
      </w:r>
      <w:r>
        <w:rPr>
          <w:rFonts w:hint="default"/>
        </w:rPr>
        <w:t xml:space="preserve"> bir uygulamadır. Dolayısıyla, swap işlemlerinin s</w:t>
      </w:r>
      <w:r>
        <w:t xml:space="preserve">orunları halının altına süpürmenin ve </w:t>
      </w:r>
      <w:r>
        <w:rPr>
          <w:b/>
          <w:bCs/>
        </w:rPr>
        <w:t xml:space="preserve">geleceğe ötelemenin </w:t>
      </w:r>
      <w:r>
        <w:t>en belirgin uygulamalarından biri olduğunu iddia etmek mümkündür.</w:t>
      </w:r>
    </w:p>
    <w:p/>
    <w:p>
      <w:r>
        <w:rPr>
          <w:rFonts w:hint="default"/>
        </w:rPr>
        <w:t xml:space="preserve">Özetle, Döviz/TL </w:t>
      </w:r>
      <w:r>
        <w:t xml:space="preserve">swap işlemleri ile yani, gelecekte iade etmek üzere emanet alınan dövizlerle </w:t>
      </w:r>
      <w:r>
        <w:rPr>
          <w:rFonts w:hint="default"/>
        </w:rPr>
        <w:t>b</w:t>
      </w:r>
      <w:r>
        <w:t>ilançoda rezervlerin yerinde gösterilmesi</w:t>
      </w:r>
      <w:r>
        <w:rPr>
          <w:rFonts w:hint="default"/>
        </w:rPr>
        <w:t>,</w:t>
      </w:r>
      <w:r>
        <w:t xml:space="preserve"> özellikle 2019 sonrası </w:t>
      </w:r>
      <w:r>
        <w:rPr>
          <w:color w:val="0000FF"/>
        </w:rPr>
        <w:t>kaynak bulma</w:t>
      </w:r>
      <w:r>
        <w:t xml:space="preserve"> ve 2018 kur krizi neticesinde gerçekleşen </w:t>
      </w:r>
      <w:r>
        <w:rPr>
          <w:b/>
          <w:bCs/>
        </w:rPr>
        <w:t>kur artışlarını frenlemenin</w:t>
      </w:r>
      <w:r>
        <w:t xml:space="preserve"> en önemli araçlarından biri haline geldi. TCMB</w:t>
      </w:r>
      <w:r>
        <w:rPr>
          <w:rFonts w:hint="default"/>
        </w:rPr>
        <w:t xml:space="preserve">’nin daha önce başvurmadığı bu </w:t>
      </w:r>
      <w:r>
        <w:rPr>
          <w:rFonts w:hint="default"/>
          <w:b/>
          <w:bCs/>
        </w:rPr>
        <w:t xml:space="preserve">innovatif </w:t>
      </w:r>
      <w:r>
        <w:rPr>
          <w:rFonts w:hint="default"/>
        </w:rPr>
        <w:t xml:space="preserve">yöntem, TCMB’nin rezervlerinin gerçekte ne kadar eridiğini bir süre </w:t>
      </w:r>
      <w:r>
        <w:rPr>
          <w:rFonts w:hint="default"/>
          <w:b/>
          <w:bCs/>
        </w:rPr>
        <w:t xml:space="preserve">gizlemenin </w:t>
      </w:r>
      <w:r>
        <w:rPr>
          <w:rFonts w:hint="default"/>
        </w:rPr>
        <w:t xml:space="preserve">ve swap işlemleri ile bir süreliğine elde edilen dövizler ile </w:t>
      </w:r>
      <w:r>
        <w:rPr>
          <w:rFonts w:hint="default"/>
          <w:b/>
          <w:bCs/>
        </w:rPr>
        <w:t>günün kurtarmanın</w:t>
      </w:r>
      <w:r>
        <w:rPr>
          <w:rFonts w:hint="default"/>
        </w:rPr>
        <w:t xml:space="preserve"> yolu oldu.</w:t>
      </w:r>
    </w:p>
    <w:p>
      <w:pPr>
        <w:numPr>
          <w:ilvl w:val="0"/>
          <w:numId w:val="0"/>
        </w:numPr>
        <w:rPr>
          <w:b/>
          <w:bCs/>
        </w:rPr>
      </w:pPr>
    </w:p>
    <w:p>
      <w:pPr>
        <w:numPr>
          <w:ilvl w:val="0"/>
          <w:numId w:val="0"/>
        </w:numPr>
        <w:rPr>
          <w:rFonts w:hint="default"/>
        </w:rPr>
      </w:pPr>
      <w:r>
        <w:rPr>
          <w:rFonts w:hint="default"/>
        </w:rPr>
        <w:t xml:space="preserve">Sonuç olarak, </w:t>
      </w:r>
      <w:r>
        <w:t>kısa vadeli swap işlemleri, özellikle 2019 Mart ayından itibaren</w:t>
      </w:r>
      <w:r>
        <w:rPr>
          <w:rFonts w:hint="default"/>
        </w:rPr>
        <w:t xml:space="preserve"> yoğunlukla</w:t>
      </w:r>
      <w:r>
        <w:t xml:space="preserve"> başvurula</w:t>
      </w:r>
      <w:r>
        <w:rPr>
          <w:rFonts w:hint="default"/>
        </w:rPr>
        <w:t>rak</w:t>
      </w:r>
      <w:r>
        <w:t>, (MB rezervlerinin neredeyse tükendiği dönem) kurları tutmak için rezerv harcanmasına bağlı olarak rezervlerin tükenişinin manipülatif bir şekilde gizlenmesi imkanı tanı</w:t>
      </w:r>
      <w:r>
        <w:rPr>
          <w:rFonts w:hint="default"/>
        </w:rPr>
        <w:t>dı.</w:t>
      </w:r>
    </w:p>
    <w:p>
      <w:pPr>
        <w:numPr>
          <w:ilvl w:val="0"/>
          <w:numId w:val="0"/>
        </w:numPr>
        <w:rPr>
          <w:rFonts w:hint="default"/>
        </w:rPr>
      </w:pPr>
    </w:p>
    <w:p>
      <w:pPr>
        <w:numPr>
          <w:ilvl w:val="0"/>
          <w:numId w:val="0"/>
        </w:numPr>
        <w:rPr>
          <w:rFonts w:hint="default"/>
        </w:rPr>
      </w:pPr>
    </w:p>
    <w:p>
      <w:pPr>
        <w:rPr>
          <w:rFonts w:hint="default"/>
          <w:b/>
          <w:bCs/>
        </w:rPr>
      </w:pPr>
      <w:r>
        <w:rPr>
          <w:rFonts w:hint="default"/>
          <w:b/>
          <w:bCs/>
        </w:rPr>
        <w:t>MB Swap Hariç Net Rezerv Hesaplamaları:</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default"/>
                <w:b/>
                <w:bCs/>
                <w:color w:val="FF0000"/>
              </w:rPr>
            </w:pPr>
            <w:r>
              <w:rPr>
                <w:rFonts w:hint="default"/>
                <w:b/>
                <w:bCs/>
                <w:color w:val="FF0000"/>
              </w:rPr>
              <w:t>Swap Hariç Net Rezerv Hesaplama Formül:</w:t>
            </w:r>
          </w:p>
          <w:p>
            <w:pPr>
              <w:widowControl w:val="0"/>
              <w:numPr>
                <w:ilvl w:val="0"/>
                <w:numId w:val="0"/>
              </w:numPr>
              <w:jc w:val="both"/>
              <w:rPr>
                <w:rFonts w:hint="default"/>
                <w:b/>
                <w:bCs/>
                <w:color w:val="FF0000"/>
              </w:rPr>
            </w:pPr>
          </w:p>
          <w:p>
            <w:pPr>
              <w:widowControl w:val="0"/>
              <w:numPr>
                <w:ilvl w:val="0"/>
                <w:numId w:val="0"/>
              </w:numPr>
              <w:jc w:val="both"/>
              <w:rPr>
                <w:rFonts w:hint="default"/>
                <w:b/>
                <w:bCs/>
                <w:color w:val="FF0000"/>
              </w:rPr>
            </w:pPr>
            <w:r>
              <w:rPr>
                <w:rFonts w:hint="default"/>
                <w:b/>
                <w:bCs/>
                <w:color w:val="0000FF"/>
              </w:rPr>
              <w:t>TCMB Resmi Rezerv Varlıkları: (Brüt rezerv)=</w:t>
            </w:r>
            <w:r>
              <w:rPr>
                <w:rFonts w:hint="default"/>
                <w:b/>
                <w:bCs/>
                <w:color w:val="FF0000"/>
              </w:rPr>
              <w:t xml:space="preserve"> Döviz varlıkları+ IMF rezerv poz + SDR’ler + Altın</w:t>
            </w:r>
          </w:p>
          <w:p>
            <w:pPr>
              <w:widowControl w:val="0"/>
              <w:numPr>
                <w:ilvl w:val="0"/>
                <w:numId w:val="0"/>
              </w:numPr>
              <w:jc w:val="both"/>
              <w:rPr>
                <w:rFonts w:hint="default"/>
                <w:b/>
                <w:bCs/>
                <w:color w:val="FF0000"/>
              </w:rPr>
            </w:pPr>
            <w:r>
              <w:rPr>
                <w:rFonts w:hint="default"/>
                <w:b/>
                <w:bCs/>
                <w:color w:val="FF0000"/>
              </w:rPr>
              <w:t xml:space="preserve">(TCMB İstatistikler </w:t>
            </w:r>
            <w:r>
              <w:rPr>
                <w:rFonts w:hint="default" w:ascii="Arial" w:hAnsi="Arial" w:cs="Arial"/>
                <w:b/>
                <w:bCs/>
                <w:color w:val="FF0000"/>
              </w:rPr>
              <w:t>→</w:t>
            </w:r>
            <w:r>
              <w:rPr>
                <w:rFonts w:hint="default" w:cstheme="minorHAnsi"/>
                <w:b/>
                <w:bCs/>
                <w:color w:val="FF0000"/>
              </w:rPr>
              <w:t xml:space="preserve"> ödemeler dengesi </w:t>
            </w:r>
            <w:r>
              <w:rPr>
                <w:rFonts w:hint="default" w:ascii="Arial" w:hAnsi="Arial" w:cs="Arial"/>
                <w:b/>
                <w:bCs/>
                <w:color w:val="FF0000"/>
              </w:rPr>
              <w:t>→UA rezervler ve döviz likiditesi →A.resmi rezerv varlıkları→ (A1. Döviz varlıkları + A.2 IMF rezerv poz. + 3. SDR’ler + 4. Altın)</w:t>
            </w:r>
          </w:p>
          <w:p>
            <w:pPr>
              <w:widowControl w:val="0"/>
              <w:numPr>
                <w:ilvl w:val="0"/>
                <w:numId w:val="0"/>
              </w:numPr>
              <w:jc w:val="both"/>
              <w:rPr>
                <w:rFonts w:hint="default"/>
                <w:b/>
                <w:bCs/>
                <w:color w:val="FF0000"/>
              </w:rPr>
            </w:pPr>
          </w:p>
          <w:p>
            <w:pPr>
              <w:keepNext w:val="0"/>
              <w:keepLines w:val="0"/>
              <w:widowControl/>
              <w:suppressLineNumbers w:val="0"/>
              <w:jc w:val="left"/>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color w:val="0000FF"/>
                <w:kern w:val="2"/>
                <w:sz w:val="24"/>
                <w:szCs w:val="24"/>
                <w:lang w:val="en-US" w:eastAsia="zh-CN" w:bidi="ar-SA"/>
              </w:rPr>
              <w:t xml:space="preserve">TCMB Net Altın ve Döviz Rezervleri </w:t>
            </w:r>
            <w:r>
              <w:rPr>
                <w:rFonts w:hint="default" w:asciiTheme="minorHAnsi" w:hAnsiTheme="minorHAnsi" w:eastAsiaTheme="minorEastAsia" w:cstheme="minorBidi"/>
                <w:b/>
                <w:bCs/>
                <w:kern w:val="2"/>
                <w:sz w:val="24"/>
                <w:szCs w:val="24"/>
                <w:lang w:val="en-US" w:eastAsia="zh-CN" w:bidi="ar-SA"/>
              </w:rPr>
              <w:t>= (TCMB Dış Varlıklar Toplamı – TCMB Toplam Döviz Yükümlülükleri) / Aynı Tarihteki USD/TL Kuru</w:t>
            </w:r>
          </w:p>
          <w:p>
            <w:pPr>
              <w:keepNext w:val="0"/>
              <w:keepLines w:val="0"/>
              <w:widowControl/>
              <w:suppressLineNumbers w:val="0"/>
              <w:jc w:val="left"/>
              <w:rPr>
                <w:rFonts w:hint="default" w:asciiTheme="minorHAnsi" w:hAnsiTheme="minorHAnsi" w:eastAsiaTheme="minorEastAsia" w:cstheme="minorBidi"/>
                <w:b/>
                <w:bCs/>
                <w:kern w:val="2"/>
                <w:sz w:val="24"/>
                <w:szCs w:val="24"/>
                <w:lang w:val="en-US" w:eastAsia="zh-CN" w:bidi="ar-SA"/>
              </w:rPr>
            </w:pPr>
          </w:p>
          <w:p>
            <w:pPr>
              <w:keepNext w:val="0"/>
              <w:keepLines w:val="0"/>
              <w:widowControl/>
              <w:suppressLineNumbers w:val="0"/>
              <w:jc w:val="left"/>
              <w:rPr>
                <w:rFonts w:hint="default" w:asciiTheme="minorHAnsi" w:hAnsiTheme="minorHAnsi" w:eastAsiaTheme="minorEastAsia" w:cstheme="minorBidi"/>
                <w:b/>
                <w:bCs/>
                <w:i/>
                <w:iCs/>
                <w:kern w:val="2"/>
                <w:sz w:val="24"/>
                <w:szCs w:val="24"/>
                <w:lang w:eastAsia="zh-CN" w:bidi="ar-SA"/>
              </w:rPr>
            </w:pPr>
            <w:r>
              <w:rPr>
                <w:rFonts w:hint="default" w:cstheme="minorBidi"/>
                <w:b/>
                <w:bCs/>
                <w:i/>
                <w:iCs/>
                <w:kern w:val="2"/>
                <w:sz w:val="24"/>
                <w:szCs w:val="24"/>
                <w:u w:val="single"/>
                <w:lang w:eastAsia="zh-CN" w:bidi="ar-SA"/>
              </w:rPr>
              <w:t xml:space="preserve">TCMB </w:t>
            </w:r>
            <w:r>
              <w:rPr>
                <w:rFonts w:hint="default" w:asciiTheme="minorHAnsi" w:hAnsiTheme="minorHAnsi" w:eastAsiaTheme="minorEastAsia" w:cstheme="minorBidi"/>
                <w:b/>
                <w:bCs/>
                <w:i/>
                <w:iCs/>
                <w:kern w:val="2"/>
                <w:sz w:val="24"/>
                <w:szCs w:val="24"/>
                <w:u w:val="single"/>
                <w:lang w:val="en-US" w:eastAsia="zh-CN" w:bidi="ar-SA"/>
              </w:rPr>
              <w:t>Net Altın ve Döviz Rezervleri</w:t>
            </w:r>
            <w:r>
              <w:rPr>
                <w:rFonts w:hint="default" w:cstheme="minorBidi"/>
                <w:b/>
                <w:bCs/>
                <w:i/>
                <w:iCs/>
                <w:kern w:val="2"/>
                <w:sz w:val="24"/>
                <w:szCs w:val="24"/>
                <w:u w:val="single"/>
                <w:lang w:eastAsia="zh-CN" w:bidi="ar-SA"/>
              </w:rPr>
              <w:t>:</w:t>
            </w:r>
          </w:p>
          <w:p>
            <w:pPr>
              <w:rPr>
                <w:rFonts w:hint="default" w:asciiTheme="minorHAnsi" w:hAnsiTheme="minorHAnsi" w:eastAsiaTheme="minorEastAsia" w:cstheme="minorBidi"/>
                <w:kern w:val="2"/>
                <w:sz w:val="24"/>
                <w:szCs w:val="24"/>
                <w:lang w:val="en-US" w:eastAsia="zh-CN" w:bidi="ar-SA"/>
              </w:rPr>
            </w:pPr>
          </w:p>
          <w:p>
            <w:pPr>
              <w:rPr>
                <w:rFonts w:hint="default" w:cstheme="minorBidi"/>
                <w:kern w:val="2"/>
                <w:sz w:val="24"/>
                <w:szCs w:val="24"/>
                <w:lang w:eastAsia="zh-CN" w:bidi="ar-SA"/>
              </w:rPr>
            </w:pPr>
            <w:r>
              <w:rPr>
                <w:rFonts w:hint="default" w:asciiTheme="minorHAnsi" w:hAnsiTheme="minorHAnsi" w:eastAsiaTheme="minorEastAsia" w:cstheme="minorBidi"/>
                <w:kern w:val="2"/>
                <w:sz w:val="24"/>
                <w:szCs w:val="24"/>
                <w:lang w:val="en-US" w:eastAsia="zh-CN" w:bidi="ar-SA"/>
              </w:rPr>
              <w:t xml:space="preserve">Bu formüldeki büyüklükleri bulabilmek için </w:t>
            </w:r>
            <w:r>
              <w:rPr>
                <w:rFonts w:hint="default" w:asciiTheme="minorHAnsi" w:hAnsiTheme="minorHAnsi" w:eastAsiaTheme="minorEastAsia" w:cstheme="minorBidi"/>
                <w:b/>
                <w:bCs/>
                <w:kern w:val="2"/>
                <w:sz w:val="24"/>
                <w:szCs w:val="24"/>
                <w:lang w:val="en-US" w:eastAsia="zh-CN" w:bidi="ar-SA"/>
              </w:rPr>
              <w:t xml:space="preserve">TCMB sitesindeki ‘istatistikler bölümünden’ ‘analitik bilançoyu’ </w:t>
            </w:r>
            <w:r>
              <w:rPr>
                <w:rFonts w:hint="default" w:cstheme="minorBidi"/>
                <w:b/>
                <w:bCs/>
                <w:kern w:val="2"/>
                <w:sz w:val="24"/>
                <w:szCs w:val="24"/>
                <w:lang w:eastAsia="zh-CN" w:bidi="ar-SA"/>
              </w:rPr>
              <w:t>kullanıyoruz</w:t>
            </w:r>
            <w:r>
              <w:rPr>
                <w:rFonts w:hint="default" w:asciiTheme="minorHAnsi" w:hAnsiTheme="minorHAnsi" w:eastAsiaTheme="minorEastAsia" w:cstheme="minorBidi"/>
                <w:b/>
                <w:bCs/>
                <w:kern w:val="2"/>
                <w:sz w:val="24"/>
                <w:szCs w:val="24"/>
                <w:lang w:val="en-US" w:eastAsia="zh-CN" w:bidi="ar-SA"/>
              </w:rPr>
              <w:t>. Analitik bilançonun ‘aktif bölümünden’ o güne ait ‘dış varlıklar’</w:t>
            </w:r>
            <w:r>
              <w:rPr>
                <w:rFonts w:hint="default" w:asciiTheme="minorHAnsi" w:hAnsiTheme="minorHAnsi" w:eastAsiaTheme="minorEastAsia" w:cstheme="minorBidi"/>
                <w:kern w:val="2"/>
                <w:sz w:val="24"/>
                <w:szCs w:val="24"/>
                <w:lang w:val="en-US" w:eastAsia="zh-CN" w:bidi="ar-SA"/>
              </w:rPr>
              <w:t xml:space="preserve"> toplamını, sonra ‘</w:t>
            </w:r>
            <w:r>
              <w:rPr>
                <w:rFonts w:hint="default" w:asciiTheme="minorHAnsi" w:hAnsiTheme="minorHAnsi" w:eastAsiaTheme="minorEastAsia" w:cstheme="minorBidi"/>
                <w:b/>
                <w:bCs/>
                <w:kern w:val="2"/>
                <w:sz w:val="24"/>
                <w:szCs w:val="24"/>
                <w:lang w:val="en-US" w:eastAsia="zh-CN" w:bidi="ar-SA"/>
              </w:rPr>
              <w:t>pasif bölümünden</w:t>
            </w:r>
            <w:r>
              <w:rPr>
                <w:rFonts w:hint="default" w:asciiTheme="minorHAnsi" w:hAnsiTheme="minorHAnsi" w:eastAsiaTheme="minorEastAsia" w:cstheme="minorBidi"/>
                <w:kern w:val="2"/>
                <w:sz w:val="24"/>
                <w:szCs w:val="24"/>
                <w:lang w:val="en-US" w:eastAsia="zh-CN" w:bidi="ar-SA"/>
              </w:rPr>
              <w:t>’ ‘</w:t>
            </w:r>
            <w:r>
              <w:rPr>
                <w:rFonts w:hint="default" w:asciiTheme="minorHAnsi" w:hAnsiTheme="minorHAnsi" w:eastAsiaTheme="minorEastAsia" w:cstheme="minorBidi"/>
                <w:b/>
                <w:bCs/>
                <w:kern w:val="2"/>
                <w:sz w:val="24"/>
                <w:szCs w:val="24"/>
                <w:lang w:val="en-US" w:eastAsia="zh-CN" w:bidi="ar-SA"/>
              </w:rPr>
              <w:t>toplam döviz yükümlülüklerini</w:t>
            </w:r>
            <w:r>
              <w:rPr>
                <w:rFonts w:hint="default" w:asciiTheme="minorHAnsi" w:hAnsiTheme="minorHAnsi" w:eastAsiaTheme="minorEastAsia" w:cstheme="minorBidi"/>
                <w:kern w:val="2"/>
                <w:sz w:val="24"/>
                <w:szCs w:val="24"/>
                <w:lang w:val="en-US" w:eastAsia="zh-CN" w:bidi="ar-SA"/>
              </w:rPr>
              <w:t>’ alıyoruz</w:t>
            </w:r>
            <w:r>
              <w:rPr>
                <w:rFonts w:hint="default" w:cstheme="minorBidi"/>
                <w:kern w:val="2"/>
                <w:sz w:val="24"/>
                <w:szCs w:val="24"/>
                <w:lang w:eastAsia="zh-CN" w:bidi="ar-SA"/>
              </w:rPr>
              <w:t>.</w:t>
            </w:r>
          </w:p>
          <w:p>
            <w:pPr>
              <w:rPr>
                <w:rFonts w:hint="default" w:cstheme="minorBidi"/>
                <w:kern w:val="2"/>
                <w:sz w:val="24"/>
                <w:szCs w:val="24"/>
                <w:lang w:eastAsia="zh-CN" w:bidi="ar-SA"/>
              </w:rPr>
            </w:pPr>
          </w:p>
          <w:p>
            <w:pPr>
              <w:rPr>
                <w:rFonts w:hint="default" w:cstheme="minorBidi"/>
                <w:kern w:val="2"/>
                <w:sz w:val="24"/>
                <w:szCs w:val="24"/>
                <w:lang w:eastAsia="zh-CN" w:bidi="ar-SA"/>
              </w:rPr>
            </w:pPr>
            <w:r>
              <w:rPr>
                <w:rFonts w:hint="default" w:cstheme="minorBidi"/>
                <w:kern w:val="2"/>
                <w:sz w:val="24"/>
                <w:szCs w:val="24"/>
                <w:lang w:eastAsia="zh-CN" w:bidi="ar-SA"/>
              </w:rPr>
              <w:t>https://evds2.tcmb.gov.tr/index.php?/evds/serieMarket/#collapse_13</w:t>
            </w:r>
          </w:p>
          <w:p>
            <w:pPr>
              <w:rPr>
                <w:rFonts w:hint="default" w:cstheme="minorBidi"/>
                <w:kern w:val="2"/>
                <w:sz w:val="24"/>
                <w:szCs w:val="24"/>
                <w:lang w:eastAsia="zh-CN" w:bidi="ar-SA"/>
              </w:rPr>
            </w:pPr>
          </w:p>
          <w:p>
            <w:pPr>
              <w:rPr>
                <w:rFonts w:hint="default" w:cstheme="minorBidi"/>
                <w:kern w:val="2"/>
                <w:sz w:val="24"/>
                <w:szCs w:val="24"/>
                <w:lang w:eastAsia="zh-CN" w:bidi="ar-SA"/>
              </w:rPr>
            </w:pPr>
            <w:r>
              <w:rPr>
                <w:rFonts w:hint="default" w:asciiTheme="minorHAnsi" w:hAnsiTheme="minorHAnsi" w:eastAsiaTheme="minorEastAsia" w:cstheme="minorBidi"/>
                <w:kern w:val="2"/>
                <w:sz w:val="24"/>
                <w:szCs w:val="24"/>
                <w:lang w:val="en-US" w:eastAsia="zh-CN" w:bidi="ar-SA"/>
              </w:rPr>
              <w:t xml:space="preserve">TCMB analitik bilançosundan aldığımız dış varlıklar toplamı ve toplam döviz yükümlülükleri TL ile </w:t>
            </w:r>
            <w:r>
              <w:rPr>
                <w:rFonts w:hint="default" w:cstheme="minorBidi"/>
                <w:kern w:val="2"/>
                <w:sz w:val="24"/>
                <w:szCs w:val="24"/>
                <w:lang w:eastAsia="zh-CN" w:bidi="ar-SA"/>
              </w:rPr>
              <w:t>ifade edilen büyüklükler olduğu</w:t>
            </w:r>
            <w:r>
              <w:rPr>
                <w:rFonts w:hint="default" w:asciiTheme="minorHAnsi" w:hAnsiTheme="minorHAnsi" w:eastAsiaTheme="minorEastAsia" w:cstheme="minorBidi"/>
                <w:kern w:val="2"/>
                <w:sz w:val="24"/>
                <w:szCs w:val="24"/>
                <w:lang w:val="en-US" w:eastAsia="zh-CN" w:bidi="ar-SA"/>
              </w:rPr>
              <w:t xml:space="preserve"> için bunları o günkü kurla dolara çevirmemiz gerekiyor. Kullanacağımız kuru bulabilmek için TCMB sitesinde yine ‘</w:t>
            </w:r>
            <w:r>
              <w:rPr>
                <w:rFonts w:hint="default" w:asciiTheme="minorHAnsi" w:hAnsiTheme="minorHAnsi" w:eastAsiaTheme="minorEastAsia" w:cstheme="minorBidi"/>
                <w:b/>
                <w:bCs/>
                <w:kern w:val="2"/>
                <w:sz w:val="24"/>
                <w:szCs w:val="24"/>
                <w:lang w:val="en-US" w:eastAsia="zh-CN" w:bidi="ar-SA"/>
              </w:rPr>
              <w:t xml:space="preserve">istatistikler </w:t>
            </w:r>
            <w:r>
              <w:rPr>
                <w:rFonts w:hint="default" w:asciiTheme="minorHAnsi" w:hAnsiTheme="minorHAnsi" w:eastAsiaTheme="minorEastAsia" w:cstheme="minorBidi"/>
                <w:kern w:val="2"/>
                <w:sz w:val="24"/>
                <w:szCs w:val="24"/>
                <w:lang w:val="en-US" w:eastAsia="zh-CN" w:bidi="ar-SA"/>
              </w:rPr>
              <w:t>bölümünden’ ‘</w:t>
            </w:r>
            <w:r>
              <w:rPr>
                <w:rFonts w:hint="default" w:asciiTheme="minorHAnsi" w:hAnsiTheme="minorHAnsi" w:eastAsiaTheme="minorEastAsia" w:cstheme="minorBidi"/>
                <w:b/>
                <w:bCs/>
                <w:kern w:val="2"/>
                <w:sz w:val="24"/>
                <w:szCs w:val="24"/>
                <w:lang w:val="en-US" w:eastAsia="zh-CN" w:bidi="ar-SA"/>
              </w:rPr>
              <w:t>döviz kurları</w:t>
            </w:r>
            <w:r>
              <w:rPr>
                <w:rFonts w:hint="default" w:cstheme="minorBidi"/>
                <w:b/>
                <w:bCs/>
                <w:kern w:val="2"/>
                <w:sz w:val="24"/>
                <w:szCs w:val="24"/>
                <w:lang w:eastAsia="zh-CN" w:bidi="ar-SA"/>
              </w:rPr>
              <w:t>’</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val="0"/>
                <w:bCs w:val="0"/>
                <w:kern w:val="2"/>
                <w:sz w:val="24"/>
                <w:szCs w:val="24"/>
                <w:lang w:val="en-US" w:eastAsia="zh-CN" w:bidi="ar-SA"/>
              </w:rPr>
              <w:t xml:space="preserve">alt bölümünü </w:t>
            </w:r>
            <w:r>
              <w:rPr>
                <w:rFonts w:hint="default" w:asciiTheme="minorHAnsi" w:hAnsiTheme="minorHAnsi" w:eastAsiaTheme="minorEastAsia" w:cstheme="minorBidi"/>
                <w:kern w:val="2"/>
                <w:sz w:val="24"/>
                <w:szCs w:val="24"/>
                <w:lang w:val="en-US" w:eastAsia="zh-CN" w:bidi="ar-SA"/>
              </w:rPr>
              <w:t>oradan da ‘</w:t>
            </w:r>
            <w:r>
              <w:rPr>
                <w:rFonts w:hint="default" w:asciiTheme="minorHAnsi" w:hAnsiTheme="minorHAnsi" w:eastAsiaTheme="minorEastAsia" w:cstheme="minorBidi"/>
                <w:b/>
                <w:bCs/>
                <w:kern w:val="2"/>
                <w:sz w:val="24"/>
                <w:szCs w:val="24"/>
                <w:lang w:val="en-US" w:eastAsia="zh-CN" w:bidi="ar-SA"/>
              </w:rPr>
              <w:t>gösterge niteliğindeki Merkez Bankası kurlarını</w:t>
            </w:r>
            <w:r>
              <w:rPr>
                <w:rFonts w:hint="default" w:asciiTheme="minorHAnsi" w:hAnsiTheme="minorHAnsi" w:eastAsiaTheme="minorEastAsia" w:cstheme="minorBidi"/>
                <w:kern w:val="2"/>
                <w:sz w:val="24"/>
                <w:szCs w:val="24"/>
                <w:lang w:val="en-US" w:eastAsia="zh-CN" w:bidi="ar-SA"/>
              </w:rPr>
              <w:t xml:space="preserve">’ açıp yukarıdaki verilerle aynı tarihi seçerek ‘USD/TL döviz satış kurunu’ </w:t>
            </w:r>
            <w:r>
              <w:rPr>
                <w:rFonts w:hint="default" w:cstheme="minorBidi"/>
                <w:kern w:val="2"/>
                <w:sz w:val="24"/>
                <w:szCs w:val="24"/>
                <w:lang w:eastAsia="zh-CN" w:bidi="ar-SA"/>
              </w:rPr>
              <w:t>dikkate alıyoruz.</w:t>
            </w:r>
          </w:p>
          <w:p>
            <w:pPr>
              <w:rPr>
                <w:rFonts w:hint="default" w:cstheme="minorBidi"/>
                <w:kern w:val="2"/>
                <w:sz w:val="24"/>
                <w:szCs w:val="24"/>
                <w:lang w:eastAsia="zh-CN" w:bidi="ar-SA"/>
              </w:rPr>
            </w:pPr>
          </w:p>
          <w:p>
            <w:pPr>
              <w:rPr>
                <w:rFonts w:hint="default" w:cstheme="minorBidi"/>
                <w:b/>
                <w:bCs/>
                <w:i/>
                <w:iCs/>
                <w:kern w:val="2"/>
                <w:sz w:val="24"/>
                <w:szCs w:val="24"/>
                <w:lang w:val="en-US" w:eastAsia="zh-CN" w:bidi="ar-SA"/>
              </w:rPr>
            </w:pPr>
            <w:r>
              <w:rPr>
                <w:rFonts w:hint="default" w:cstheme="minorBidi"/>
                <w:b/>
                <w:bCs/>
                <w:i/>
                <w:iCs/>
                <w:color w:val="0000FF"/>
                <w:kern w:val="2"/>
                <w:sz w:val="24"/>
                <w:szCs w:val="24"/>
                <w:u w:val="single"/>
                <w:lang w:eastAsia="zh-CN" w:bidi="ar-SA"/>
              </w:rPr>
              <w:t xml:space="preserve">TCMB </w:t>
            </w:r>
            <w:r>
              <w:rPr>
                <w:rFonts w:hint="default" w:asciiTheme="minorHAnsi" w:hAnsiTheme="minorHAnsi" w:eastAsiaTheme="minorEastAsia" w:cstheme="minorBidi"/>
                <w:b/>
                <w:bCs/>
                <w:i/>
                <w:iCs/>
                <w:color w:val="0000FF"/>
                <w:kern w:val="2"/>
                <w:sz w:val="24"/>
                <w:szCs w:val="24"/>
                <w:u w:val="single"/>
                <w:lang w:val="en-US" w:eastAsia="zh-CN" w:bidi="ar-SA"/>
              </w:rPr>
              <w:t>Swap Hariç Net Rezervler</w:t>
            </w:r>
            <w:r>
              <w:rPr>
                <w:rFonts w:hint="default" w:cstheme="minorBidi"/>
                <w:b/>
                <w:bCs/>
                <w:i/>
                <w:iCs/>
                <w:kern w:val="2"/>
                <w:sz w:val="24"/>
                <w:szCs w:val="24"/>
                <w:u w:val="single"/>
                <w:lang w:eastAsia="zh-CN" w:bidi="ar-SA"/>
              </w:rPr>
              <w:t>:</w:t>
            </w:r>
          </w:p>
          <w:p>
            <w:pPr>
              <w:rPr>
                <w:rFonts w:hint="default" w:cstheme="minorBidi"/>
                <w:kern w:val="2"/>
                <w:sz w:val="24"/>
                <w:szCs w:val="24"/>
                <w:lang w:val="en-US" w:eastAsia="zh-CN" w:bidi="ar-SA"/>
              </w:rPr>
            </w:pPr>
          </w:p>
          <w:p>
            <w:pPr>
              <w:rPr>
                <w:rFonts w:hint="default" w:cstheme="minorBidi"/>
                <w:kern w:val="2"/>
                <w:sz w:val="24"/>
                <w:szCs w:val="24"/>
                <w:lang w:eastAsia="zh-CN" w:bidi="ar-SA"/>
              </w:rPr>
            </w:pPr>
            <w:r>
              <w:rPr>
                <w:rFonts w:hint="default" w:cstheme="minorBidi"/>
                <w:kern w:val="2"/>
                <w:sz w:val="24"/>
                <w:szCs w:val="24"/>
                <w:lang w:eastAsia="zh-CN" w:bidi="ar-SA"/>
              </w:rPr>
              <w:t xml:space="preserve">Şimdi de </w:t>
            </w:r>
            <w:r>
              <w:rPr>
                <w:rFonts w:hint="default" w:asciiTheme="minorHAnsi" w:hAnsiTheme="minorHAnsi" w:eastAsiaTheme="minorEastAsia" w:cstheme="minorBidi"/>
                <w:kern w:val="2"/>
                <w:sz w:val="24"/>
                <w:szCs w:val="24"/>
                <w:lang w:val="en-US" w:eastAsia="zh-CN" w:bidi="ar-SA"/>
              </w:rPr>
              <w:t>TCMB Swap Hariç Net Rezervler</w:t>
            </w:r>
            <w:r>
              <w:rPr>
                <w:rFonts w:hint="default" w:cstheme="minorBidi"/>
                <w:kern w:val="2"/>
                <w:sz w:val="24"/>
                <w:szCs w:val="24"/>
                <w:lang w:eastAsia="zh-CN" w:bidi="ar-SA"/>
              </w:rPr>
              <w:t>’i hesaplayalım:</w:t>
            </w:r>
          </w:p>
          <w:p>
            <w:pPr>
              <w:rPr>
                <w:rFonts w:hint="default" w:asciiTheme="minorHAnsi" w:hAnsiTheme="minorHAnsi" w:eastAsiaTheme="minorEastAsia" w:cstheme="minorBidi"/>
                <w:kern w:val="2"/>
                <w:sz w:val="24"/>
                <w:szCs w:val="24"/>
                <w:lang w:val="en-US" w:eastAsia="zh-CN" w:bidi="ar-SA"/>
              </w:rPr>
            </w:pPr>
          </w:p>
          <w:p>
            <w:pPr>
              <w:rPr>
                <w:rFonts w:hint="default" w:cstheme="minorBidi"/>
                <w:b/>
                <w:bCs/>
                <w:kern w:val="2"/>
                <w:sz w:val="24"/>
                <w:szCs w:val="24"/>
                <w:lang w:eastAsia="zh-CN" w:bidi="ar-SA"/>
              </w:rPr>
            </w:pPr>
            <w:r>
              <w:rPr>
                <w:rFonts w:hint="default" w:asciiTheme="minorHAnsi" w:hAnsiTheme="minorHAnsi" w:eastAsiaTheme="minorEastAsia" w:cstheme="minorBidi"/>
                <w:b/>
                <w:bCs/>
                <w:kern w:val="2"/>
                <w:sz w:val="24"/>
                <w:szCs w:val="24"/>
                <w:lang w:val="en-US" w:eastAsia="zh-CN" w:bidi="ar-SA"/>
              </w:rPr>
              <w:t xml:space="preserve">TCMB Swap Hariç Net Rezervler = TCMB Net Rezervleri – </w:t>
            </w:r>
            <w:r>
              <w:rPr>
                <w:rFonts w:hint="default" w:cstheme="minorBidi"/>
                <w:b/>
                <w:bCs/>
                <w:kern w:val="2"/>
                <w:sz w:val="24"/>
                <w:szCs w:val="24"/>
                <w:lang w:eastAsia="zh-CN" w:bidi="ar-SA"/>
              </w:rPr>
              <w:t>Swap Toplamı</w:t>
            </w:r>
          </w:p>
          <w:p>
            <w:pPr>
              <w:rPr>
                <w:rFonts w:hint="default" w:cstheme="minorBidi"/>
                <w:b/>
                <w:bCs/>
                <w:kern w:val="2"/>
                <w:sz w:val="24"/>
                <w:szCs w:val="24"/>
                <w:lang w:eastAsia="zh-CN" w:bidi="ar-SA"/>
              </w:rPr>
            </w:pPr>
          </w:p>
          <w:p>
            <w:pPr>
              <w:rPr>
                <w:rFonts w:hint="default" w:cstheme="minorBidi"/>
                <w:b/>
                <w:bCs/>
                <w:kern w:val="2"/>
                <w:sz w:val="24"/>
                <w:szCs w:val="24"/>
                <w:lang w:eastAsia="zh-CN" w:bidi="ar-SA"/>
              </w:rPr>
            </w:pPr>
            <w:r>
              <w:rPr>
                <w:rFonts w:hint="default" w:cstheme="minorBidi"/>
                <w:b/>
                <w:bCs/>
                <w:kern w:val="2"/>
                <w:sz w:val="24"/>
                <w:szCs w:val="24"/>
                <w:lang w:eastAsia="zh-CN" w:bidi="ar-SA"/>
              </w:rPr>
              <w:t>Swap Toplamı= Döviz Swap Toplamı + Altın Swap Toplamı</w:t>
            </w:r>
          </w:p>
          <w:p>
            <w:pPr>
              <w:rPr>
                <w:rFonts w:hint="default" w:cstheme="minorBidi"/>
                <w:b/>
                <w:bCs/>
                <w:kern w:val="2"/>
                <w:sz w:val="24"/>
                <w:szCs w:val="24"/>
                <w:lang w:eastAsia="zh-CN" w:bidi="ar-SA"/>
              </w:rPr>
            </w:pPr>
          </w:p>
          <w:p>
            <w:pPr>
              <w:rPr>
                <w:rFonts w:hint="default" w:cstheme="minorBidi"/>
                <w:b/>
                <w:bCs/>
                <w:kern w:val="2"/>
                <w:sz w:val="24"/>
                <w:szCs w:val="24"/>
                <w:lang w:eastAsia="zh-CN" w:bidi="ar-SA"/>
              </w:rPr>
            </w:pPr>
          </w:p>
          <w:p>
            <w:pPr>
              <w:rPr>
                <w:rFonts w:hint="default" w:cstheme="minorBidi"/>
                <w:kern w:val="2"/>
                <w:sz w:val="24"/>
                <w:szCs w:val="24"/>
                <w:lang w:eastAsia="zh-CN" w:bidi="ar-SA"/>
              </w:rPr>
            </w:pPr>
            <w:r>
              <w:rPr>
                <w:rFonts w:hint="default" w:cstheme="minorBidi"/>
                <w:kern w:val="2"/>
                <w:sz w:val="24"/>
                <w:szCs w:val="24"/>
                <w:lang w:eastAsia="zh-CN" w:bidi="ar-SA"/>
              </w:rPr>
              <w:t xml:space="preserve">Döviz </w:t>
            </w:r>
            <w:r>
              <w:rPr>
                <w:rFonts w:hint="default" w:asciiTheme="minorHAnsi" w:hAnsiTheme="minorHAnsi" w:eastAsiaTheme="minorEastAsia" w:cstheme="minorBidi"/>
                <w:kern w:val="2"/>
                <w:sz w:val="24"/>
                <w:szCs w:val="24"/>
                <w:lang w:val="en-US" w:eastAsia="zh-CN" w:bidi="ar-SA"/>
              </w:rPr>
              <w:t>Swap miktarını bulabilmek için TCMB sitesinde ‘istatistikler bölümünün’ ‘</w:t>
            </w:r>
            <w:r>
              <w:rPr>
                <w:rFonts w:hint="default" w:asciiTheme="minorHAnsi" w:hAnsiTheme="minorHAnsi" w:eastAsiaTheme="minorEastAsia" w:cstheme="minorBidi"/>
                <w:b/>
                <w:bCs/>
                <w:kern w:val="2"/>
                <w:sz w:val="24"/>
                <w:szCs w:val="24"/>
                <w:lang w:val="en-US" w:eastAsia="zh-CN" w:bidi="ar-SA"/>
              </w:rPr>
              <w:t>ödemeler dengesi ve ilgili istatistikler</w:t>
            </w:r>
            <w:r>
              <w:rPr>
                <w:rFonts w:hint="default" w:asciiTheme="minorHAnsi" w:hAnsiTheme="minorHAnsi" w:eastAsiaTheme="minorEastAsia" w:cstheme="minorBidi"/>
                <w:kern w:val="2"/>
                <w:sz w:val="24"/>
                <w:szCs w:val="24"/>
                <w:lang w:val="en-US" w:eastAsia="zh-CN" w:bidi="ar-SA"/>
              </w:rPr>
              <w:t>’ alt bölümünde oradan da ‘</w:t>
            </w:r>
            <w:r>
              <w:rPr>
                <w:rFonts w:hint="default" w:asciiTheme="minorHAnsi" w:hAnsiTheme="minorHAnsi" w:eastAsiaTheme="minorEastAsia" w:cstheme="minorBidi"/>
                <w:b/>
                <w:bCs/>
                <w:kern w:val="2"/>
                <w:sz w:val="24"/>
                <w:szCs w:val="24"/>
                <w:lang w:val="en-US" w:eastAsia="zh-CN" w:bidi="ar-SA"/>
              </w:rPr>
              <w:t>uluslararası rezervler ve döviz likiditesi</w:t>
            </w:r>
            <w:r>
              <w:rPr>
                <w:rFonts w:hint="default" w:asciiTheme="minorHAnsi" w:hAnsiTheme="minorHAnsi" w:eastAsiaTheme="minorEastAsia" w:cstheme="minorBidi"/>
                <w:kern w:val="2"/>
                <w:sz w:val="24"/>
                <w:szCs w:val="24"/>
                <w:lang w:val="en-US" w:eastAsia="zh-CN" w:bidi="ar-SA"/>
              </w:rPr>
              <w:t xml:space="preserve">’ alt bölümünü açarak ‘II numaralı </w:t>
            </w:r>
            <w:r>
              <w:rPr>
                <w:rFonts w:hint="default" w:asciiTheme="minorHAnsi" w:hAnsiTheme="minorHAnsi" w:eastAsiaTheme="minorEastAsia" w:cstheme="minorBidi"/>
                <w:b/>
                <w:bCs/>
                <w:kern w:val="2"/>
                <w:sz w:val="24"/>
                <w:szCs w:val="24"/>
                <w:lang w:val="en-US" w:eastAsia="zh-CN" w:bidi="ar-SA"/>
              </w:rPr>
              <w:t>döviz varlıklarından önceden belirlenmiş kısa dönem net çıkışlar</w:t>
            </w:r>
            <w:r>
              <w:rPr>
                <w:rFonts w:hint="default" w:asciiTheme="minorHAnsi" w:hAnsiTheme="minorHAnsi" w:eastAsiaTheme="minorEastAsia" w:cstheme="minorBidi"/>
                <w:kern w:val="2"/>
                <w:sz w:val="24"/>
                <w:szCs w:val="24"/>
                <w:lang w:val="en-US" w:eastAsia="zh-CN" w:bidi="ar-SA"/>
              </w:rPr>
              <w:t xml:space="preserve"> (nominal değer)’ tablosunun </w:t>
            </w:r>
            <w:r>
              <w:rPr>
                <w:rFonts w:hint="default" w:asciiTheme="minorHAnsi" w:hAnsiTheme="minorHAnsi" w:eastAsiaTheme="minorEastAsia" w:cstheme="minorBidi"/>
                <w:b/>
                <w:bCs/>
                <w:kern w:val="2"/>
                <w:sz w:val="24"/>
                <w:szCs w:val="24"/>
                <w:lang w:val="en-US" w:eastAsia="zh-CN" w:bidi="ar-SA"/>
              </w:rPr>
              <w:t>2. sıra numaralı</w:t>
            </w:r>
            <w:r>
              <w:rPr>
                <w:rFonts w:hint="default" w:asciiTheme="minorHAnsi" w:hAnsiTheme="minorHAnsi" w:eastAsiaTheme="minorEastAsia" w:cstheme="minorBidi"/>
                <w:kern w:val="2"/>
                <w:sz w:val="24"/>
                <w:szCs w:val="24"/>
                <w:lang w:val="en-US" w:eastAsia="zh-CN" w:bidi="ar-SA"/>
              </w:rPr>
              <w:t xml:space="preserve"> satırındaki verilere bakmamız gerekiyor.</w:t>
            </w:r>
            <w:r>
              <w:rPr>
                <w:rFonts w:hint="default" w:cstheme="minorBidi"/>
                <w:kern w:val="2"/>
                <w:sz w:val="24"/>
                <w:szCs w:val="24"/>
                <w:lang w:eastAsia="zh-CN" w:bidi="ar-SA"/>
              </w:rPr>
              <w:t xml:space="preserve"> (Yurtiçi para karşılığında döviz forward ve future’ların toplam açık ve fazla pozisyon büyüklükleri) II.2.a </w:t>
            </w:r>
          </w:p>
          <w:p>
            <w:pPr>
              <w:rPr>
                <w:rFonts w:hint="default" w:cstheme="minorBidi"/>
                <w:kern w:val="2"/>
                <w:sz w:val="24"/>
                <w:szCs w:val="24"/>
                <w:lang w:eastAsia="zh-CN" w:bidi="ar-SA"/>
              </w:rPr>
            </w:pPr>
          </w:p>
          <w:p>
            <w:pPr>
              <w:rPr>
                <w:rFonts w:hint="default" w:cstheme="minorBidi"/>
                <w:kern w:val="2"/>
                <w:sz w:val="24"/>
                <w:szCs w:val="24"/>
                <w:lang w:eastAsia="zh-CN" w:bidi="ar-SA"/>
              </w:rPr>
            </w:pPr>
            <w:r>
              <w:rPr>
                <w:rFonts w:hint="default" w:cstheme="minorBidi"/>
                <w:kern w:val="2"/>
                <w:sz w:val="24"/>
                <w:szCs w:val="24"/>
                <w:lang w:eastAsia="zh-CN" w:bidi="ar-SA"/>
              </w:rPr>
              <w:t>Altın Swap Toplamı için ise, 3 numaralı ‘Diğer’ hesabına bakmamız gerekiyor.</w:t>
            </w:r>
          </w:p>
          <w:p>
            <w:pPr>
              <w:rPr>
                <w:rFonts w:hint="default" w:cstheme="minorBidi"/>
                <w:kern w:val="2"/>
                <w:sz w:val="24"/>
                <w:szCs w:val="24"/>
                <w:lang w:eastAsia="zh-CN" w:bidi="ar-SA"/>
              </w:rPr>
            </w:pPr>
          </w:p>
          <w:p>
            <w:pPr>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fldChar w:fldCharType="begin"/>
            </w:r>
            <w:r>
              <w:rPr>
                <w:rFonts w:hint="default" w:asciiTheme="minorHAnsi" w:hAnsiTheme="minorHAnsi" w:eastAsiaTheme="minorEastAsia" w:cstheme="minorBidi"/>
                <w:kern w:val="2"/>
                <w:sz w:val="24"/>
                <w:szCs w:val="24"/>
                <w:lang w:val="en-US" w:eastAsia="zh-CN" w:bidi="ar-SA"/>
              </w:rPr>
              <w:instrText xml:space="preserve"> HYPERLINK "https://evds2.tcmb.gov.tr/index.php?/evds/serieMarket/collapse_18/5092/DataGroup/turkish/bie_ulusdovlkd/" </w:instrText>
            </w:r>
            <w:r>
              <w:rPr>
                <w:rFonts w:hint="default" w:asciiTheme="minorHAnsi" w:hAnsiTheme="minorHAnsi" w:eastAsiaTheme="minorEastAsia" w:cstheme="minorBidi"/>
                <w:kern w:val="2"/>
                <w:sz w:val="24"/>
                <w:szCs w:val="24"/>
                <w:lang w:val="en-US" w:eastAsia="zh-CN" w:bidi="ar-SA"/>
              </w:rPr>
              <w:fldChar w:fldCharType="separate"/>
            </w:r>
            <w:r>
              <w:rPr>
                <w:rStyle w:val="4"/>
                <w:rFonts w:hint="default" w:asciiTheme="minorHAnsi" w:hAnsiTheme="minorHAnsi" w:eastAsiaTheme="minorEastAsia" w:cstheme="minorBidi"/>
                <w:kern w:val="2"/>
                <w:sz w:val="24"/>
                <w:szCs w:val="24"/>
                <w:lang w:val="en-US" w:eastAsia="zh-CN" w:bidi="ar-SA"/>
              </w:rPr>
              <w:t>https://evds2.tcmb.gov.tr/index.php?/evds/serieMarket/collapse_18/5092/DataGroup/turkish/bie_ulusdovlkd/</w:t>
            </w:r>
            <w:r>
              <w:rPr>
                <w:rFonts w:hint="default" w:asciiTheme="minorHAnsi" w:hAnsiTheme="minorHAnsi" w:eastAsiaTheme="minorEastAsia" w:cstheme="minorBidi"/>
                <w:kern w:val="2"/>
                <w:sz w:val="24"/>
                <w:szCs w:val="24"/>
                <w:lang w:val="en-US" w:eastAsia="zh-CN" w:bidi="ar-SA"/>
              </w:rPr>
              <w:fldChar w:fldCharType="end"/>
            </w:r>
          </w:p>
          <w:p>
            <w:pPr>
              <w:rPr>
                <w:rFonts w:hint="default" w:asciiTheme="minorHAnsi" w:hAnsiTheme="minorHAnsi" w:eastAsiaTheme="minorEastAsia" w:cstheme="minorBidi"/>
                <w:kern w:val="2"/>
                <w:sz w:val="24"/>
                <w:szCs w:val="24"/>
                <w:lang w:val="en-US" w:eastAsia="zh-CN" w:bidi="ar-SA"/>
              </w:rPr>
            </w:pPr>
          </w:p>
          <w:p>
            <w:pPr>
              <w:rPr>
                <w:rFonts w:hint="default" w:cstheme="minorBidi"/>
                <w:i/>
                <w:iCs/>
                <w:kern w:val="2"/>
                <w:sz w:val="20"/>
                <w:szCs w:val="20"/>
                <w:lang w:eastAsia="zh-CN" w:bidi="ar-SA"/>
              </w:rPr>
            </w:pPr>
            <w:r>
              <w:rPr>
                <w:rFonts w:hint="default" w:ascii="SimSun" w:hAnsi="SimSun" w:eastAsia="SimSun" w:cs="SimSun"/>
                <w:color w:val="0000FF"/>
                <w:kern w:val="0"/>
                <w:sz w:val="24"/>
                <w:szCs w:val="24"/>
                <w:lang w:eastAsia="zh-CN" w:bidi="ar"/>
              </w:rPr>
              <w:t>Baktım ama ben hesaplayamadım. Altın swapı olduğuna dair bir açıklama yok 3’ün altındakilerde..</w:t>
            </w:r>
            <w:r>
              <w:rPr>
                <w:rFonts w:ascii="SimSun" w:hAnsi="SimSun" w:eastAsia="SimSun" w:cs="SimSun"/>
                <w:kern w:val="0"/>
                <w:sz w:val="24"/>
                <w:szCs w:val="24"/>
                <w:lang w:val="en-US" w:eastAsia="zh-CN" w:bidi="ar"/>
              </w:rPr>
              <w:br w:type="textWrapping"/>
            </w:r>
          </w:p>
          <w:p>
            <w:pPr>
              <w:widowControl w:val="0"/>
              <w:numPr>
                <w:ilvl w:val="0"/>
                <w:numId w:val="0"/>
              </w:numPr>
              <w:jc w:val="both"/>
              <w:rPr>
                <w:rFonts w:hint="default"/>
                <w:b/>
                <w:bCs/>
              </w:rPr>
            </w:pPr>
          </w:p>
        </w:tc>
      </w:tr>
    </w:tbl>
    <w:p>
      <w:pPr>
        <w:rPr>
          <w:rFonts w:hint="default"/>
          <w:b/>
          <w:bCs/>
        </w:rPr>
      </w:pPr>
    </w:p>
    <w:p>
      <w:pPr>
        <w:widowControl w:val="0"/>
        <w:numPr>
          <w:ilvl w:val="0"/>
          <w:numId w:val="0"/>
        </w:numPr>
        <w:jc w:val="both"/>
        <w:rPr>
          <w:rFonts w:hint="default"/>
          <w:b/>
          <w:bCs/>
        </w:rPr>
      </w:pPr>
      <w:r>
        <w:rPr>
          <w:rFonts w:hint="default"/>
          <w:b/>
          <w:bCs/>
        </w:rPr>
        <w:t>MB verileri data seti kullanılarak hesapladığım MB net rezervleri ile swap hariç net rezervleri bilgileri ışığında;</w:t>
      </w:r>
    </w:p>
    <w:p>
      <w:pPr>
        <w:widowControl w:val="0"/>
        <w:numPr>
          <w:ilvl w:val="0"/>
          <w:numId w:val="0"/>
        </w:numPr>
        <w:jc w:val="both"/>
        <w:rPr>
          <w:rFonts w:hint="default"/>
          <w:b/>
          <w:bCs/>
        </w:rPr>
      </w:pPr>
    </w:p>
    <w:p>
      <w:pPr>
        <w:rPr>
          <w:rFonts w:hint="default"/>
        </w:rPr>
      </w:pPr>
      <w:r>
        <w:t>-İ</w:t>
      </w:r>
      <w:r>
        <w:rPr>
          <w:rFonts w:hint="default"/>
        </w:rPr>
        <w:t>lk olarak TCMB Swap işlemlerine 2016 yılının Kasım ayında 291 milyon $ tutarındaki  4-11 yıl vadeli uzun vadeli swap işlemiyle başlanmıştır.</w:t>
      </w:r>
    </w:p>
    <w:p>
      <w:pPr>
        <w:rPr>
          <w:rFonts w:hint="default"/>
        </w:rPr>
      </w:pPr>
    </w:p>
    <w:p>
      <w:r>
        <w:rPr>
          <w:rFonts w:hint="default"/>
        </w:rPr>
        <w:t>-K</w:t>
      </w:r>
      <w:r>
        <w:t xml:space="preserve">ısa vadeli swaplara ise ağırlıklı olarak 2018 Kasımda başlanmış olup, </w:t>
      </w:r>
      <w:r>
        <w:rPr>
          <w:highlight w:val="cyan"/>
        </w:rPr>
        <w:t xml:space="preserve">swap hariç net rezervlerimizi negatife dönüştüren </w:t>
      </w:r>
      <w:r>
        <w:t>yüksek tutarlı swapların başlangıcı ise 2019 Mart ayına denk gelmektedir.</w:t>
      </w:r>
    </w:p>
    <w:p>
      <w:pPr>
        <w:rPr>
          <w:rFonts w:hint="default"/>
        </w:rPr>
      </w:pPr>
    </w:p>
    <w:p>
      <w:r>
        <w:rPr>
          <w:rFonts w:hint="default"/>
        </w:rPr>
        <w:t xml:space="preserve">-Swap işlemleri 2018 kur krizinden sonra artmaya başlasa da, </w:t>
      </w:r>
      <w:r>
        <w:t xml:space="preserve">2019 Mart ayından önce ağırlıklı yapılan, kısa vadeli ve net rezervleri </w:t>
      </w:r>
      <w:r>
        <w:rPr>
          <w:highlight w:val="cyan"/>
        </w:rPr>
        <w:t xml:space="preserve">eksiye dönüştürecek </w:t>
      </w:r>
      <w:r>
        <w:t xml:space="preserve">yoğunlukta bir swap uygulaması bulunmamaktadır. </w:t>
      </w:r>
    </w:p>
    <w:p/>
    <w:p>
      <w:r>
        <w:t xml:space="preserve">-İlk önemli büyüklükteki </w:t>
      </w:r>
      <w:r>
        <w:rPr>
          <w:rFonts w:hint="default"/>
        </w:rPr>
        <w:t xml:space="preserve">/13,055 milyon $ tutarında) </w:t>
      </w:r>
      <w:r>
        <w:t xml:space="preserve">swap anlaşması </w:t>
      </w:r>
      <w:r>
        <w:rPr>
          <w:b/>
          <w:bCs/>
        </w:rPr>
        <w:t>2019 Mart</w:t>
      </w:r>
      <w:r>
        <w:t xml:space="preserve"> ayında</w:t>
      </w:r>
      <w:r>
        <w:rPr>
          <w:rFonts w:hint="default"/>
        </w:rPr>
        <w:t xml:space="preserve"> </w:t>
      </w:r>
      <w:r>
        <w:t>gerçekleşmiş</w:t>
      </w:r>
      <w:r>
        <w:rPr>
          <w:rFonts w:hint="default"/>
        </w:rPr>
        <w:t>tir</w:t>
      </w:r>
      <w:r>
        <w:t xml:space="preserve">. (Aynı zamanda Mart 2019-Londra Swap piyasasında TL takas limiti kısıtlaması ile kuru tutulmaya çalışıldığı döneme de denk geliyor). </w:t>
      </w:r>
    </w:p>
    <w:p/>
    <w:p>
      <w:r>
        <w:t>-2020 yılında, pandeminin başlamasından itibaren de swap anlaşmaları hız kazan</w:t>
      </w:r>
      <w:r>
        <w:rPr>
          <w:rFonts w:hint="default"/>
        </w:rPr>
        <w:t>mış görünmektedir</w:t>
      </w:r>
      <w:r>
        <w:t xml:space="preserve">. </w:t>
      </w:r>
      <w:r>
        <w:rPr>
          <w:rFonts w:hint="default"/>
        </w:rPr>
        <w:t>2020 yılının b</w:t>
      </w:r>
      <w:r>
        <w:t>ahar aylarından itibaren swap tutarlarında önemli sıçramalar gözlen</w:t>
      </w:r>
      <w:r>
        <w:rPr>
          <w:rFonts w:hint="default"/>
        </w:rPr>
        <w:t>miştir</w:t>
      </w:r>
      <w:r>
        <w:t>.</w:t>
      </w:r>
    </w:p>
    <w:p>
      <w:pPr>
        <w:rPr>
          <w:rFonts w:hint="default"/>
        </w:rPr>
      </w:pPr>
    </w:p>
    <w:p>
      <w:pPr>
        <w:rPr>
          <w:rFonts w:hint="default"/>
        </w:rPr>
      </w:pPr>
    </w:p>
    <w:p>
      <w:pPr>
        <w:widowControl w:val="0"/>
        <w:numPr>
          <w:ilvl w:val="0"/>
          <w:numId w:val="0"/>
        </w:numPr>
        <w:jc w:val="both"/>
        <w:rPr>
          <w:rFonts w:hint="default"/>
          <w:b/>
          <w:bCs/>
        </w:rPr>
      </w:pPr>
      <w:r>
        <w:rPr>
          <w:rFonts w:hint="default"/>
          <w:b/>
          <w:bCs/>
        </w:rPr>
        <w:t>Aşağıdaki grafik, 2018 yılından itibaren, TCMB Net Rezerv ve Swap Hariç Net Rezerv Rakamlarını göstermektedir.</w:t>
      </w:r>
    </w:p>
    <w:p>
      <w:pPr>
        <w:rPr>
          <w:rFonts w:hint="default"/>
        </w:rPr>
      </w:pPr>
    </w:p>
    <w:p>
      <w:pPr>
        <w:widowControl w:val="0"/>
        <w:numPr>
          <w:ilvl w:val="0"/>
          <w:numId w:val="0"/>
        </w:numPr>
        <w:jc w:val="both"/>
        <w:rPr>
          <w:rFonts w:hint="default"/>
          <w:b/>
          <w:bCs/>
        </w:rPr>
      </w:pPr>
    </w:p>
    <w:p>
      <w:pPr>
        <w:numPr>
          <w:ilvl w:val="0"/>
          <w:numId w:val="0"/>
        </w:numPr>
      </w:pPr>
      <w:r>
        <w:drawing>
          <wp:inline distT="0" distB="0" distL="114300" distR="114300">
            <wp:extent cx="5270500" cy="3144520"/>
            <wp:effectExtent l="0" t="0" r="12700" b="508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4"/>
                    <a:stretch>
                      <a:fillRect/>
                    </a:stretch>
                  </pic:blipFill>
                  <pic:spPr>
                    <a:xfrm>
                      <a:off x="0" y="0"/>
                      <a:ext cx="5270500" cy="3144520"/>
                    </a:xfrm>
                    <a:prstGeom prst="rect">
                      <a:avLst/>
                    </a:prstGeom>
                    <a:noFill/>
                    <a:ln w="9525">
                      <a:noFill/>
                    </a:ln>
                  </pic:spPr>
                </pic:pic>
              </a:graphicData>
            </a:graphic>
          </wp:inline>
        </w:drawing>
      </w:r>
    </w:p>
    <w:p>
      <w:pPr>
        <w:numPr>
          <w:ilvl w:val="0"/>
          <w:numId w:val="0"/>
        </w:numPr>
      </w:pPr>
    </w:p>
    <w:p>
      <w:pPr>
        <w:numPr>
          <w:ilvl w:val="0"/>
          <w:numId w:val="0"/>
        </w:numPr>
      </w:pPr>
    </w:p>
    <w:p>
      <w:pPr>
        <w:rPr>
          <w:rFonts w:hint="default"/>
          <w:color w:val="0000FF"/>
        </w:rPr>
      </w:pPr>
      <w:r>
        <w:rPr>
          <w:rFonts w:hint="default"/>
          <w:color w:val="0000FF"/>
        </w:rPr>
        <w:t>(Örneğin</w:t>
      </w:r>
      <w:r>
        <w:rPr>
          <w:color w:val="0000FF"/>
        </w:rPr>
        <w:t xml:space="preserve">, 2022 yılı Ocak ayı için, </w:t>
      </w:r>
      <w:r>
        <w:rPr>
          <w:rFonts w:hint="default"/>
          <w:color w:val="0000FF"/>
        </w:rPr>
        <w:t>‘Merkez Bankası'nın net rezervi 7,5 milyar dolara geriledi. Swap hariç net rezerv ise eksi 56,9 milyar dolar olarak açıklandı.’ deniliyor. Benim hesaplamalarıma göre, 4,3 milyar dolar net rezerv var. Swap hariç net rezerv ise 59,3 milyar dolar)</w:t>
      </w:r>
    </w:p>
    <w:p>
      <w:pPr>
        <w:rPr>
          <w:rFonts w:hint="default"/>
          <w:color w:val="0000FF"/>
        </w:rPr>
      </w:pPr>
    </w:p>
    <w:p>
      <w:r>
        <w:rPr>
          <w:rFonts w:hint="default"/>
        </w:rPr>
        <w:t>‘</w:t>
      </w:r>
      <w:r>
        <w:t>Swap Hariç Net Rezerv</w:t>
      </w:r>
      <w:r>
        <w:rPr>
          <w:rFonts w:hint="default"/>
        </w:rPr>
        <w:t>’</w:t>
      </w:r>
      <w:r>
        <w:t xml:space="preserve"> ilk defa 2019 Mart ayında negatife dönüşerek, - 9.567 milyon $ civarında gerçekleşmiştir. </w:t>
      </w:r>
      <w:r>
        <w:rPr>
          <w:b/>
          <w:bCs/>
        </w:rPr>
        <w:t>2019 Mart ayından itibaren swap hariç net rezerv bir daha pozitife dönmemiştir.</w:t>
      </w:r>
    </w:p>
    <w:p/>
    <w:p>
      <w:r>
        <w:t>2020 Mart ayında (COVİD Pandemisinin başlaması) ise, Swap işlemlerinde yeniden bir artış gözlenmektedir. Bu durum bize, Swap işlemlerinin kaynak bularak, kuru tutma politikasının temel enstrümanı haline geldiğini göstermektedir.</w:t>
      </w:r>
    </w:p>
    <w:p/>
    <w:p>
      <w:r>
        <w:rPr>
          <w:rFonts w:hint="default"/>
        </w:rPr>
        <w:t>‘</w:t>
      </w:r>
      <w:r>
        <w:t>Swap Hariç Net Rezerv</w:t>
      </w:r>
      <w:r>
        <w:rPr>
          <w:rFonts w:hint="default"/>
        </w:rPr>
        <w:t xml:space="preserve">’, </w:t>
      </w:r>
      <w:r>
        <w:t>2020 Ekim ayında -39.965 milyon $ seviyesiyle en düşük seviyesinde gerçekleşmiştir. 2020 yıl</w:t>
      </w:r>
      <w:r>
        <w:rPr>
          <w:rFonts w:hint="default"/>
        </w:rPr>
        <w:t xml:space="preserve"> sonu itibariyle</w:t>
      </w:r>
      <w:r>
        <w:t xml:space="preserve">, swap işlemlerine bir ölçüde fren getirildiğini söylemek mümkün olmakla beraber uygulama devam etmiştir. </w:t>
      </w:r>
    </w:p>
    <w:p/>
    <w:p>
      <w:r>
        <w:rPr>
          <w:b/>
          <w:bCs/>
        </w:rPr>
        <w:t xml:space="preserve">2022 </w:t>
      </w:r>
      <w:r>
        <w:rPr>
          <w:rFonts w:hint="default"/>
          <w:b/>
          <w:bCs/>
        </w:rPr>
        <w:t xml:space="preserve">Mart-Nisan-Mayıs </w:t>
      </w:r>
      <w:r>
        <w:rPr>
          <w:b/>
          <w:bCs/>
        </w:rPr>
        <w:t>ay</w:t>
      </w:r>
      <w:r>
        <w:rPr>
          <w:rFonts w:hint="default"/>
          <w:b/>
          <w:bCs/>
        </w:rPr>
        <w:t>ları</w:t>
      </w:r>
      <w:r>
        <w:rPr>
          <w:b/>
          <w:bCs/>
        </w:rPr>
        <w:t xml:space="preserve"> itibariyle</w:t>
      </w:r>
      <w:r>
        <w:rPr>
          <w:rFonts w:hint="default"/>
          <w:b/>
          <w:bCs/>
        </w:rPr>
        <w:t xml:space="preserve"> </w:t>
      </w:r>
      <w:r>
        <w:rPr>
          <w:b/>
          <w:bCs/>
        </w:rPr>
        <w:t xml:space="preserve">TCMB </w:t>
      </w:r>
      <w:r>
        <w:rPr>
          <w:rFonts w:hint="default"/>
          <w:b/>
          <w:bCs/>
        </w:rPr>
        <w:t xml:space="preserve">swap hariç net </w:t>
      </w:r>
      <w:r>
        <w:rPr>
          <w:b/>
          <w:bCs/>
        </w:rPr>
        <w:t>rezervlerinin -5</w:t>
      </w:r>
      <w:r>
        <w:rPr>
          <w:rFonts w:hint="default"/>
          <w:b/>
          <w:bCs/>
        </w:rPr>
        <w:t xml:space="preserve">0 </w:t>
      </w:r>
      <w:r>
        <w:rPr>
          <w:b/>
          <w:bCs/>
        </w:rPr>
        <w:t>mil</w:t>
      </w:r>
      <w:r>
        <w:rPr>
          <w:rFonts w:hint="default"/>
          <w:b/>
          <w:bCs/>
        </w:rPr>
        <w:t>yar</w:t>
      </w:r>
      <w:r>
        <w:rPr>
          <w:b/>
          <w:bCs/>
        </w:rPr>
        <w:t xml:space="preserve"> $ </w:t>
      </w:r>
      <w:r>
        <w:rPr>
          <w:rFonts w:hint="default"/>
          <w:b/>
          <w:bCs/>
        </w:rPr>
        <w:t xml:space="preserve">civarında </w:t>
      </w:r>
      <w:r>
        <w:rPr>
          <w:b/>
          <w:bCs/>
        </w:rPr>
        <w:t>olduğu</w:t>
      </w:r>
      <w:r>
        <w:rPr>
          <w:rFonts w:hint="default"/>
          <w:b/>
          <w:bCs/>
        </w:rPr>
        <w:t xml:space="preserve"> </w:t>
      </w:r>
      <w:r>
        <w:rPr>
          <w:b/>
          <w:bCs/>
        </w:rPr>
        <w:t>anlaşılmaktadır.</w:t>
      </w:r>
    </w:p>
    <w:p>
      <w:pPr>
        <w:numPr>
          <w:ilvl w:val="0"/>
          <w:numId w:val="0"/>
        </w:numPr>
        <w:rPr>
          <w:rFonts w:hint="default"/>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Robot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7D4BDF"/>
    <w:rsid w:val="4C7D4BDF"/>
    <w:rsid w:val="6D7DD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1.bp.blogspot.com/-g7-7W3llaqU/XLlx4BoL1mI/AAAAAAAAZYA/orEdWo_rTwEg-D3R924-pBA-M5g4HKb5wCLcBGAs/s1600/Ekran+Al&#305;nt&#305;s&#305;.PNG" TargetMode="External"/><Relationship Id="rId7" Type="http://schemas.openxmlformats.org/officeDocument/2006/relationships/image" Target="media/image2.png"/><Relationship Id="rId6" Type="http://schemas.openxmlformats.org/officeDocument/2006/relationships/hyperlink" Target="https://blogger.googleusercontent.com/img/a/AVvXsEiaRTJknxAoQvdalxd6z6U2FL8LTIB9qvWoemtHdtpxOFTfVUPeIfq8vt7ok5uQ4lrzjBWLggmqD01mbC4fVbUs5Y_Zx4vBBCLYvyVd8GFPvx_uYdMP9FZcePyMM-uHNY1AIJgw150wsEzj9E5zSMFF-TiSng14qICF5sY5cvhqOlPggORffzTeXXet" TargetMode="Externa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Users/merthan/Desktop/Doviz_Yuk%20ve%20MB_rezerv/Net%20Do&#776;viz%20Pozisyon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cap="none" spc="20" baseline="0">
                <a:solidFill>
                  <a:schemeClr val="dk1">
                    <a:lumMod val="50000"/>
                    <a:lumOff val="50000"/>
                  </a:schemeClr>
                </a:solidFill>
                <a:latin typeface="+mn-lt"/>
                <a:ea typeface="+mn-ea"/>
                <a:cs typeface="+mn-cs"/>
              </a:defRPr>
            </a:pPr>
            <a:r>
              <a:t>Net Exchange Position</a:t>
            </a:r>
            <a:r>
              <a:rPr lang="tr-TR" altLang="en-US"/>
              <a:t> (million dollar)</a:t>
            </a:r>
            <a:endParaRPr lang="tr-TR" altLang="en-US"/>
          </a:p>
        </c:rich>
      </c:tx>
      <c:layout/>
      <c:overlay val="0"/>
      <c:spPr>
        <a:noFill/>
        <a:ln>
          <a:noFill/>
        </a:ln>
        <a:effectLst/>
      </c:spPr>
    </c:title>
    <c:autoTitleDeleted val="0"/>
    <c:plotArea>
      <c:layout/>
      <c:lineChart>
        <c:grouping val="stacked"/>
        <c:varyColors val="0"/>
        <c:ser>
          <c:idx val="0"/>
          <c:order val="0"/>
          <c:tx>
            <c:strRef>
              <c:f>'[Net Döviz Pozisyonu.xlsx]Sheet3'!$B$1</c:f>
              <c:strCache>
                <c:ptCount val="1"/>
                <c:pt idx="0">
                  <c:v>Net Exchange Position</c:v>
                </c:pt>
              </c:strCache>
            </c:strRef>
          </c:tx>
          <c:spPr>
            <a:ln w="22225" cap="rnd" cmpd="sng" algn="ctr">
              <a:solidFill>
                <a:schemeClr val="accent1"/>
              </a:solidFill>
              <a:round/>
            </a:ln>
            <a:effectLst/>
          </c:spPr>
          <c:marker>
            <c:symbol val="none"/>
          </c:marker>
          <c:dLbls>
            <c:delete val="1"/>
          </c:dLbls>
          <c:cat>
            <c:strRef>
              <c:f>'[Net Döviz Pozisyonu.xlsx]Sheet3'!$A$2:$A$151</c:f>
              <c:strCache>
                <c:ptCount val="150"/>
                <c:pt idx="0">
                  <c:v>2009-11</c:v>
                </c:pt>
                <c:pt idx="1">
                  <c:v>2009-12</c:v>
                </c:pt>
                <c:pt idx="2">
                  <c:v>2010-01</c:v>
                </c:pt>
                <c:pt idx="3">
                  <c:v>2010-02</c:v>
                </c:pt>
                <c:pt idx="4">
                  <c:v>2010-03</c:v>
                </c:pt>
                <c:pt idx="5">
                  <c:v>2010-04</c:v>
                </c:pt>
                <c:pt idx="6">
                  <c:v>2010-05</c:v>
                </c:pt>
                <c:pt idx="7">
                  <c:v>2010-06</c:v>
                </c:pt>
                <c:pt idx="8">
                  <c:v>2010-07</c:v>
                </c:pt>
                <c:pt idx="9">
                  <c:v>2010-08</c:v>
                </c:pt>
                <c:pt idx="10">
                  <c:v>2010-09</c:v>
                </c:pt>
                <c:pt idx="11">
                  <c:v>2010-10</c:v>
                </c:pt>
                <c:pt idx="12">
                  <c:v>2010-11</c:v>
                </c:pt>
                <c:pt idx="13">
                  <c:v>2010-12</c:v>
                </c:pt>
                <c:pt idx="14">
                  <c:v>2011-01</c:v>
                </c:pt>
                <c:pt idx="15">
                  <c:v>2011-02</c:v>
                </c:pt>
                <c:pt idx="16">
                  <c:v>2011-03</c:v>
                </c:pt>
                <c:pt idx="17">
                  <c:v>2011-04</c:v>
                </c:pt>
                <c:pt idx="18">
                  <c:v>2011-05</c:v>
                </c:pt>
                <c:pt idx="19">
                  <c:v>2011-06</c:v>
                </c:pt>
                <c:pt idx="20">
                  <c:v>2011-07</c:v>
                </c:pt>
                <c:pt idx="21">
                  <c:v>2011-08</c:v>
                </c:pt>
                <c:pt idx="22">
                  <c:v>2011-09</c:v>
                </c:pt>
                <c:pt idx="23">
                  <c:v>2011-10</c:v>
                </c:pt>
                <c:pt idx="24">
                  <c:v>2011-11</c:v>
                </c:pt>
                <c:pt idx="25">
                  <c:v>2011-12</c:v>
                </c:pt>
                <c:pt idx="26">
                  <c:v>2012-01</c:v>
                </c:pt>
                <c:pt idx="27">
                  <c:v>2012-02</c:v>
                </c:pt>
                <c:pt idx="28">
                  <c:v>2012-03</c:v>
                </c:pt>
                <c:pt idx="29">
                  <c:v>2012-04</c:v>
                </c:pt>
                <c:pt idx="30">
                  <c:v>2012-05</c:v>
                </c:pt>
                <c:pt idx="31">
                  <c:v>2012-06</c:v>
                </c:pt>
                <c:pt idx="32">
                  <c:v>2012-07</c:v>
                </c:pt>
                <c:pt idx="33">
                  <c:v>2012-08</c:v>
                </c:pt>
                <c:pt idx="34">
                  <c:v>2012-09</c:v>
                </c:pt>
                <c:pt idx="35">
                  <c:v>2012-10</c:v>
                </c:pt>
                <c:pt idx="36">
                  <c:v>2012-11</c:v>
                </c:pt>
                <c:pt idx="37">
                  <c:v>2012-12</c:v>
                </c:pt>
                <c:pt idx="38">
                  <c:v>2013-01</c:v>
                </c:pt>
                <c:pt idx="39">
                  <c:v>2013-02</c:v>
                </c:pt>
                <c:pt idx="40">
                  <c:v>2013-03</c:v>
                </c:pt>
                <c:pt idx="41">
                  <c:v>2013-04</c:v>
                </c:pt>
                <c:pt idx="42">
                  <c:v>2013-05</c:v>
                </c:pt>
                <c:pt idx="43">
                  <c:v>2013-06</c:v>
                </c:pt>
                <c:pt idx="44">
                  <c:v>2013-07</c:v>
                </c:pt>
                <c:pt idx="45">
                  <c:v>2013-08</c:v>
                </c:pt>
                <c:pt idx="46">
                  <c:v>2013-09</c:v>
                </c:pt>
                <c:pt idx="47">
                  <c:v>2013-10</c:v>
                </c:pt>
                <c:pt idx="48">
                  <c:v>2013-11</c:v>
                </c:pt>
                <c:pt idx="49">
                  <c:v>2013-12</c:v>
                </c:pt>
                <c:pt idx="50">
                  <c:v>2014-01</c:v>
                </c:pt>
                <c:pt idx="51">
                  <c:v>2014-02</c:v>
                </c:pt>
                <c:pt idx="52">
                  <c:v>2014-03</c:v>
                </c:pt>
                <c:pt idx="53">
                  <c:v>2014-04</c:v>
                </c:pt>
                <c:pt idx="54">
                  <c:v>2014-05</c:v>
                </c:pt>
                <c:pt idx="55">
                  <c:v>2014-06</c:v>
                </c:pt>
                <c:pt idx="56">
                  <c:v>2014-07</c:v>
                </c:pt>
                <c:pt idx="57">
                  <c:v>2014-08</c:v>
                </c:pt>
                <c:pt idx="58">
                  <c:v>2014-09</c:v>
                </c:pt>
                <c:pt idx="59">
                  <c:v>2014-10</c:v>
                </c:pt>
                <c:pt idx="60">
                  <c:v>2014-11</c:v>
                </c:pt>
                <c:pt idx="61">
                  <c:v>2014-12</c:v>
                </c:pt>
                <c:pt idx="62">
                  <c:v>2015-01</c:v>
                </c:pt>
                <c:pt idx="63">
                  <c:v>2015-02</c:v>
                </c:pt>
                <c:pt idx="64">
                  <c:v>2015-03</c:v>
                </c:pt>
                <c:pt idx="65">
                  <c:v>2015-04</c:v>
                </c:pt>
                <c:pt idx="66">
                  <c:v>2015-05</c:v>
                </c:pt>
                <c:pt idx="67">
                  <c:v>2015-06</c:v>
                </c:pt>
                <c:pt idx="68">
                  <c:v>2015-07</c:v>
                </c:pt>
                <c:pt idx="69">
                  <c:v>2015-08</c:v>
                </c:pt>
                <c:pt idx="70">
                  <c:v>2015-09</c:v>
                </c:pt>
                <c:pt idx="71">
                  <c:v>2015-10</c:v>
                </c:pt>
                <c:pt idx="72">
                  <c:v>2015-11</c:v>
                </c:pt>
                <c:pt idx="73">
                  <c:v>2015-12</c:v>
                </c:pt>
                <c:pt idx="74">
                  <c:v>2016-01</c:v>
                </c:pt>
                <c:pt idx="75">
                  <c:v>2016-02</c:v>
                </c:pt>
                <c:pt idx="76">
                  <c:v>2016-03</c:v>
                </c:pt>
                <c:pt idx="77">
                  <c:v>2016-04</c:v>
                </c:pt>
                <c:pt idx="78">
                  <c:v>2016-05</c:v>
                </c:pt>
                <c:pt idx="79">
                  <c:v>2016-06</c:v>
                </c:pt>
                <c:pt idx="80">
                  <c:v>2016-07</c:v>
                </c:pt>
                <c:pt idx="81">
                  <c:v>2016-08</c:v>
                </c:pt>
                <c:pt idx="82">
                  <c:v>2016-09</c:v>
                </c:pt>
                <c:pt idx="83">
                  <c:v>2016-10</c:v>
                </c:pt>
                <c:pt idx="84">
                  <c:v>2016-11</c:v>
                </c:pt>
                <c:pt idx="85">
                  <c:v>2016-12</c:v>
                </c:pt>
                <c:pt idx="86">
                  <c:v>2017-01</c:v>
                </c:pt>
                <c:pt idx="87">
                  <c:v>2017-02</c:v>
                </c:pt>
                <c:pt idx="88">
                  <c:v>2017-03</c:v>
                </c:pt>
                <c:pt idx="89">
                  <c:v>2017-04</c:v>
                </c:pt>
                <c:pt idx="90">
                  <c:v>2017-05</c:v>
                </c:pt>
                <c:pt idx="91">
                  <c:v>2017-06</c:v>
                </c:pt>
                <c:pt idx="92">
                  <c:v>2017-07</c:v>
                </c:pt>
                <c:pt idx="93">
                  <c:v>2017-08</c:v>
                </c:pt>
                <c:pt idx="94">
                  <c:v>2017-09</c:v>
                </c:pt>
                <c:pt idx="95">
                  <c:v>2017-10</c:v>
                </c:pt>
                <c:pt idx="96">
                  <c:v>2017-11</c:v>
                </c:pt>
                <c:pt idx="97">
                  <c:v>2017-12</c:v>
                </c:pt>
                <c:pt idx="98">
                  <c:v>2018-01</c:v>
                </c:pt>
                <c:pt idx="99">
                  <c:v>2018-02</c:v>
                </c:pt>
                <c:pt idx="100">
                  <c:v>2018-03</c:v>
                </c:pt>
                <c:pt idx="101">
                  <c:v>2018-04</c:v>
                </c:pt>
                <c:pt idx="102">
                  <c:v>2018-05</c:v>
                </c:pt>
                <c:pt idx="103">
                  <c:v>2018-06</c:v>
                </c:pt>
                <c:pt idx="104">
                  <c:v>2018-07</c:v>
                </c:pt>
                <c:pt idx="105">
                  <c:v>2018-08</c:v>
                </c:pt>
                <c:pt idx="106">
                  <c:v>2018-09</c:v>
                </c:pt>
                <c:pt idx="107">
                  <c:v>2018-10</c:v>
                </c:pt>
                <c:pt idx="108">
                  <c:v>2018-11</c:v>
                </c:pt>
                <c:pt idx="109">
                  <c:v>2018-12</c:v>
                </c:pt>
                <c:pt idx="110">
                  <c:v>2019-01</c:v>
                </c:pt>
                <c:pt idx="111">
                  <c:v>2019-02</c:v>
                </c:pt>
                <c:pt idx="112">
                  <c:v>2019-03</c:v>
                </c:pt>
                <c:pt idx="113">
                  <c:v>2019-04</c:v>
                </c:pt>
                <c:pt idx="114">
                  <c:v>2019-05</c:v>
                </c:pt>
                <c:pt idx="115">
                  <c:v>2019-06</c:v>
                </c:pt>
                <c:pt idx="116">
                  <c:v>2019-07</c:v>
                </c:pt>
                <c:pt idx="117">
                  <c:v>2019-08</c:v>
                </c:pt>
                <c:pt idx="118">
                  <c:v>2019-09</c:v>
                </c:pt>
                <c:pt idx="119">
                  <c:v>2019-10</c:v>
                </c:pt>
                <c:pt idx="120">
                  <c:v>2019-11</c:v>
                </c:pt>
                <c:pt idx="121">
                  <c:v>2019-12</c:v>
                </c:pt>
                <c:pt idx="122">
                  <c:v>2020-01</c:v>
                </c:pt>
                <c:pt idx="123">
                  <c:v>2020-02</c:v>
                </c:pt>
                <c:pt idx="124">
                  <c:v>2020-03</c:v>
                </c:pt>
                <c:pt idx="125">
                  <c:v>2020-04</c:v>
                </c:pt>
                <c:pt idx="126">
                  <c:v>2020-05</c:v>
                </c:pt>
                <c:pt idx="127">
                  <c:v>2020-06</c:v>
                </c:pt>
                <c:pt idx="128">
                  <c:v>2020-07</c:v>
                </c:pt>
                <c:pt idx="129">
                  <c:v>2020-08</c:v>
                </c:pt>
                <c:pt idx="130">
                  <c:v>2020-09</c:v>
                </c:pt>
                <c:pt idx="131">
                  <c:v>2020-10</c:v>
                </c:pt>
                <c:pt idx="132">
                  <c:v>2020-11</c:v>
                </c:pt>
                <c:pt idx="133">
                  <c:v>2020-12</c:v>
                </c:pt>
                <c:pt idx="134">
                  <c:v>2021-01</c:v>
                </c:pt>
                <c:pt idx="135">
                  <c:v>2021-02</c:v>
                </c:pt>
                <c:pt idx="136">
                  <c:v>2021-03</c:v>
                </c:pt>
                <c:pt idx="137">
                  <c:v>2021-04</c:v>
                </c:pt>
                <c:pt idx="138">
                  <c:v>2021-05</c:v>
                </c:pt>
                <c:pt idx="139">
                  <c:v>2021-06</c:v>
                </c:pt>
                <c:pt idx="140">
                  <c:v>2021-07</c:v>
                </c:pt>
                <c:pt idx="141">
                  <c:v>2021-08</c:v>
                </c:pt>
                <c:pt idx="142">
                  <c:v>2021-09</c:v>
                </c:pt>
                <c:pt idx="143">
                  <c:v>2021-10</c:v>
                </c:pt>
                <c:pt idx="144">
                  <c:v>2021-11</c:v>
                </c:pt>
                <c:pt idx="145">
                  <c:v>2021-12</c:v>
                </c:pt>
                <c:pt idx="146">
                  <c:v>2022-01</c:v>
                </c:pt>
                <c:pt idx="147">
                  <c:v>2022-02</c:v>
                </c:pt>
                <c:pt idx="148">
                  <c:v>2022-03</c:v>
                </c:pt>
                <c:pt idx="149">
                  <c:v>2022-04</c:v>
                </c:pt>
              </c:strCache>
            </c:strRef>
          </c:cat>
          <c:val>
            <c:numRef>
              <c:f>'[Net Döviz Pozisyonu.xlsx]Sheet3'!$B$2:$B$151</c:f>
              <c:numCache>
                <c:formatCode>#,##0.00_ </c:formatCode>
                <c:ptCount val="150"/>
                <c:pt idx="0">
                  <c:v>35422.5206814547</c:v>
                </c:pt>
                <c:pt idx="1">
                  <c:v>37190.0059065374</c:v>
                </c:pt>
                <c:pt idx="2">
                  <c:v>35563.781512605</c:v>
                </c:pt>
                <c:pt idx="3">
                  <c:v>33980.339316417</c:v>
                </c:pt>
                <c:pt idx="4">
                  <c:v>34887.658925466</c:v>
                </c:pt>
                <c:pt idx="5">
                  <c:v>39671.8357981112</c:v>
                </c:pt>
                <c:pt idx="6">
                  <c:v>41173.7583601484</c:v>
                </c:pt>
                <c:pt idx="7">
                  <c:v>41055.8913054111</c:v>
                </c:pt>
                <c:pt idx="8">
                  <c:v>41095.2904477688</c:v>
                </c:pt>
                <c:pt idx="9">
                  <c:v>42917.7947627138</c:v>
                </c:pt>
                <c:pt idx="10">
                  <c:v>39504.5190010278</c:v>
                </c:pt>
                <c:pt idx="11">
                  <c:v>44785.4857523162</c:v>
                </c:pt>
                <c:pt idx="12">
                  <c:v>50459.0363130117</c:v>
                </c:pt>
                <c:pt idx="13">
                  <c:v>51046.4110968967</c:v>
                </c:pt>
                <c:pt idx="14">
                  <c:v>53622.005993313</c:v>
                </c:pt>
                <c:pt idx="15">
                  <c:v>53071.5827405877</c:v>
                </c:pt>
                <c:pt idx="16">
                  <c:v>52522.8491468358</c:v>
                </c:pt>
                <c:pt idx="17">
                  <c:v>54429.8429597251</c:v>
                </c:pt>
                <c:pt idx="18">
                  <c:v>55504.158019566</c:v>
                </c:pt>
                <c:pt idx="19">
                  <c:v>56471.2405321558</c:v>
                </c:pt>
                <c:pt idx="20">
                  <c:v>56662.4014436821</c:v>
                </c:pt>
                <c:pt idx="21">
                  <c:v>54999.8591740337</c:v>
                </c:pt>
                <c:pt idx="22">
                  <c:v>54520.2518620155</c:v>
                </c:pt>
                <c:pt idx="23">
                  <c:v>45445.2550528861</c:v>
                </c:pt>
                <c:pt idx="24">
                  <c:v>47480.5458325362</c:v>
                </c:pt>
                <c:pt idx="25">
                  <c:v>42793.0110586525</c:v>
                </c:pt>
                <c:pt idx="26">
                  <c:v>36542.3427579104</c:v>
                </c:pt>
                <c:pt idx="27">
                  <c:v>37830.3752705703</c:v>
                </c:pt>
                <c:pt idx="28">
                  <c:v>37682.7588500345</c:v>
                </c:pt>
                <c:pt idx="29">
                  <c:v>37697.9331252687</c:v>
                </c:pt>
                <c:pt idx="30">
                  <c:v>38711.5181282546</c:v>
                </c:pt>
                <c:pt idx="31">
                  <c:v>38512.9443859632</c:v>
                </c:pt>
                <c:pt idx="32">
                  <c:v>39562.2852266359</c:v>
                </c:pt>
                <c:pt idx="33">
                  <c:v>41101.3009559634</c:v>
                </c:pt>
                <c:pt idx="34">
                  <c:v>41694.455651019</c:v>
                </c:pt>
                <c:pt idx="35">
                  <c:v>42748.5848638589</c:v>
                </c:pt>
                <c:pt idx="36">
                  <c:v>43087.6259913733</c:v>
                </c:pt>
                <c:pt idx="37">
                  <c:v>43536.1553703795</c:v>
                </c:pt>
                <c:pt idx="38">
                  <c:v>44225.2787380594</c:v>
                </c:pt>
                <c:pt idx="39">
                  <c:v>45006.9977680454</c:v>
                </c:pt>
                <c:pt idx="40">
                  <c:v>45281.4679209913</c:v>
                </c:pt>
                <c:pt idx="41">
                  <c:v>45524.628033669</c:v>
                </c:pt>
                <c:pt idx="42">
                  <c:v>46681.5448320418</c:v>
                </c:pt>
                <c:pt idx="43">
                  <c:v>44745.4945297765</c:v>
                </c:pt>
                <c:pt idx="44">
                  <c:v>40357.2418452947</c:v>
                </c:pt>
                <c:pt idx="45">
                  <c:v>42156.6968673105</c:v>
                </c:pt>
                <c:pt idx="46">
                  <c:v>41018.6184503092</c:v>
                </c:pt>
                <c:pt idx="47">
                  <c:v>40698.0921433338</c:v>
                </c:pt>
                <c:pt idx="48">
                  <c:v>42659.4602436785</c:v>
                </c:pt>
                <c:pt idx="49">
                  <c:v>40542.5552544274</c:v>
                </c:pt>
                <c:pt idx="50">
                  <c:v>34406.5327668335</c:v>
                </c:pt>
                <c:pt idx="51">
                  <c:v>33349.3705153441</c:v>
                </c:pt>
                <c:pt idx="52">
                  <c:v>31857.2962544458</c:v>
                </c:pt>
                <c:pt idx="53">
                  <c:v>31470.1886699845</c:v>
                </c:pt>
                <c:pt idx="54">
                  <c:v>32931.2405700516</c:v>
                </c:pt>
                <c:pt idx="55">
                  <c:v>34368.7330657811</c:v>
                </c:pt>
                <c:pt idx="56">
                  <c:v>38365.2378656192</c:v>
                </c:pt>
                <c:pt idx="57">
                  <c:v>39832.0287244851</c:v>
                </c:pt>
                <c:pt idx="58">
                  <c:v>41502.9825859914</c:v>
                </c:pt>
                <c:pt idx="59">
                  <c:v>40266.0081737856</c:v>
                </c:pt>
                <c:pt idx="60">
                  <c:v>40430.8128936676</c:v>
                </c:pt>
                <c:pt idx="61">
                  <c:v>39939.6446695701</c:v>
                </c:pt>
                <c:pt idx="62">
                  <c:v>40670.5413757608</c:v>
                </c:pt>
                <c:pt idx="63">
                  <c:v>38457.8787977202</c:v>
                </c:pt>
                <c:pt idx="64">
                  <c:v>35411.91860037</c:v>
                </c:pt>
                <c:pt idx="65">
                  <c:v>34265.0952861455</c:v>
                </c:pt>
                <c:pt idx="66">
                  <c:v>33459.1145433749</c:v>
                </c:pt>
                <c:pt idx="67">
                  <c:v>32259.1337688583</c:v>
                </c:pt>
                <c:pt idx="68">
                  <c:v>32457.3412243388</c:v>
                </c:pt>
                <c:pt idx="69">
                  <c:v>31852.5332377052</c:v>
                </c:pt>
                <c:pt idx="70">
                  <c:v>30808.0261963364</c:v>
                </c:pt>
                <c:pt idx="71">
                  <c:v>29663.9560722631</c:v>
                </c:pt>
                <c:pt idx="72">
                  <c:v>30236.2350611437</c:v>
                </c:pt>
                <c:pt idx="73">
                  <c:v>28192.5094922605</c:v>
                </c:pt>
                <c:pt idx="74">
                  <c:v>27048.1295245419</c:v>
                </c:pt>
                <c:pt idx="75">
                  <c:v>25940.4599905099</c:v>
                </c:pt>
                <c:pt idx="76">
                  <c:v>24592.9637416731</c:v>
                </c:pt>
                <c:pt idx="77">
                  <c:v>25122.4325337956</c:v>
                </c:pt>
                <c:pt idx="78">
                  <c:v>26413.5633313552</c:v>
                </c:pt>
                <c:pt idx="79">
                  <c:v>29355.3554521506</c:v>
                </c:pt>
                <c:pt idx="80">
                  <c:v>31213.9614354155</c:v>
                </c:pt>
                <c:pt idx="81">
                  <c:v>31248.7221705735</c:v>
                </c:pt>
                <c:pt idx="82">
                  <c:v>32898.9458620713</c:v>
                </c:pt>
                <c:pt idx="83">
                  <c:v>33260.9735273092</c:v>
                </c:pt>
                <c:pt idx="84">
                  <c:v>35240.4427263514</c:v>
                </c:pt>
                <c:pt idx="85">
                  <c:v>34313.3911697524</c:v>
                </c:pt>
                <c:pt idx="86">
                  <c:v>32910.1246979589</c:v>
                </c:pt>
                <c:pt idx="87">
                  <c:v>30049.1684749199</c:v>
                </c:pt>
                <c:pt idx="88">
                  <c:v>32102.5787866035</c:v>
                </c:pt>
                <c:pt idx="89">
                  <c:v>32279.83529216</c:v>
                </c:pt>
                <c:pt idx="90">
                  <c:v>33067.5460558998</c:v>
                </c:pt>
                <c:pt idx="91">
                  <c:v>33372.7266032595</c:v>
                </c:pt>
                <c:pt idx="92">
                  <c:v>33666.758163521</c:v>
                </c:pt>
                <c:pt idx="93">
                  <c:v>34533.346343401</c:v>
                </c:pt>
                <c:pt idx="94">
                  <c:v>37273.4605546774</c:v>
                </c:pt>
                <c:pt idx="95">
                  <c:v>38244.1932554806</c:v>
                </c:pt>
                <c:pt idx="96">
                  <c:v>37190.7902033383</c:v>
                </c:pt>
                <c:pt idx="97">
                  <c:v>35519.0544304455</c:v>
                </c:pt>
                <c:pt idx="98">
                  <c:v>35375.4131247794</c:v>
                </c:pt>
                <c:pt idx="99">
                  <c:v>35137.615453411</c:v>
                </c:pt>
                <c:pt idx="100">
                  <c:v>33484.0511084392</c:v>
                </c:pt>
                <c:pt idx="101">
                  <c:v>32838.1318939332</c:v>
                </c:pt>
                <c:pt idx="102">
                  <c:v>33417.1017970465</c:v>
                </c:pt>
                <c:pt idx="103">
                  <c:v>31690.2022392544</c:v>
                </c:pt>
                <c:pt idx="104">
                  <c:v>31554.9470568532</c:v>
                </c:pt>
                <c:pt idx="105">
                  <c:v>30743.3631381764</c:v>
                </c:pt>
                <c:pt idx="106">
                  <c:v>26797.0968549915</c:v>
                </c:pt>
                <c:pt idx="107">
                  <c:v>24058.715045441</c:v>
                </c:pt>
                <c:pt idx="108">
                  <c:v>27152.337135226</c:v>
                </c:pt>
                <c:pt idx="109">
                  <c:v>29989.3442227036</c:v>
                </c:pt>
                <c:pt idx="110">
                  <c:v>27483.7169657375</c:v>
                </c:pt>
                <c:pt idx="111">
                  <c:v>27616.7082273008</c:v>
                </c:pt>
                <c:pt idx="112">
                  <c:v>21307.5245228651</c:v>
                </c:pt>
                <c:pt idx="113">
                  <c:v>23939.7666266994</c:v>
                </c:pt>
                <c:pt idx="114">
                  <c:v>24118.6058473261</c:v>
                </c:pt>
                <c:pt idx="115">
                  <c:v>27616.288651578</c:v>
                </c:pt>
                <c:pt idx="116">
                  <c:v>29386.5005007978</c:v>
                </c:pt>
                <c:pt idx="117">
                  <c:v>33334.0354576626</c:v>
                </c:pt>
                <c:pt idx="118">
                  <c:v>33527.9284727406</c:v>
                </c:pt>
                <c:pt idx="119">
                  <c:v>32683.2224341226</c:v>
                </c:pt>
                <c:pt idx="120">
                  <c:v>34622.5231028117</c:v>
                </c:pt>
                <c:pt idx="121">
                  <c:v>37275.5521511433</c:v>
                </c:pt>
                <c:pt idx="122">
                  <c:v>33943.188271553</c:v>
                </c:pt>
                <c:pt idx="123">
                  <c:v>27834.1776796101</c:v>
                </c:pt>
                <c:pt idx="124">
                  <c:v>20955.9939559352</c:v>
                </c:pt>
                <c:pt idx="125">
                  <c:v>16427.0648904826</c:v>
                </c:pt>
                <c:pt idx="126">
                  <c:v>22769.3753763479</c:v>
                </c:pt>
                <c:pt idx="127">
                  <c:v>22578.4029181093</c:v>
                </c:pt>
                <c:pt idx="128">
                  <c:v>18118.6906100429</c:v>
                </c:pt>
                <c:pt idx="129">
                  <c:v>15876.8179600476</c:v>
                </c:pt>
                <c:pt idx="130">
                  <c:v>10560.6251501053</c:v>
                </c:pt>
                <c:pt idx="131">
                  <c:v>9515.01470783248</c:v>
                </c:pt>
                <c:pt idx="132">
                  <c:v>4922.58607254433</c:v>
                </c:pt>
                <c:pt idx="133">
                  <c:v>3345.84175453621</c:v>
                </c:pt>
                <c:pt idx="134">
                  <c:v>310.953904511819</c:v>
                </c:pt>
                <c:pt idx="135">
                  <c:v>-2277.69473113817</c:v>
                </c:pt>
                <c:pt idx="136">
                  <c:v>-1406.1810107749</c:v>
                </c:pt>
                <c:pt idx="137">
                  <c:v>757.576147338953</c:v>
                </c:pt>
                <c:pt idx="138">
                  <c:v>2927.7765542455</c:v>
                </c:pt>
                <c:pt idx="139">
                  <c:v>8172.25163608463</c:v>
                </c:pt>
                <c:pt idx="140">
                  <c:v>12086.0539630957</c:v>
                </c:pt>
                <c:pt idx="141">
                  <c:v>15339.3510850435</c:v>
                </c:pt>
                <c:pt idx="142">
                  <c:v>18730.4549180328</c:v>
                </c:pt>
                <c:pt idx="143">
                  <c:v>21040.4978549946</c:v>
                </c:pt>
                <c:pt idx="144">
                  <c:v>15529.2234384447</c:v>
                </c:pt>
                <c:pt idx="145">
                  <c:v>-853.535705957249</c:v>
                </c:pt>
                <c:pt idx="146">
                  <c:v>4319.31563952657</c:v>
                </c:pt>
                <c:pt idx="147">
                  <c:v>9072.84481921548</c:v>
                </c:pt>
                <c:pt idx="148">
                  <c:v>7161.8161992822</c:v>
                </c:pt>
                <c:pt idx="149">
                  <c:v>6251.6127907597</c:v>
                </c:pt>
              </c:numCache>
            </c:numRef>
          </c:val>
          <c:smooth val="0"/>
        </c:ser>
        <c:ser>
          <c:idx val="1"/>
          <c:order val="1"/>
          <c:tx>
            <c:strRef>
              <c:f>'[Net Döviz Pozisyonu.xlsx]Sheet3'!$C$1</c:f>
              <c:strCache>
                <c:ptCount val="1"/>
                <c:pt idx="0">
                  <c:v>Net Exchange Position Excluding Swap</c:v>
                </c:pt>
              </c:strCache>
            </c:strRef>
          </c:tx>
          <c:spPr>
            <a:ln w="22225" cap="rnd" cmpd="sng" algn="ctr">
              <a:solidFill>
                <a:schemeClr val="accent2"/>
              </a:solidFill>
              <a:round/>
            </a:ln>
            <a:effectLst/>
          </c:spPr>
          <c:marker>
            <c:symbol val="none"/>
          </c:marker>
          <c:dLbls>
            <c:delete val="1"/>
          </c:dLbls>
          <c:cat>
            <c:strRef>
              <c:f>'[Net Döviz Pozisyonu.xlsx]Sheet3'!$A$2:$A$151</c:f>
              <c:strCache>
                <c:ptCount val="150"/>
                <c:pt idx="0">
                  <c:v>2009-11</c:v>
                </c:pt>
                <c:pt idx="1">
                  <c:v>2009-12</c:v>
                </c:pt>
                <c:pt idx="2">
                  <c:v>2010-01</c:v>
                </c:pt>
                <c:pt idx="3">
                  <c:v>2010-02</c:v>
                </c:pt>
                <c:pt idx="4">
                  <c:v>2010-03</c:v>
                </c:pt>
                <c:pt idx="5">
                  <c:v>2010-04</c:v>
                </c:pt>
                <c:pt idx="6">
                  <c:v>2010-05</c:v>
                </c:pt>
                <c:pt idx="7">
                  <c:v>2010-06</c:v>
                </c:pt>
                <c:pt idx="8">
                  <c:v>2010-07</c:v>
                </c:pt>
                <c:pt idx="9">
                  <c:v>2010-08</c:v>
                </c:pt>
                <c:pt idx="10">
                  <c:v>2010-09</c:v>
                </c:pt>
                <c:pt idx="11">
                  <c:v>2010-10</c:v>
                </c:pt>
                <c:pt idx="12">
                  <c:v>2010-11</c:v>
                </c:pt>
                <c:pt idx="13">
                  <c:v>2010-12</c:v>
                </c:pt>
                <c:pt idx="14">
                  <c:v>2011-01</c:v>
                </c:pt>
                <c:pt idx="15">
                  <c:v>2011-02</c:v>
                </c:pt>
                <c:pt idx="16">
                  <c:v>2011-03</c:v>
                </c:pt>
                <c:pt idx="17">
                  <c:v>2011-04</c:v>
                </c:pt>
                <c:pt idx="18">
                  <c:v>2011-05</c:v>
                </c:pt>
                <c:pt idx="19">
                  <c:v>2011-06</c:v>
                </c:pt>
                <c:pt idx="20">
                  <c:v>2011-07</c:v>
                </c:pt>
                <c:pt idx="21">
                  <c:v>2011-08</c:v>
                </c:pt>
                <c:pt idx="22">
                  <c:v>2011-09</c:v>
                </c:pt>
                <c:pt idx="23">
                  <c:v>2011-10</c:v>
                </c:pt>
                <c:pt idx="24">
                  <c:v>2011-11</c:v>
                </c:pt>
                <c:pt idx="25">
                  <c:v>2011-12</c:v>
                </c:pt>
                <c:pt idx="26">
                  <c:v>2012-01</c:v>
                </c:pt>
                <c:pt idx="27">
                  <c:v>2012-02</c:v>
                </c:pt>
                <c:pt idx="28">
                  <c:v>2012-03</c:v>
                </c:pt>
                <c:pt idx="29">
                  <c:v>2012-04</c:v>
                </c:pt>
                <c:pt idx="30">
                  <c:v>2012-05</c:v>
                </c:pt>
                <c:pt idx="31">
                  <c:v>2012-06</c:v>
                </c:pt>
                <c:pt idx="32">
                  <c:v>2012-07</c:v>
                </c:pt>
                <c:pt idx="33">
                  <c:v>2012-08</c:v>
                </c:pt>
                <c:pt idx="34">
                  <c:v>2012-09</c:v>
                </c:pt>
                <c:pt idx="35">
                  <c:v>2012-10</c:v>
                </c:pt>
                <c:pt idx="36">
                  <c:v>2012-11</c:v>
                </c:pt>
                <c:pt idx="37">
                  <c:v>2012-12</c:v>
                </c:pt>
                <c:pt idx="38">
                  <c:v>2013-01</c:v>
                </c:pt>
                <c:pt idx="39">
                  <c:v>2013-02</c:v>
                </c:pt>
                <c:pt idx="40">
                  <c:v>2013-03</c:v>
                </c:pt>
                <c:pt idx="41">
                  <c:v>2013-04</c:v>
                </c:pt>
                <c:pt idx="42">
                  <c:v>2013-05</c:v>
                </c:pt>
                <c:pt idx="43">
                  <c:v>2013-06</c:v>
                </c:pt>
                <c:pt idx="44">
                  <c:v>2013-07</c:v>
                </c:pt>
                <c:pt idx="45">
                  <c:v>2013-08</c:v>
                </c:pt>
                <c:pt idx="46">
                  <c:v>2013-09</c:v>
                </c:pt>
                <c:pt idx="47">
                  <c:v>2013-10</c:v>
                </c:pt>
                <c:pt idx="48">
                  <c:v>2013-11</c:v>
                </c:pt>
                <c:pt idx="49">
                  <c:v>2013-12</c:v>
                </c:pt>
                <c:pt idx="50">
                  <c:v>2014-01</c:v>
                </c:pt>
                <c:pt idx="51">
                  <c:v>2014-02</c:v>
                </c:pt>
                <c:pt idx="52">
                  <c:v>2014-03</c:v>
                </c:pt>
                <c:pt idx="53">
                  <c:v>2014-04</c:v>
                </c:pt>
                <c:pt idx="54">
                  <c:v>2014-05</c:v>
                </c:pt>
                <c:pt idx="55">
                  <c:v>2014-06</c:v>
                </c:pt>
                <c:pt idx="56">
                  <c:v>2014-07</c:v>
                </c:pt>
                <c:pt idx="57">
                  <c:v>2014-08</c:v>
                </c:pt>
                <c:pt idx="58">
                  <c:v>2014-09</c:v>
                </c:pt>
                <c:pt idx="59">
                  <c:v>2014-10</c:v>
                </c:pt>
                <c:pt idx="60">
                  <c:v>2014-11</c:v>
                </c:pt>
                <c:pt idx="61">
                  <c:v>2014-12</c:v>
                </c:pt>
                <c:pt idx="62">
                  <c:v>2015-01</c:v>
                </c:pt>
                <c:pt idx="63">
                  <c:v>2015-02</c:v>
                </c:pt>
                <c:pt idx="64">
                  <c:v>2015-03</c:v>
                </c:pt>
                <c:pt idx="65">
                  <c:v>2015-04</c:v>
                </c:pt>
                <c:pt idx="66">
                  <c:v>2015-05</c:v>
                </c:pt>
                <c:pt idx="67">
                  <c:v>2015-06</c:v>
                </c:pt>
                <c:pt idx="68">
                  <c:v>2015-07</c:v>
                </c:pt>
                <c:pt idx="69">
                  <c:v>2015-08</c:v>
                </c:pt>
                <c:pt idx="70">
                  <c:v>2015-09</c:v>
                </c:pt>
                <c:pt idx="71">
                  <c:v>2015-10</c:v>
                </c:pt>
                <c:pt idx="72">
                  <c:v>2015-11</c:v>
                </c:pt>
                <c:pt idx="73">
                  <c:v>2015-12</c:v>
                </c:pt>
                <c:pt idx="74">
                  <c:v>2016-01</c:v>
                </c:pt>
                <c:pt idx="75">
                  <c:v>2016-02</c:v>
                </c:pt>
                <c:pt idx="76">
                  <c:v>2016-03</c:v>
                </c:pt>
                <c:pt idx="77">
                  <c:v>2016-04</c:v>
                </c:pt>
                <c:pt idx="78">
                  <c:v>2016-05</c:v>
                </c:pt>
                <c:pt idx="79">
                  <c:v>2016-06</c:v>
                </c:pt>
                <c:pt idx="80">
                  <c:v>2016-07</c:v>
                </c:pt>
                <c:pt idx="81">
                  <c:v>2016-08</c:v>
                </c:pt>
                <c:pt idx="82">
                  <c:v>2016-09</c:v>
                </c:pt>
                <c:pt idx="83">
                  <c:v>2016-10</c:v>
                </c:pt>
                <c:pt idx="84">
                  <c:v>2016-11</c:v>
                </c:pt>
                <c:pt idx="85">
                  <c:v>2016-12</c:v>
                </c:pt>
                <c:pt idx="86">
                  <c:v>2017-01</c:v>
                </c:pt>
                <c:pt idx="87">
                  <c:v>2017-02</c:v>
                </c:pt>
                <c:pt idx="88">
                  <c:v>2017-03</c:v>
                </c:pt>
                <c:pt idx="89">
                  <c:v>2017-04</c:v>
                </c:pt>
                <c:pt idx="90">
                  <c:v>2017-05</c:v>
                </c:pt>
                <c:pt idx="91">
                  <c:v>2017-06</c:v>
                </c:pt>
                <c:pt idx="92">
                  <c:v>2017-07</c:v>
                </c:pt>
                <c:pt idx="93">
                  <c:v>2017-08</c:v>
                </c:pt>
                <c:pt idx="94">
                  <c:v>2017-09</c:v>
                </c:pt>
                <c:pt idx="95">
                  <c:v>2017-10</c:v>
                </c:pt>
                <c:pt idx="96">
                  <c:v>2017-11</c:v>
                </c:pt>
                <c:pt idx="97">
                  <c:v>2017-12</c:v>
                </c:pt>
                <c:pt idx="98">
                  <c:v>2018-01</c:v>
                </c:pt>
                <c:pt idx="99">
                  <c:v>2018-02</c:v>
                </c:pt>
                <c:pt idx="100">
                  <c:v>2018-03</c:v>
                </c:pt>
                <c:pt idx="101">
                  <c:v>2018-04</c:v>
                </c:pt>
                <c:pt idx="102">
                  <c:v>2018-05</c:v>
                </c:pt>
                <c:pt idx="103">
                  <c:v>2018-06</c:v>
                </c:pt>
                <c:pt idx="104">
                  <c:v>2018-07</c:v>
                </c:pt>
                <c:pt idx="105">
                  <c:v>2018-08</c:v>
                </c:pt>
                <c:pt idx="106">
                  <c:v>2018-09</c:v>
                </c:pt>
                <c:pt idx="107">
                  <c:v>2018-10</c:v>
                </c:pt>
                <c:pt idx="108">
                  <c:v>2018-11</c:v>
                </c:pt>
                <c:pt idx="109">
                  <c:v>2018-12</c:v>
                </c:pt>
                <c:pt idx="110">
                  <c:v>2019-01</c:v>
                </c:pt>
                <c:pt idx="111">
                  <c:v>2019-02</c:v>
                </c:pt>
                <c:pt idx="112">
                  <c:v>2019-03</c:v>
                </c:pt>
                <c:pt idx="113">
                  <c:v>2019-04</c:v>
                </c:pt>
                <c:pt idx="114">
                  <c:v>2019-05</c:v>
                </c:pt>
                <c:pt idx="115">
                  <c:v>2019-06</c:v>
                </c:pt>
                <c:pt idx="116">
                  <c:v>2019-07</c:v>
                </c:pt>
                <c:pt idx="117">
                  <c:v>2019-08</c:v>
                </c:pt>
                <c:pt idx="118">
                  <c:v>2019-09</c:v>
                </c:pt>
                <c:pt idx="119">
                  <c:v>2019-10</c:v>
                </c:pt>
                <c:pt idx="120">
                  <c:v>2019-11</c:v>
                </c:pt>
                <c:pt idx="121">
                  <c:v>2019-12</c:v>
                </c:pt>
                <c:pt idx="122">
                  <c:v>2020-01</c:v>
                </c:pt>
                <c:pt idx="123">
                  <c:v>2020-02</c:v>
                </c:pt>
                <c:pt idx="124">
                  <c:v>2020-03</c:v>
                </c:pt>
                <c:pt idx="125">
                  <c:v>2020-04</c:v>
                </c:pt>
                <c:pt idx="126">
                  <c:v>2020-05</c:v>
                </c:pt>
                <c:pt idx="127">
                  <c:v>2020-06</c:v>
                </c:pt>
                <c:pt idx="128">
                  <c:v>2020-07</c:v>
                </c:pt>
                <c:pt idx="129">
                  <c:v>2020-08</c:v>
                </c:pt>
                <c:pt idx="130">
                  <c:v>2020-09</c:v>
                </c:pt>
                <c:pt idx="131">
                  <c:v>2020-10</c:v>
                </c:pt>
                <c:pt idx="132">
                  <c:v>2020-11</c:v>
                </c:pt>
                <c:pt idx="133">
                  <c:v>2020-12</c:v>
                </c:pt>
                <c:pt idx="134">
                  <c:v>2021-01</c:v>
                </c:pt>
                <c:pt idx="135">
                  <c:v>2021-02</c:v>
                </c:pt>
                <c:pt idx="136">
                  <c:v>2021-03</c:v>
                </c:pt>
                <c:pt idx="137">
                  <c:v>2021-04</c:v>
                </c:pt>
                <c:pt idx="138">
                  <c:v>2021-05</c:v>
                </c:pt>
                <c:pt idx="139">
                  <c:v>2021-06</c:v>
                </c:pt>
                <c:pt idx="140">
                  <c:v>2021-07</c:v>
                </c:pt>
                <c:pt idx="141">
                  <c:v>2021-08</c:v>
                </c:pt>
                <c:pt idx="142">
                  <c:v>2021-09</c:v>
                </c:pt>
                <c:pt idx="143">
                  <c:v>2021-10</c:v>
                </c:pt>
                <c:pt idx="144">
                  <c:v>2021-11</c:v>
                </c:pt>
                <c:pt idx="145">
                  <c:v>2021-12</c:v>
                </c:pt>
                <c:pt idx="146">
                  <c:v>2022-01</c:v>
                </c:pt>
                <c:pt idx="147">
                  <c:v>2022-02</c:v>
                </c:pt>
                <c:pt idx="148">
                  <c:v>2022-03</c:v>
                </c:pt>
                <c:pt idx="149">
                  <c:v>2022-04</c:v>
                </c:pt>
              </c:strCache>
            </c:strRef>
          </c:cat>
          <c:val>
            <c:numRef>
              <c:f>'[Net Döviz Pozisyonu.xlsx]Sheet3'!$C$2:$C$151</c:f>
              <c:numCache>
                <c:formatCode>#,##0.00_ </c:formatCode>
                <c:ptCount val="150"/>
                <c:pt idx="0">
                  <c:v>35422.5206814547</c:v>
                </c:pt>
                <c:pt idx="1">
                  <c:v>37190.0059065374</c:v>
                </c:pt>
                <c:pt idx="2">
                  <c:v>35563.781512605</c:v>
                </c:pt>
                <c:pt idx="3">
                  <c:v>33980.339316417</c:v>
                </c:pt>
                <c:pt idx="4">
                  <c:v>34887.658925466</c:v>
                </c:pt>
                <c:pt idx="5">
                  <c:v>39671.8357981112</c:v>
                </c:pt>
                <c:pt idx="6">
                  <c:v>41173.7583601484</c:v>
                </c:pt>
                <c:pt idx="7">
                  <c:v>41055.8913054111</c:v>
                </c:pt>
                <c:pt idx="8">
                  <c:v>41095.2904477688</c:v>
                </c:pt>
                <c:pt idx="9">
                  <c:v>42917.7947627138</c:v>
                </c:pt>
                <c:pt idx="10">
                  <c:v>39504.5190010278</c:v>
                </c:pt>
                <c:pt idx="11">
                  <c:v>44785.4857523162</c:v>
                </c:pt>
                <c:pt idx="12">
                  <c:v>50459.0363130117</c:v>
                </c:pt>
                <c:pt idx="13">
                  <c:v>51046.4110968967</c:v>
                </c:pt>
                <c:pt idx="14">
                  <c:v>53622.005993313</c:v>
                </c:pt>
                <c:pt idx="15">
                  <c:v>53071.5827405877</c:v>
                </c:pt>
                <c:pt idx="16">
                  <c:v>52522.8491468358</c:v>
                </c:pt>
                <c:pt idx="17">
                  <c:v>54429.8429597251</c:v>
                </c:pt>
                <c:pt idx="18">
                  <c:v>55504.158019566</c:v>
                </c:pt>
                <c:pt idx="19">
                  <c:v>56471.2405321558</c:v>
                </c:pt>
                <c:pt idx="20">
                  <c:v>56662.4014436821</c:v>
                </c:pt>
                <c:pt idx="21">
                  <c:v>54999.8591740337</c:v>
                </c:pt>
                <c:pt idx="22">
                  <c:v>54520.2518620155</c:v>
                </c:pt>
                <c:pt idx="23">
                  <c:v>45445.2550528861</c:v>
                </c:pt>
                <c:pt idx="24">
                  <c:v>47480.5458325362</c:v>
                </c:pt>
                <c:pt idx="25">
                  <c:v>42793.0110586525</c:v>
                </c:pt>
                <c:pt idx="26">
                  <c:v>36542.3427579104</c:v>
                </c:pt>
                <c:pt idx="27">
                  <c:v>37830.3752705703</c:v>
                </c:pt>
                <c:pt idx="28">
                  <c:v>37682.7588500345</c:v>
                </c:pt>
                <c:pt idx="29">
                  <c:v>37697.9331252687</c:v>
                </c:pt>
                <c:pt idx="30">
                  <c:v>38711.5181282546</c:v>
                </c:pt>
                <c:pt idx="31">
                  <c:v>38512.9443859632</c:v>
                </c:pt>
                <c:pt idx="32">
                  <c:v>39562.2852266359</c:v>
                </c:pt>
                <c:pt idx="33">
                  <c:v>41101.3009559634</c:v>
                </c:pt>
                <c:pt idx="34">
                  <c:v>41694.455651019</c:v>
                </c:pt>
                <c:pt idx="35">
                  <c:v>42748.5848638589</c:v>
                </c:pt>
                <c:pt idx="36">
                  <c:v>43087.6259913733</c:v>
                </c:pt>
                <c:pt idx="37">
                  <c:v>43536.1553703795</c:v>
                </c:pt>
                <c:pt idx="38">
                  <c:v>44225.2787380594</c:v>
                </c:pt>
                <c:pt idx="39">
                  <c:v>45006.9977680454</c:v>
                </c:pt>
                <c:pt idx="40">
                  <c:v>45281.4679209913</c:v>
                </c:pt>
                <c:pt idx="41">
                  <c:v>45524.628033669</c:v>
                </c:pt>
                <c:pt idx="42">
                  <c:v>46681.5448320418</c:v>
                </c:pt>
                <c:pt idx="43">
                  <c:v>44745.4945297765</c:v>
                </c:pt>
                <c:pt idx="44">
                  <c:v>40357.2418452947</c:v>
                </c:pt>
                <c:pt idx="45">
                  <c:v>42156.6968673105</c:v>
                </c:pt>
                <c:pt idx="46">
                  <c:v>41018.6184503092</c:v>
                </c:pt>
                <c:pt idx="47">
                  <c:v>40698.0921433338</c:v>
                </c:pt>
                <c:pt idx="48">
                  <c:v>42659.4602436785</c:v>
                </c:pt>
                <c:pt idx="49">
                  <c:v>40542.5552544274</c:v>
                </c:pt>
                <c:pt idx="50">
                  <c:v>34406.5327668335</c:v>
                </c:pt>
                <c:pt idx="51">
                  <c:v>33349.3705153441</c:v>
                </c:pt>
                <c:pt idx="52">
                  <c:v>31857.2962544458</c:v>
                </c:pt>
                <c:pt idx="53">
                  <c:v>31470.1886699845</c:v>
                </c:pt>
                <c:pt idx="54">
                  <c:v>32931.2405700516</c:v>
                </c:pt>
                <c:pt idx="55">
                  <c:v>34368.7330657811</c:v>
                </c:pt>
                <c:pt idx="56">
                  <c:v>38365.2378656192</c:v>
                </c:pt>
                <c:pt idx="57">
                  <c:v>39832.0287244851</c:v>
                </c:pt>
                <c:pt idx="58">
                  <c:v>41502.9825859914</c:v>
                </c:pt>
                <c:pt idx="59">
                  <c:v>40266.0081737856</c:v>
                </c:pt>
                <c:pt idx="60">
                  <c:v>40430.8128936676</c:v>
                </c:pt>
                <c:pt idx="61">
                  <c:v>39939.6446695701</c:v>
                </c:pt>
                <c:pt idx="62">
                  <c:v>40670.5413757608</c:v>
                </c:pt>
                <c:pt idx="63">
                  <c:v>38457.8787977202</c:v>
                </c:pt>
                <c:pt idx="64">
                  <c:v>35411.91860037</c:v>
                </c:pt>
                <c:pt idx="65">
                  <c:v>34265.0952861455</c:v>
                </c:pt>
                <c:pt idx="66">
                  <c:v>33459.1145433749</c:v>
                </c:pt>
                <c:pt idx="67">
                  <c:v>32259.1337688583</c:v>
                </c:pt>
                <c:pt idx="68">
                  <c:v>32457.3412243388</c:v>
                </c:pt>
                <c:pt idx="69">
                  <c:v>31852.5332377052</c:v>
                </c:pt>
                <c:pt idx="70">
                  <c:v>30808.0261963364</c:v>
                </c:pt>
                <c:pt idx="71">
                  <c:v>29663.9560722631</c:v>
                </c:pt>
                <c:pt idx="72">
                  <c:v>30236.2350611437</c:v>
                </c:pt>
                <c:pt idx="73">
                  <c:v>28192.5094922605</c:v>
                </c:pt>
                <c:pt idx="74">
                  <c:v>27048.1295245419</c:v>
                </c:pt>
                <c:pt idx="75">
                  <c:v>25940.4599905099</c:v>
                </c:pt>
                <c:pt idx="76">
                  <c:v>24592.9637416731</c:v>
                </c:pt>
                <c:pt idx="77">
                  <c:v>25122.4325337956</c:v>
                </c:pt>
                <c:pt idx="78">
                  <c:v>26413.5633313552</c:v>
                </c:pt>
                <c:pt idx="79">
                  <c:v>29355.3554521506</c:v>
                </c:pt>
                <c:pt idx="80">
                  <c:v>31213.9614354155</c:v>
                </c:pt>
                <c:pt idx="81">
                  <c:v>31248.7221705735</c:v>
                </c:pt>
                <c:pt idx="82">
                  <c:v>32898.9458620713</c:v>
                </c:pt>
                <c:pt idx="83">
                  <c:v>33260.9735273092</c:v>
                </c:pt>
                <c:pt idx="84">
                  <c:v>34949.4427263514</c:v>
                </c:pt>
                <c:pt idx="85">
                  <c:v>34024.3911697524</c:v>
                </c:pt>
                <c:pt idx="86">
                  <c:v>32618.1246979589</c:v>
                </c:pt>
                <c:pt idx="87">
                  <c:v>29757.1684749199</c:v>
                </c:pt>
                <c:pt idx="88">
                  <c:v>31521.5787866035</c:v>
                </c:pt>
                <c:pt idx="89">
                  <c:v>31698.83529216</c:v>
                </c:pt>
                <c:pt idx="90">
                  <c:v>32483.5460558998</c:v>
                </c:pt>
                <c:pt idx="91">
                  <c:v>32781.7266032595</c:v>
                </c:pt>
                <c:pt idx="92">
                  <c:v>33072.758163521</c:v>
                </c:pt>
                <c:pt idx="93">
                  <c:v>33345.346343401</c:v>
                </c:pt>
                <c:pt idx="94">
                  <c:v>36672.4605546774</c:v>
                </c:pt>
                <c:pt idx="95">
                  <c:v>37640.1932554806</c:v>
                </c:pt>
                <c:pt idx="96">
                  <c:v>36582.7902033383</c:v>
                </c:pt>
                <c:pt idx="97">
                  <c:v>34428.0544304455</c:v>
                </c:pt>
                <c:pt idx="98">
                  <c:v>34149.4131247794</c:v>
                </c:pt>
                <c:pt idx="99">
                  <c:v>33208.615453411</c:v>
                </c:pt>
                <c:pt idx="100">
                  <c:v>31650.0511084392</c:v>
                </c:pt>
                <c:pt idx="101">
                  <c:v>30222.1318939332</c:v>
                </c:pt>
                <c:pt idx="102">
                  <c:v>32131.1017970465</c:v>
                </c:pt>
                <c:pt idx="103">
                  <c:v>30440.2022392544</c:v>
                </c:pt>
                <c:pt idx="104">
                  <c:v>30342.9470568532</c:v>
                </c:pt>
                <c:pt idx="105">
                  <c:v>29532.3631381764</c:v>
                </c:pt>
                <c:pt idx="106">
                  <c:v>22597.0968549915</c:v>
                </c:pt>
                <c:pt idx="107">
                  <c:v>19874.715045441</c:v>
                </c:pt>
                <c:pt idx="108">
                  <c:v>23401.337135226</c:v>
                </c:pt>
                <c:pt idx="109">
                  <c:v>26269.3442227036</c:v>
                </c:pt>
                <c:pt idx="110">
                  <c:v>23986.7169657375</c:v>
                </c:pt>
                <c:pt idx="111">
                  <c:v>23997.7082273008</c:v>
                </c:pt>
                <c:pt idx="112">
                  <c:v>8252.52452286508</c:v>
                </c:pt>
                <c:pt idx="113">
                  <c:v>9330.76662669942</c:v>
                </c:pt>
                <c:pt idx="114">
                  <c:v>4689.6058473261</c:v>
                </c:pt>
                <c:pt idx="115">
                  <c:v>10036.288651578</c:v>
                </c:pt>
                <c:pt idx="116">
                  <c:v>12858.5005007978</c:v>
                </c:pt>
                <c:pt idx="117">
                  <c:v>16941.0354576626</c:v>
                </c:pt>
                <c:pt idx="118">
                  <c:v>16255.9284727406</c:v>
                </c:pt>
                <c:pt idx="119">
                  <c:v>14831.2224341226</c:v>
                </c:pt>
                <c:pt idx="120">
                  <c:v>16969.5231028117</c:v>
                </c:pt>
                <c:pt idx="121">
                  <c:v>19112.5521511433</c:v>
                </c:pt>
                <c:pt idx="122">
                  <c:v>14934.188271553</c:v>
                </c:pt>
                <c:pt idx="123">
                  <c:v>1975.17767961012</c:v>
                </c:pt>
                <c:pt idx="124">
                  <c:v>-8724.00604406482</c:v>
                </c:pt>
                <c:pt idx="125">
                  <c:v>-19105.9351095174</c:v>
                </c:pt>
                <c:pt idx="126">
                  <c:v>-29092.6246236521</c:v>
                </c:pt>
                <c:pt idx="127">
                  <c:v>-31822.5970818907</c:v>
                </c:pt>
                <c:pt idx="128">
                  <c:v>-34873.3093899571</c:v>
                </c:pt>
                <c:pt idx="129">
                  <c:v>-42679.1820399524</c:v>
                </c:pt>
                <c:pt idx="130">
                  <c:v>-47291.3748498947</c:v>
                </c:pt>
                <c:pt idx="131">
                  <c:v>-51754.9852921675</c:v>
                </c:pt>
                <c:pt idx="132">
                  <c:v>-53144.4139274557</c:v>
                </c:pt>
                <c:pt idx="133">
                  <c:v>-53021.1582454638</c:v>
                </c:pt>
                <c:pt idx="134">
                  <c:v>-53112.0460954882</c:v>
                </c:pt>
                <c:pt idx="135">
                  <c:v>-55225.6947311382</c:v>
                </c:pt>
                <c:pt idx="136">
                  <c:v>-56322.1810107749</c:v>
                </c:pt>
                <c:pt idx="137">
                  <c:v>-54325.423852661</c:v>
                </c:pt>
                <c:pt idx="138">
                  <c:v>-51103.2234457545</c:v>
                </c:pt>
                <c:pt idx="139">
                  <c:v>-51539.7483639154</c:v>
                </c:pt>
                <c:pt idx="140">
                  <c:v>-48402.9460369043</c:v>
                </c:pt>
                <c:pt idx="141">
                  <c:v>-46617.6489149565</c:v>
                </c:pt>
                <c:pt idx="142">
                  <c:v>-44585.5450819672</c:v>
                </c:pt>
                <c:pt idx="143">
                  <c:v>-42140.5021450054</c:v>
                </c:pt>
                <c:pt idx="144">
                  <c:v>-37971.7765615553</c:v>
                </c:pt>
                <c:pt idx="145">
                  <c:v>-59386.5357059572</c:v>
                </c:pt>
                <c:pt idx="146">
                  <c:v>-55019.6843604734</c:v>
                </c:pt>
                <c:pt idx="147">
                  <c:v>-48656.1551807845</c:v>
                </c:pt>
                <c:pt idx="148">
                  <c:v>-51211.1838007178</c:v>
                </c:pt>
                <c:pt idx="149">
                  <c:v>-54857.3872092403</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0"/>
        <c:smooth val="0"/>
        <c:axId val="401202722"/>
        <c:axId val="372447345"/>
      </c:lineChart>
      <c:catAx>
        <c:axId val="401202722"/>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spc="20" baseline="0">
                <a:solidFill>
                  <a:schemeClr val="dk1">
                    <a:lumMod val="65000"/>
                    <a:lumOff val="35000"/>
                  </a:schemeClr>
                </a:solidFill>
                <a:latin typeface="+mn-lt"/>
                <a:ea typeface="+mn-ea"/>
                <a:cs typeface="+mn-cs"/>
              </a:defRPr>
            </a:pPr>
          </a:p>
        </c:txPr>
        <c:crossAx val="372447345"/>
        <c:crosses val="autoZero"/>
        <c:auto val="1"/>
        <c:lblAlgn val="ctr"/>
        <c:lblOffset val="100"/>
        <c:noMultiLvlLbl val="0"/>
      </c:catAx>
      <c:valAx>
        <c:axId val="372447345"/>
        <c:scaling>
          <c:orientation val="minMax"/>
        </c:scaling>
        <c:delete val="0"/>
        <c:axPos val="l"/>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spc="20" baseline="0">
                <a:solidFill>
                  <a:schemeClr val="dk1">
                    <a:lumMod val="65000"/>
                    <a:lumOff val="35000"/>
                  </a:schemeClr>
                </a:solidFill>
                <a:latin typeface="+mn-lt"/>
                <a:ea typeface="+mn-ea"/>
                <a:cs typeface="+mn-cs"/>
              </a:defRPr>
            </a:pPr>
          </a:p>
        </c:txPr>
        <c:crossAx val="40120272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Office_4.2.0.7541_F1E327BC-269C-435d-A152-05C5408002CA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2022-07-17T14:18:00Z</dcterms:created>
  <dc:creator>muharremturgut</dc:creator>
  <cp:lastModifiedBy>muharremturgut</cp:lastModifiedBy>
  <dcterms:modified xsi:type="dcterms:W3CDTF">2022-07-28T21:54:37Z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1033-4.2.0.7541</vt:lpwstr>
  </property>
</Properties>
</file>