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FIDESZ PIS AKP  TABLE</w:t>
      </w:r>
    </w:p>
    <w:p/>
    <w:tbl>
      <w:tblPr>
        <w:tblStyle w:val="5"/>
        <w:tblW w:w="10988" w:type="dxa"/>
        <w:tblInd w:w="-12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2257"/>
        <w:gridCol w:w="2099"/>
        <w:gridCol w:w="2142"/>
        <w:gridCol w:w="1758"/>
        <w:gridCol w:w="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FIDESZ</w:t>
            </w:r>
          </w:p>
        </w:tc>
        <w:tc>
          <w:tcPr>
            <w:tcW w:w="20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PIS</w:t>
            </w: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AKP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AKP after 2013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Capitalize on economic dissatisfaction of voters</w:t>
            </w:r>
          </w:p>
        </w:tc>
        <w:tc>
          <w:tcPr>
            <w:tcW w:w="2253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(after global crisis)</w:t>
            </w:r>
          </w:p>
        </w:tc>
        <w:tc>
          <w:tcPr>
            <w:tcW w:w="2045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(after global crisis)</w:t>
            </w:r>
          </w:p>
        </w:tc>
        <w:tc>
          <w:tcPr>
            <w:tcW w:w="2142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(after 2001 crisis)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Resist to IMF austerity programme</w:t>
            </w:r>
          </w:p>
        </w:tc>
        <w:tc>
          <w:tcPr>
            <w:tcW w:w="2253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2045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</w:p>
        </w:tc>
        <w:tc>
          <w:tcPr>
            <w:tcW w:w="2142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 xml:space="preserve">Adopted IMF programme. 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Nationalistic approach</w:t>
            </w:r>
          </w:p>
        </w:tc>
        <w:tc>
          <w:tcPr>
            <w:tcW w:w="225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204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- not clear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Anti-immigrant</w:t>
            </w:r>
          </w:p>
        </w:tc>
        <w:tc>
          <w:tcPr>
            <w:tcW w:w="2253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2045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2142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-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Euro-sceptic</w:t>
            </w:r>
          </w:p>
        </w:tc>
        <w:tc>
          <w:tcPr>
            <w:tcW w:w="2253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2045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2142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Pro-Euro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more nationalist economic strategy</w:t>
            </w:r>
          </w:p>
        </w:tc>
        <w:tc>
          <w:tcPr>
            <w:tcW w:w="2253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</w:p>
        </w:tc>
        <w:tc>
          <w:tcPr>
            <w:tcW w:w="2045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</w:p>
        </w:tc>
        <w:tc>
          <w:tcPr>
            <w:tcW w:w="2142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AdvOT46dcae81" w:hAnsi="AdvOT46dcae81" w:eastAsia="AdvOT46dcae81" w:cs="AdvOT46dcae81"/>
                <w:sz w:val="20"/>
                <w:szCs w:val="20"/>
              </w:rPr>
            </w:pPr>
            <w:r>
              <w:rPr>
                <w:rFonts w:ascii="AdvOT46dcae81" w:hAnsi="AdvOT46dcae81" w:eastAsia="AdvOT46dcae81" w:cs="AdvOT46dcae81"/>
                <w:sz w:val="20"/>
                <w:szCs w:val="20"/>
              </w:rPr>
              <w:t xml:space="preserve">establishment of an illiberal democracy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AdvOT46dcae81" w:hAnsi="AdvOT46dcae81" w:eastAsia="AdvOT46dcae81" w:cs="AdvOT46dcae81"/>
                <w:sz w:val="20"/>
                <w:szCs w:val="20"/>
              </w:rPr>
            </w:pPr>
            <w:r>
              <w:rPr>
                <w:rFonts w:ascii="AdvOT46dcae81" w:hAnsi="AdvOT46dcae81" w:eastAsia="AdvOT46dcae81" w:cs="AdvOT46dcae81"/>
                <w:sz w:val="20"/>
                <w:szCs w:val="20"/>
              </w:rPr>
              <w:t>Search for an alternative model to western liberal democracy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Openly declared as the obj of government</w:t>
            </w:r>
          </w:p>
        </w:tc>
        <w:tc>
          <w:tcPr>
            <w:tcW w:w="204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Embrace liberal democracy and global competition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Not a clear fight against global competition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Not openly declared illiberal democracy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Policy shift to heterodox economic strategy</w:t>
            </w:r>
          </w:p>
        </w:tc>
        <w:tc>
          <w:tcPr>
            <w:tcW w:w="225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204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Openness to Trade and FDI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*dependent developmental path based on FDI-led export-oriented industrialisation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introducing new taxes in foreign investor-dominated sectors of the economy.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started to enact </w:t>
            </w:r>
            <w:r>
              <w:rPr>
                <w:rFonts w:hint="default"/>
                <w:b/>
                <w:bCs/>
                <w:vertAlign w:val="baseline"/>
              </w:rPr>
              <w:t>‘crisis’ taxes</w:t>
            </w:r>
            <w:r>
              <w:rPr>
                <w:rFonts w:hint="default"/>
                <w:vertAlign w:val="baseline"/>
              </w:rPr>
              <w:t xml:space="preserve"> on the </w:t>
            </w:r>
            <w:r>
              <w:rPr>
                <w:rFonts w:hint="default"/>
                <w:b/>
                <w:bCs/>
                <w:vertAlign w:val="baseline"/>
              </w:rPr>
              <w:t>retail, telecommunications and energy sectors</w:t>
            </w:r>
            <w:r>
              <w:rPr>
                <w:rFonts w:hint="default"/>
                <w:vertAlign w:val="baseline"/>
              </w:rPr>
              <w:t>, which were dominated by foreign investors.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yet left the automotive manu- facturing sector untouched.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For attracting foreign direct investment, Orbán’s government lowered the corporate income tax to 9 per cent in 2017, the </w:t>
            </w:r>
            <w:r>
              <w:rPr>
                <w:rFonts w:hint="default"/>
                <w:b/>
                <w:bCs/>
                <w:vertAlign w:val="baseline"/>
              </w:rPr>
              <w:t>lowest in the EU. (and flexibilize labor market)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generous investment incentives, </w:t>
            </w:r>
            <w:r>
              <w:rPr>
                <w:rFonts w:hint="default"/>
                <w:vertAlign w:val="baseline"/>
              </w:rPr>
              <w:t xml:space="preserve">in the form of </w:t>
            </w:r>
            <w:r>
              <w:rPr>
                <w:rFonts w:hint="default"/>
                <w:b/>
                <w:bCs/>
                <w:vertAlign w:val="baseline"/>
              </w:rPr>
              <w:t>tax incentives</w:t>
            </w:r>
            <w:r>
              <w:rPr>
                <w:rFonts w:hint="default"/>
                <w:vertAlign w:val="baseline"/>
              </w:rPr>
              <w:t xml:space="preserve">, low-interest rate </w:t>
            </w:r>
            <w:r>
              <w:rPr>
                <w:rFonts w:hint="default"/>
                <w:b/>
                <w:bCs/>
                <w:vertAlign w:val="baseline"/>
              </w:rPr>
              <w:t>loans</w:t>
            </w:r>
            <w:r>
              <w:rPr>
                <w:rFonts w:hint="default"/>
                <w:vertAlign w:val="baseline"/>
              </w:rPr>
              <w:t xml:space="preserve"> and </w:t>
            </w:r>
            <w:r>
              <w:rPr>
                <w:rFonts w:hint="default"/>
                <w:b/>
                <w:bCs/>
                <w:vertAlign w:val="baseline"/>
              </w:rPr>
              <w:t>land</w:t>
            </w:r>
            <w:r>
              <w:rPr>
                <w:rFonts w:hint="default"/>
                <w:vertAlign w:val="baseline"/>
              </w:rPr>
              <w:t xml:space="preserve"> available for free or at reduced prices, as well as negotiation-based ‘VIP’ </w:t>
            </w:r>
            <w:r>
              <w:rPr>
                <w:rFonts w:hint="default"/>
                <w:b/>
                <w:bCs/>
                <w:vertAlign w:val="baseline"/>
              </w:rPr>
              <w:t>subsidy opportunities</w:t>
            </w:r>
            <w:r>
              <w:rPr>
                <w:rFonts w:hint="default"/>
                <w:vertAlign w:val="baseline"/>
              </w:rPr>
              <w:t xml:space="preserve"> for investments greater than 10 million euro (HIPA 2017)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-introduced incentives to support R&amp;D activities and technology intensive investments. in line with the govern- ment’s </w:t>
            </w:r>
            <w:r>
              <w:rPr>
                <w:rFonts w:hint="default"/>
                <w:b/>
                <w:bCs/>
                <w:vertAlign w:val="baseline"/>
              </w:rPr>
              <w:t>innovation and industrial development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</w:rPr>
              <w:t>Irinyi Plan (bu daha çok developmental state hikayesine benziyor)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while also increasing the number of Hungarian suppliers in the higher value-added parts of FDI-controlled supply chains.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*more than half of FDI in manufacturing </w:t>
            </w:r>
            <w:r>
              <w:rPr>
                <w:rFonts w:hint="default"/>
                <w:b/>
                <w:bCs/>
                <w:vertAlign w:val="baseline"/>
              </w:rPr>
              <w:t>went into low- to medium low-tech- nology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 intensive manufacturing (for example food processing, beverages sectors, consumer dur- ables).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*the bulk of FDI in greenfield investment in the 2000s was in the </w:t>
            </w:r>
            <w:r>
              <w:rPr>
                <w:rFonts w:hint="default"/>
                <w:b/>
                <w:bCs/>
                <w:vertAlign w:val="baseline"/>
              </w:rPr>
              <w:t xml:space="preserve">service sector, such as banking, telecommunications and IT </w:t>
            </w:r>
            <w:r>
              <w:rPr>
                <w:rFonts w:hint="default"/>
                <w:b w:val="0"/>
                <w:bCs w:val="0"/>
                <w:vertAlign w:val="baseline"/>
              </w:rPr>
              <w:t>services.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increasing foothold of </w:t>
            </w:r>
            <w:r>
              <w:rPr>
                <w:rFonts w:hint="default"/>
                <w:b/>
                <w:bCs/>
                <w:vertAlign w:val="baseline"/>
              </w:rPr>
              <w:t>FDI coming from the East, namely China, and Russia</w:t>
            </w:r>
            <w:r>
              <w:rPr>
                <w:rFonts w:hint="default"/>
                <w:b w:val="0"/>
                <w:bCs w:val="0"/>
                <w:vertAlign w:val="baseline"/>
              </w:rPr>
              <w:t>.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Hungarian ‘Eastern Opening’ strategy: effort to decrease economic dependence on Western European investors and promote the national interests of the Hungarian economy (MFAT 2017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role of the state in assisting the development of the export capability of SMEs by creating state- owned trading houses in emerging economies to mediate between Hungarian SMEs and foreign buyers (Szunomar 2017)</w:t>
            </w:r>
          </w:p>
        </w:tc>
        <w:tc>
          <w:tcPr>
            <w:tcW w:w="204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introducing new taxes in foreign investor-dominated sectors of the economy.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Yet left the automotive manufacturing sector untouched.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- </w:t>
            </w:r>
            <w:r>
              <w:rPr>
                <w:rFonts w:hint="default"/>
                <w:b/>
                <w:bCs/>
                <w:vertAlign w:val="baseline"/>
              </w:rPr>
              <w:t>Incentives for industrial development:</w:t>
            </w:r>
            <w:r>
              <w:rPr>
                <w:rFonts w:hint="default"/>
                <w:vertAlign w:val="baseline"/>
              </w:rPr>
              <w:t xml:space="preserve"> new system of </w:t>
            </w:r>
            <w:r>
              <w:rPr>
                <w:rFonts w:hint="default"/>
                <w:b/>
                <w:bCs/>
                <w:vertAlign w:val="baseline"/>
              </w:rPr>
              <w:t>special economic zones (SEZ)</w:t>
            </w:r>
            <w:r>
              <w:rPr>
                <w:rFonts w:hint="default"/>
                <w:vertAlign w:val="baseline"/>
              </w:rPr>
              <w:t xml:space="preserve">, where the </w:t>
            </w:r>
            <w:r>
              <w:rPr>
                <w:rFonts w:hint="default"/>
                <w:b/>
                <w:bCs/>
                <w:vertAlign w:val="baseline"/>
              </w:rPr>
              <w:t>exemption from income tax</w:t>
            </w:r>
            <w:r>
              <w:rPr>
                <w:rFonts w:hint="default"/>
                <w:vertAlign w:val="baseline"/>
              </w:rPr>
              <w:t xml:space="preserve"> for companies that meet specific conditions is available throughout Poland for a period of 10 or 15 years. 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vertAlign w:val="baseline"/>
              </w:rPr>
              <w:t>-‘</w:t>
            </w:r>
            <w:r>
              <w:rPr>
                <w:rFonts w:hint="default"/>
                <w:b/>
                <w:bCs/>
                <w:vertAlign w:val="baseline"/>
              </w:rPr>
              <w:t>Responsible Development Strategy’,:</w:t>
            </w:r>
          </w:p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aims to address the middle-income trap by strengthening the position of domestic capital in relation to foreign investors and </w:t>
            </w:r>
            <w:r>
              <w:rPr>
                <w:rFonts w:hint="default"/>
                <w:b/>
                <w:bCs/>
                <w:vertAlign w:val="baseline"/>
              </w:rPr>
              <w:t>supporting the production of innovative and high-value added products</w:t>
            </w:r>
          </w:p>
          <w:p>
            <w:pPr>
              <w:rPr>
                <w:rFonts w:hint="default"/>
                <w:b/>
                <w:bCs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increasing foothold of </w:t>
            </w:r>
            <w:r>
              <w:rPr>
                <w:rFonts w:hint="default"/>
                <w:b/>
                <w:bCs/>
                <w:vertAlign w:val="baseline"/>
              </w:rPr>
              <w:t>FDI coming from the East, namely China, and Russia</w:t>
            </w:r>
            <w:r>
              <w:rPr>
                <w:rFonts w:hint="default"/>
                <w:b w:val="0"/>
                <w:bCs w:val="0"/>
                <w:vertAlign w:val="baseline"/>
              </w:rPr>
              <w:t>.</w:t>
            </w:r>
          </w:p>
          <w:p>
            <w:pPr>
              <w:rPr>
                <w:rFonts w:hint="default"/>
                <w:b/>
                <w:bCs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By 2016, Poland has become </w:t>
            </w:r>
            <w:r>
              <w:rPr>
                <w:rFonts w:hint="default"/>
                <w:b/>
                <w:bCs/>
                <w:vertAlign w:val="baseline"/>
              </w:rPr>
              <w:t>China’s largest trade partner in the CEE region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 and was the first European country to issue government debt in the Chinese bond market (Kuo 2017).</w:t>
            </w: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 Open to trade, no tax barriers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 Foreign capital was not in the form of FDI but mostly in hot money inflows.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-not support R&amp;D activities and technology intensive investments. 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AdvOT46dcae81" w:hAnsi="AdvOT46dcae81" w:eastAsia="AdvOT46dcae81" w:cs="AdvOT46dcae81"/>
                <w:sz w:val="20"/>
                <w:szCs w:val="20"/>
              </w:rPr>
              <w:t xml:space="preserve">decrease their dependency on foreign capital through the renationalisation of strategic sectors of the economy,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5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204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Built foreign capital dependent structure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Not actually try to decrease foreign dependent structure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National competition emphasis</w:t>
            </w:r>
          </w:p>
        </w:tc>
        <w:tc>
          <w:tcPr>
            <w:tcW w:w="225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204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dvOT46dcae81" w:hAnsi="AdvOT46dcae81" w:eastAsia="AdvOT46dcae81" w:cs="AdvOT46dcae81"/>
                <w:sz w:val="20"/>
                <w:szCs w:val="20"/>
              </w:rPr>
              <w:t xml:space="preserve">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4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Restricting Banking regulation- for foreign capital</w:t>
            </w:r>
          </w:p>
        </w:tc>
        <w:tc>
          <w:tcPr>
            <w:tcW w:w="22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I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ntroduced the highest bank levy in the world, mostly aff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ecting the large foreign-owned institutions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. (tax for foreign capital)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Orba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n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’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 government forced the banks to convert the foreign currency mortgages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.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(Greater prevalence of foreign currency lending before the crisis. Thus tried to prevent this structure.)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Foreign currency’den kaçınılması ve bankacılık sektöründeki yabancı sahipliğinin azaltıması için önlemler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4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Despite criticism from the ECB and Poland’s central bank, the government imposed a levy on the banking and insurance sectors in 2016.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Instead of forcing banks to convert foreign currency loans into zloty,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requiring banks with portfolios of foreign currency mortgages to make quarterly payments into a </w:t>
            </w:r>
            <w:r>
              <w:rPr>
                <w:rFonts w:hint="default"/>
                <w:b/>
                <w:bCs/>
                <w:vertAlign w:val="baseline"/>
              </w:rPr>
              <w:t>new mortgage relief fund,</w:t>
            </w:r>
            <w:r>
              <w:rPr>
                <w:rFonts w:hint="default"/>
                <w:vertAlign w:val="baseline"/>
              </w:rPr>
              <w:t xml:space="preserve"> which would help the borrowers to meet their financial obligations (Moody’s 2017).</w:t>
            </w: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Incentives for foreign capital.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Increased foreign ownership in banking sector.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Foreign ownership in banking sector continued to increase.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Foreign ownership in banking sector</w:t>
            </w:r>
          </w:p>
        </w:tc>
        <w:tc>
          <w:tcPr>
            <w:tcW w:w="22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By the end of 2017, the foreign ownership of the banking sector decreased from 80 per cent to just below 50 per cent, with two-thirds of the domestic share owned by the state (EBF 2018)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4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Try to Re-Polonise the banking sector: increased state control from 30 per cent to over 50 per cent (Miszerak and Rohac 2017).</w:t>
            </w: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Increased foreign ownership in banking sector.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Foreign ownership in banking sector continued to increase.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Nationalization of strategic sectors</w:t>
            </w:r>
          </w:p>
        </w:tc>
        <w:tc>
          <w:tcPr>
            <w:tcW w:w="2253" w:type="dxa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state control of the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domestic energy sector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 xml:space="preserve">. 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ENI EON gibi şirketlerin ülkede lisanslarını state’e geri vererek çekilmeleri.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 xml:space="preserve">nationalised smaller </w:t>
            </w:r>
            <w:r>
              <w:rPr>
                <w:rFonts w:hint="default" w:cstheme="minorBidi"/>
                <w:b/>
                <w:bCs/>
                <w:kern w:val="2"/>
                <w:sz w:val="21"/>
                <w:szCs w:val="24"/>
                <w:vertAlign w:val="baseline"/>
                <w:lang w:eastAsia="zh-CN" w:bidi="ar-SA"/>
              </w:rPr>
              <w:t>air transport companies,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 xml:space="preserve"> a mass transportation company Pécsi Közlekedési Zrt and the </w:t>
            </w:r>
            <w:r>
              <w:rPr>
                <w:rFonts w:hint="default" w:cstheme="minorBidi"/>
                <w:b/>
                <w:bCs/>
                <w:kern w:val="2"/>
                <w:sz w:val="21"/>
                <w:szCs w:val="24"/>
                <w:vertAlign w:val="baseline"/>
                <w:lang w:eastAsia="zh-CN" w:bidi="ar-SA"/>
              </w:rPr>
              <w:t>telecommunications company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 xml:space="preserve"> Antenna Hungaria.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 xml:space="preserve">took control of small firms in the </w:t>
            </w:r>
            <w:r>
              <w:rPr>
                <w:rFonts w:hint="default" w:cstheme="minorBidi"/>
                <w:b/>
                <w:bCs/>
                <w:kern w:val="2"/>
                <w:sz w:val="21"/>
                <w:szCs w:val="24"/>
                <w:vertAlign w:val="baseline"/>
                <w:lang w:eastAsia="zh-CN" w:bidi="ar-SA"/>
              </w:rPr>
              <w:t>meat industry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 xml:space="preserve">, and the </w:t>
            </w:r>
            <w:r>
              <w:rPr>
                <w:rFonts w:hint="default" w:cstheme="minorBidi"/>
                <w:b/>
                <w:bCs/>
                <w:kern w:val="2"/>
                <w:sz w:val="21"/>
                <w:szCs w:val="24"/>
                <w:vertAlign w:val="baseline"/>
                <w:lang w:eastAsia="zh-CN" w:bidi="ar-SA"/>
              </w:rPr>
              <w:t>automotive company</w:t>
            </w:r>
          </w:p>
        </w:tc>
        <w:tc>
          <w:tcPr>
            <w:tcW w:w="20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the PiS government in Poland took a </w:t>
            </w:r>
            <w:r>
              <w:rPr>
                <w:rFonts w:hint="default"/>
                <w:b/>
                <w:bCs/>
                <w:vertAlign w:val="baseline"/>
              </w:rPr>
              <w:t>less combative</w:t>
            </w:r>
            <w:r>
              <w:rPr>
                <w:rFonts w:hint="default"/>
                <w:vertAlign w:val="baseline"/>
              </w:rPr>
              <w:t xml:space="preserve"> approach and was more willing to listen to the recommendations of the EC and private investors.</w:t>
            </w:r>
          </w:p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BUT It also introduced a turn-over based </w:t>
            </w:r>
            <w:r>
              <w:rPr>
                <w:rFonts w:hint="default"/>
                <w:b/>
                <w:bCs/>
                <w:vertAlign w:val="baseline"/>
              </w:rPr>
              <w:t>tax</w:t>
            </w:r>
            <w:r>
              <w:rPr>
                <w:rFonts w:hint="default"/>
                <w:vertAlign w:val="baseline"/>
              </w:rPr>
              <w:t xml:space="preserve"> on the </w:t>
            </w:r>
            <w:r>
              <w:rPr>
                <w:rFonts w:hint="default"/>
                <w:b/>
                <w:bCs/>
                <w:vertAlign w:val="baseline"/>
              </w:rPr>
              <w:t>retail sector</w:t>
            </w:r>
            <w:r>
              <w:rPr>
                <w:rFonts w:hint="default"/>
                <w:vertAlign w:val="baseline"/>
              </w:rPr>
              <w:t xml:space="preserve">, domi- nated by </w:t>
            </w:r>
            <w:r>
              <w:rPr>
                <w:rFonts w:hint="default"/>
                <w:b/>
                <w:bCs/>
                <w:vertAlign w:val="baseline"/>
              </w:rPr>
              <w:t xml:space="preserve">big foreign-owned supermarket chains. </w:t>
            </w:r>
          </w:p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domestic energy sector, the government increased its control after the state-owned PGE bought the assets that were owned by France’s EDF</w:t>
            </w: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Enerji sektörü ve telekominakasyonun  özelleştirilmesi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Enerji, ulaşım ve sağlık sektörlerinde özelleştirme ve bunların bir grup işadamı eliyle yürütülmesi devlet kontrolü gibi görünse de amaç development değil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Force sector to finance government</w:t>
            </w:r>
          </w:p>
        </w:tc>
        <w:tc>
          <w:tcPr>
            <w:tcW w:w="2253" w:type="dxa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045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the government ordered state-run utility companies to reduce or stop paying dividends in order to increase investment and help finance government spending needs</w:t>
            </w:r>
            <w:r>
              <w:rPr>
                <w:rFonts w:hint="default"/>
                <w:b/>
                <w:bCs/>
                <w:vertAlign w:val="baseline"/>
              </w:rPr>
              <w:t>.</w:t>
            </w: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Force companies  to make donations, creating employment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Nationalization of funds</w:t>
            </w:r>
          </w:p>
        </w:tc>
        <w:tc>
          <w:tcPr>
            <w:tcW w:w="225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Nationalized all pension funds.</w:t>
            </w:r>
          </w:p>
        </w:tc>
        <w:tc>
          <w:tcPr>
            <w:tcW w:w="2045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nationalised 25 per cent of the assets held by the mandatory second-pillar private pension funds (OFEs) and transferred the rest into new mutual funds.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vertAlign w:val="baseline"/>
              </w:rPr>
              <w:t>(bir önceki hük de %51’ini millileştirmiş)</w:t>
            </w:r>
          </w:p>
        </w:tc>
        <w:tc>
          <w:tcPr>
            <w:tcW w:w="21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76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AdvOT46dcae81" w:hAnsi="AdvOT46dcae81" w:eastAsia="AdvOT46dcae81" w:cs="AdvOT46dcae81"/>
                <w:sz w:val="20"/>
                <w:szCs w:val="20"/>
              </w:rPr>
              <w:t xml:space="preserve">Macroeconomic policy-making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53" w:type="dxa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045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CB Independence</w:t>
            </w:r>
          </w:p>
        </w:tc>
        <w:tc>
          <w:tcPr>
            <w:tcW w:w="22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</w:rPr>
              <w:t xml:space="preserve">undermining central bank independence 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0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</w:rPr>
              <w:t xml:space="preserve">refrained from impinging on the independence of the central bank NBP.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</w:rPr>
              <w:t>Yet,  the government appointed Adam Glapiński in 2016, a former economic advisor to the late president Lech Kaczyński, as the new central bank’s governor,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7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AdvOT46dcae81" w:hAnsi="AdvOT46dcae81" w:eastAsia="AdvOT46dcae81" w:cs="AdvOT46dcae81"/>
                <w:sz w:val="20"/>
                <w:szCs w:val="20"/>
              </w:rPr>
              <w:t xml:space="preserve">undermining central bank independence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Fiscal Discipline</w:t>
            </w:r>
          </w:p>
        </w:tc>
        <w:tc>
          <w:tcPr>
            <w:tcW w:w="2253" w:type="dxa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abiding by fiscal discipline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Following the ‘Structural Reform Programme 2011 – 2014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Since 2011, Government debt/GDP ratio has declined from 79.7 % to 73.9 per cent in 2016 and  70.9 % by 2019.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achieved through fiscal consolidation and ‘the declining share of foreign owned and foreign currency denominated debt’ (EC 2018a, p. 14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/>
                <w:bCs/>
                <w:kern w:val="2"/>
                <w:sz w:val="21"/>
                <w:szCs w:val="24"/>
                <w:vertAlign w:val="baseline"/>
                <w:lang w:eastAsia="zh-CN" w:bidi="ar-SA"/>
              </w:rPr>
              <w:t xml:space="preserve">government budget deficit below 3 per cent 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of GDP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−1.9 per cent of GDP in 2016</w:t>
            </w:r>
          </w:p>
        </w:tc>
        <w:tc>
          <w:tcPr>
            <w:tcW w:w="2045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As always, debt-to-GDP ratio has stayed below 60 per cent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increased to 54.11 per cent, raising the medium-term fiscal sustainability risks. (bir önceki hük. Zamanında %50 imiş)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due to the </w:t>
            </w:r>
            <w:r>
              <w:rPr>
                <w:rFonts w:hint="default"/>
                <w:b/>
                <w:bCs/>
                <w:vertAlign w:val="baseline"/>
              </w:rPr>
              <w:t>public spending increases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 to </w:t>
            </w:r>
            <w:r>
              <w:rPr>
                <w:rFonts w:hint="default"/>
                <w:b/>
                <w:bCs/>
                <w:vertAlign w:val="baseline"/>
              </w:rPr>
              <w:t>fund election pledges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, the </w:t>
            </w:r>
            <w:r>
              <w:rPr>
                <w:rFonts w:hint="default"/>
                <w:b/>
                <w:bCs/>
                <w:vertAlign w:val="baseline"/>
              </w:rPr>
              <w:t>structural deficit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 is predicted to increase (EC 2018b, p. 8, 18). potential </w:t>
            </w:r>
            <w:r>
              <w:rPr>
                <w:rFonts w:hint="default"/>
                <w:b/>
                <w:bCs/>
                <w:vertAlign w:val="baseline"/>
              </w:rPr>
              <w:t>shift from the strict fiscal policies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 of previous governments.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</w:tc>
        <w:tc>
          <w:tcPr>
            <w:tcW w:w="214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abiding by fiscal discipline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Structural Reform Program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 increased public spending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-shift from the strict fiscal policies from previous term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Monetary Policy</w:t>
            </w:r>
          </w:p>
        </w:tc>
        <w:tc>
          <w:tcPr>
            <w:tcW w:w="22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outside the Eurozone, had more policy room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Orban’s government appointed his own Minister of Economy, as the new governor of the central bank MNB in  2013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looser monetary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policy in order to </w:t>
            </w: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stimulate the economy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and encourage lending, by </w:t>
            </w: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gradually reducing the key interest rate from 7 per cent to 1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per cent in 2016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maintaining the 3 per cent medium-term inflation target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(Bunu dünyada liquidity glut’ın azaldığı, Eur bölgesinin krizde olduğu dire economic conditions’da yapabildiler)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currency devaluation:</w:t>
            </w:r>
            <w:r>
              <w:rPr>
                <w:rFonts w:hint="default"/>
                <w:vertAlign w:val="baseline"/>
              </w:rPr>
              <w:t xml:space="preserve"> part of a wider non-orthodox economic policy after the Orbán-backed central bank governor took over in 2013.</w:t>
            </w:r>
          </w:p>
        </w:tc>
        <w:tc>
          <w:tcPr>
            <w:tcW w:w="20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outside the Eurozone, had more policy room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More orthodox MP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Conservative monetary policy keep the key interest rate at 1.5 per cent, while pursuing the medium-term inflation target at 2.5 per cent</w:t>
            </w: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More orthodox MP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-reduce interest rate and encourage lending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-Inflation target maintained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-innovative MP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-try to reduce interest rate and encourage lending (as the exchange rates and inflation lets)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-Inflation skyrocketed, thus manipulated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Trying to decrease foreign capital dependent structure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Greater prevalence of foreign currency lending before the crisis. Thus tried to prevent this structure.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Through Self-Financing Programme, the MNB encouraged banks to invest their excess liquidity in </w:t>
            </w:r>
            <w:r>
              <w:rPr>
                <w:rFonts w:hint="default"/>
                <w:b/>
                <w:bCs/>
                <w:vertAlign w:val="baseline"/>
              </w:rPr>
              <w:t>liquidity securities</w:t>
            </w:r>
            <w:r>
              <w:rPr>
                <w:rFonts w:hint="default"/>
                <w:vertAlign w:val="baseline"/>
              </w:rPr>
              <w:t xml:space="preserve"> and this way contribute to </w:t>
            </w:r>
            <w:r>
              <w:rPr>
                <w:rFonts w:hint="default"/>
                <w:b/>
                <w:bCs/>
                <w:vertAlign w:val="baseline"/>
              </w:rPr>
              <w:t>reducing the country’s external vulnerability</w:t>
            </w:r>
          </w:p>
        </w:tc>
        <w:tc>
          <w:tcPr>
            <w:tcW w:w="204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Ease credit conditions</w:t>
            </w:r>
          </w:p>
        </w:tc>
        <w:tc>
          <w:tcPr>
            <w:tcW w:w="2253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unconventional monetary policy instruments by restructuring the MNB’s active balance sheet, such as introducing the Funding for Growth Scheme (FGS) and the Market-Based Lending Scheme (MLS) to support SMEs in accessing credit</w:t>
            </w:r>
          </w:p>
        </w:tc>
        <w:tc>
          <w:tcPr>
            <w:tcW w:w="204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-force public banks to extend cheaper credits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-force CB reduce ir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-manipulate liquidity through swaps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-BRSA regulations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 w:ascii="AdvOT46dcae81" w:hAnsi="AdvOT46dcae81" w:eastAsia="AdvOT46dcae81" w:cs="AdvOT46dcae81"/>
                <w:b/>
                <w:bCs/>
                <w:sz w:val="20"/>
                <w:szCs w:val="20"/>
              </w:rPr>
              <w:t>support SMEs in accessing credit</w:t>
            </w:r>
          </w:p>
        </w:tc>
        <w:tc>
          <w:tcPr>
            <w:tcW w:w="2253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Through </w:t>
            </w:r>
            <w:r>
              <w:rPr>
                <w:rFonts w:hint="default"/>
                <w:vertAlign w:val="baseline"/>
              </w:rPr>
              <w:t>introducing the Funding for Growth Scheme (FGS) and the Market-Based Lending Scheme (MLS)</w:t>
            </w:r>
          </w:p>
        </w:tc>
        <w:tc>
          <w:tcPr>
            <w:tcW w:w="2045" w:type="dxa"/>
            <w:vAlign w:val="top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4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6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-through Kredi Garanti Fonu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04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Social Policy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pursued a starkly anti-poor and workfarist agenda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But flexibilize labor market</w:t>
            </w:r>
          </w:p>
        </w:tc>
        <w:tc>
          <w:tcPr>
            <w:tcW w:w="204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flagship electoral pledges to increase social spending</w:t>
            </w: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-increased social spending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-not much increased social spending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253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-constitutional amendment, the government granted power to local authorities to </w:t>
            </w:r>
            <w:r>
              <w:rPr>
                <w:rFonts w:hint="default"/>
                <w:b/>
                <w:bCs/>
                <w:vertAlign w:val="baseline"/>
              </w:rPr>
              <w:t>criminalise home- lessness.</w:t>
            </w:r>
          </w:p>
          <w:p>
            <w:pPr>
              <w:rPr>
                <w:rFonts w:hint="default"/>
                <w:b/>
                <w:bCs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-family tax allowance for working families, where families with two children to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the age of 20</w:t>
            </w:r>
          </w:p>
        </w:tc>
        <w:tc>
          <w:tcPr>
            <w:tcW w:w="20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AdvOT46dcae81+20" w:hAnsi="AdvOT46dcae81+20" w:eastAsia="AdvOT46dcae81+20" w:cs="AdvOT46dcae81+20"/>
                <w:sz w:val="20"/>
                <w:szCs w:val="20"/>
              </w:rPr>
              <w:t>‘</w:t>
            </w:r>
            <w:r>
              <w:rPr>
                <w:rFonts w:ascii="AdvOT46dcae81" w:hAnsi="AdvOT46dcae81" w:eastAsia="AdvOT46dcae81" w:cs="AdvOT46dcae81"/>
                <w:sz w:val="20"/>
                <w:szCs w:val="20"/>
              </w:rPr>
              <w:t>Family 500+</w:t>
            </w:r>
            <w:r>
              <w:rPr>
                <w:rFonts w:hint="default" w:ascii="AdvOT46dcae81+20" w:hAnsi="AdvOT46dcae81+20" w:eastAsia="AdvOT46dcae81+20" w:cs="AdvOT46dcae81+20"/>
                <w:sz w:val="20"/>
                <w:szCs w:val="20"/>
              </w:rPr>
              <w:t xml:space="preserve">’ </w:t>
            </w:r>
            <w:r>
              <w:rPr>
                <w:rFonts w:hint="default" w:ascii="AdvOT46dcae81" w:hAnsi="AdvOT46dcae81" w:eastAsia="AdvOT46dcae81" w:cs="AdvOT46dcae81"/>
                <w:sz w:val="20"/>
                <w:szCs w:val="20"/>
              </w:rPr>
              <w:t xml:space="preserve">programme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/>
                <w:vertAlign w:val="baseline"/>
              </w:rPr>
              <w:t xml:space="preserve">disperses a </w:t>
            </w:r>
            <w:r>
              <w:rPr>
                <w:rFonts w:hint="default" w:ascii="Times New Roman Bold" w:hAnsi="Times New Roman Bold" w:cs="Times New Roman Bold"/>
                <w:b/>
                <w:bCs/>
                <w:vertAlign w:val="baseline"/>
              </w:rPr>
              <w:t>monthly child benefit</w:t>
            </w:r>
            <w:r>
              <w:rPr>
                <w:rFonts w:hint="default"/>
                <w:vertAlign w:val="baseline"/>
              </w:rPr>
              <w:t xml:space="preserve"> of 500 zlotys (around £90) to Polish families for every second and subsequent child up to the age of 18, and </w:t>
            </w:r>
            <w:r>
              <w:rPr>
                <w:rFonts w:ascii="AdvOT46dcae81" w:hAnsi="AdvOT46dcae81" w:eastAsia="AdvOT46dcae81" w:cs="AdvOT46dcae81"/>
                <w:sz w:val="20"/>
                <w:szCs w:val="20"/>
              </w:rPr>
              <w:t xml:space="preserve">to low-income families with one child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reversed the previous government’s unpopular decision to </w:t>
            </w:r>
            <w:r>
              <w:rPr>
                <w:rFonts w:hint="default"/>
                <w:b/>
                <w:bCs/>
                <w:vertAlign w:val="baseline"/>
              </w:rPr>
              <w:t>increase retirement age</w:t>
            </w:r>
            <w:r>
              <w:rPr>
                <w:rFonts w:hint="default"/>
                <w:vertAlign w:val="baseline"/>
              </w:rPr>
              <w:t xml:space="preserve"> and lowered it back to 60 for women and 65 for men</w:t>
            </w:r>
          </w:p>
        </w:tc>
        <w:tc>
          <w:tcPr>
            <w:tcW w:w="21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-increased retirement age</w:t>
            </w:r>
          </w:p>
        </w:tc>
        <w:tc>
          <w:tcPr>
            <w:tcW w:w="176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Wage and unemployment</w:t>
            </w:r>
          </w:p>
        </w:tc>
        <w:tc>
          <w:tcPr>
            <w:tcW w:w="225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AdvOT46dcae81" w:hAnsi="AdvOT46dcae81" w:eastAsia="AdvOT46dcae81" w:cs="AdvOT46dcae81"/>
                <w:sz w:val="20"/>
                <w:szCs w:val="20"/>
              </w:rPr>
            </w:pPr>
            <w:r>
              <w:rPr>
                <w:rFonts w:ascii="AdvOT46dcae81" w:hAnsi="AdvOT46dcae81" w:eastAsia="AdvOT46dcae81" w:cs="AdvOT46dcae81"/>
                <w:b/>
                <w:bCs/>
                <w:sz w:val="20"/>
                <w:szCs w:val="20"/>
              </w:rPr>
              <w:t>Unemployment insurance</w:t>
            </w:r>
            <w:r>
              <w:rPr>
                <w:rFonts w:ascii="AdvOT46dcae81" w:hAnsi="AdvOT46dcae81" w:eastAsia="AdvOT46dcae81" w:cs="AdvOT46dcae81"/>
                <w:sz w:val="20"/>
                <w:szCs w:val="20"/>
              </w:rPr>
              <w:t xml:space="preserve"> has been reduced from 9 to a maximum of 3 months.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AdvOT46dcae81" w:hAnsi="AdvOT46dcae81" w:eastAsia="AdvOT46dcae81" w:cs="AdvOT46dcae81"/>
                <w:b/>
                <w:bCs/>
                <w:sz w:val="20"/>
                <w:szCs w:val="20"/>
              </w:rPr>
            </w:pPr>
            <w:r>
              <w:rPr>
                <w:rFonts w:hint="default" w:ascii="AdvOT46dcae81" w:hAnsi="AdvOT46dcae81" w:eastAsia="AdvOT46dcae81" w:cs="AdvOT46dcae81"/>
                <w:sz w:val="20"/>
                <w:szCs w:val="20"/>
              </w:rPr>
              <w:t xml:space="preserve">compensation for low-income earners has been eliminated and active labour market policies have been replaced with a </w:t>
            </w:r>
            <w:r>
              <w:rPr>
                <w:rFonts w:hint="default" w:ascii="AdvOT46dcae81" w:hAnsi="AdvOT46dcae81" w:eastAsia="AdvOT46dcae81" w:cs="AdvOT46dcae81"/>
                <w:b/>
                <w:bCs/>
                <w:sz w:val="20"/>
                <w:szCs w:val="20"/>
              </w:rPr>
              <w:t>public works programme</w:t>
            </w:r>
            <w:r>
              <w:rPr>
                <w:rFonts w:hint="default" w:ascii="AdvOT46dcae81" w:hAnsi="AdvOT46dcae81" w:eastAsia="AdvOT46dcae81" w:cs="AdvOT46dcae81"/>
                <w:sz w:val="20"/>
                <w:szCs w:val="20"/>
              </w:rPr>
              <w:t xml:space="preserve">, which pays at </w:t>
            </w:r>
            <w:r>
              <w:rPr>
                <w:rFonts w:hint="default" w:ascii="AdvOT46dcae81" w:hAnsi="AdvOT46dcae81" w:eastAsia="AdvOT46dcae81" w:cs="AdvOT46dcae81"/>
                <w:b/>
                <w:bCs/>
                <w:sz w:val="20"/>
                <w:szCs w:val="20"/>
              </w:rPr>
              <w:t xml:space="preserve">70 per cent of the national minimum wage </w:t>
            </w:r>
            <w:r>
              <w:rPr>
                <w:rFonts w:hint="default" w:ascii="AdvOT46dcae81" w:hAnsi="AdvOT46dcae81" w:eastAsia="AdvOT46dcae81" w:cs="AdvOT46dcae81"/>
                <w:sz w:val="20"/>
                <w:szCs w:val="20"/>
              </w:rPr>
              <w:t xml:space="preserve">and is tied to </w:t>
            </w:r>
            <w:r>
              <w:rPr>
                <w:rFonts w:hint="default" w:ascii="AdvOT46dcae81" w:hAnsi="AdvOT46dcae81" w:eastAsia="AdvOT46dcae81" w:cs="AdvOT46dcae81"/>
                <w:b/>
                <w:bCs/>
                <w:sz w:val="20"/>
                <w:szCs w:val="20"/>
              </w:rPr>
              <w:t>eligibility for social assistance.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dvOT46dcae81" w:hAnsi="AdvOT46dcae81" w:eastAsia="AdvOT46dcae81" w:cs="AdvOT46dcae81"/>
                <w:b/>
                <w:bCs/>
                <w:sz w:val="20"/>
                <w:szCs w:val="20"/>
              </w:rPr>
              <w:t>a flat income tax of 15 per cent, while increasing the minimum wage in 2012 by 19 per cent in order to compensate low-income workers (Myant et al. 2013, p. 407).</w:t>
            </w:r>
            <w:r>
              <w:rPr>
                <w:rFonts w:ascii="AdvOT46dcae81" w:hAnsi="AdvOT46dcae81" w:eastAsia="AdvOT46dcae81" w:cs="AdvOT46dcae81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04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-curb the use of atypical work arrangements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-introduced a new minimum hourly wage at 13 zloty</w:t>
            </w: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-Min wage increased yet 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-Unemployment increased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 Income inequality further deteriorated.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-Min wage increased yet 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-Unemployment increased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-Income inequality further deteriorated.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Structural factors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Dependent mode of integration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neoliberal regulatory regimes established at the EU level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at the global level (for example, the World Trade Organisation rules and IMF conditionality)</w:t>
            </w:r>
          </w:p>
        </w:tc>
        <w:tc>
          <w:tcPr>
            <w:tcW w:w="204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Dependent mode of integration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neoliberal regulatory regimes established at the EU level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</w:t>
            </w:r>
          </w:p>
        </w:tc>
        <w:tc>
          <w:tcPr>
            <w:tcW w:w="214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Dependent mode of integration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neoliberal regulatory regimes at global level (IMF conditionality)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Dependent mode of integration</w:t>
            </w: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53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transnationality index,1 </w:t>
            </w:r>
            <w:r>
              <w:rPr>
                <w:rFonts w:hint="default"/>
                <w:b w:val="0"/>
                <w:bCs w:val="0"/>
                <w:vertAlign w:val="baseline"/>
              </w:rPr>
              <w:t>which is a useful measure of the degree of integration of a particular country within the world economy, Hungary consistently had a higher rate of FDI participation.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dependent financialisation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, as banks </w:t>
            </w:r>
            <w:r>
              <w:rPr>
                <w:rFonts w:hint="default"/>
                <w:b/>
                <w:bCs/>
                <w:vertAlign w:val="baseline"/>
              </w:rPr>
              <w:t>relied heavily on external financing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 before the crisis and households accumulated large foreign-denominated debts to purchase homes or consumer durables (Becker and Jäger 2010, p. 15, Myant et al. 2013, p. 403)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market-constraining state interventionism in some areas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 of economic policy-making at the national level (banking, energy sector, media), the alternative economic strategy is still </w:t>
            </w:r>
            <w:r>
              <w:rPr>
                <w:rFonts w:hint="default"/>
                <w:b/>
                <w:bCs/>
                <w:vertAlign w:val="baseline"/>
              </w:rPr>
              <w:t xml:space="preserve">embedded within neo- liberal regulatory frameworks </w:t>
            </w:r>
            <w:r>
              <w:rPr>
                <w:rFonts w:hint="default"/>
                <w:b w:val="0"/>
                <w:bCs w:val="0"/>
                <w:vertAlign w:val="baseline"/>
              </w:rPr>
              <w:t xml:space="preserve">at the EU and global level. </w:t>
            </w: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 market-disciplinary power of EU institutions acted as a buffer</w:t>
            </w:r>
          </w:p>
        </w:tc>
        <w:tc>
          <w:tcPr>
            <w:tcW w:w="204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market-constraining state interventionism in some areas of economic policy-making at the national level (banking, energy sector, media), the alternative economic strategy is still embedded within neo- liberal regulatory frameworks at the EU and global level. </w:t>
            </w: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Privatization</w:t>
            </w:r>
          </w:p>
        </w:tc>
        <w:tc>
          <w:tcPr>
            <w:tcW w:w="2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by faster and more extensive privatisation processes in Hungary in the early 1990s,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By the time of the 2008 financial crisis, Hungary’s scale of state ownership was smaller than the EU average. (when compared to the new EU member states in CEE)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(o yüzden nationalization’a geri dönüyor.)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the direct </w:t>
            </w:r>
            <w:r>
              <w:rPr>
                <w:rFonts w:hint="default"/>
                <w:b/>
                <w:bCs/>
                <w:vertAlign w:val="baseline"/>
              </w:rPr>
              <w:t xml:space="preserve">control of the state over business enterprises has decreased </w:t>
            </w:r>
            <w:r>
              <w:rPr>
                <w:rFonts w:hint="default"/>
                <w:vertAlign w:val="baseline"/>
              </w:rPr>
              <w:t xml:space="preserve">significantly in Hungary between 1998 and 2013, 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Hungary privatised its major state-owned enterprises in the energy sector, manufacturing, food processing and chemistry in the 1990s.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Thus Orbán’s regime was more aggressive in its approach to renationalisation of privatised companies as part of its economic strategy compared to the PiS government</w:t>
            </w:r>
          </w:p>
        </w:tc>
        <w:tc>
          <w:tcPr>
            <w:tcW w:w="204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Poland followed only in the late 1990s.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in Poland the direct </w:t>
            </w:r>
            <w:r>
              <w:rPr>
                <w:rFonts w:hint="default"/>
                <w:b/>
                <w:bCs/>
                <w:vertAlign w:val="baseline"/>
              </w:rPr>
              <w:t>control of the state over business enterprises</w:t>
            </w:r>
            <w:r>
              <w:rPr>
                <w:rFonts w:hint="default"/>
                <w:vertAlign w:val="baseline"/>
              </w:rPr>
              <w:t xml:space="preserve"> has remained almost the same between 1998 and 2013 (EC 2016, 17).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over 300 state-owned enterprises (SOEs) in 2012,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Poland still had major state-owned enterprises in the airline, energy, banking, chemical, insurance, military, oil and rail industries by the end of its transition.</w:t>
            </w:r>
          </w:p>
        </w:tc>
        <w:tc>
          <w:tcPr>
            <w:tcW w:w="2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Most of the privatizations during the AKP term.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(özelleştirmenin bayraktarı zaten)</w:t>
            </w:r>
          </w:p>
        </w:tc>
        <w:tc>
          <w:tcPr>
            <w:tcW w:w="17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7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dvOT46dcae8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46dcae81+2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46dcae81+f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Unicode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vOT65f8a23b.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8608a8d1+2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46dcae81+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dvOTd0125be5.B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FC456"/>
    <w:rsid w:val="05FFD386"/>
    <w:rsid w:val="0FABFA90"/>
    <w:rsid w:val="0FF67B26"/>
    <w:rsid w:val="16FE3485"/>
    <w:rsid w:val="175324BD"/>
    <w:rsid w:val="1BF7359A"/>
    <w:rsid w:val="1DF74CFB"/>
    <w:rsid w:val="1FFF32D0"/>
    <w:rsid w:val="2A7B56AB"/>
    <w:rsid w:val="2AE3927C"/>
    <w:rsid w:val="2F7F6717"/>
    <w:rsid w:val="2FFCA8C1"/>
    <w:rsid w:val="2FFFC8B2"/>
    <w:rsid w:val="33FF5782"/>
    <w:rsid w:val="36FF1D81"/>
    <w:rsid w:val="37DE8A2F"/>
    <w:rsid w:val="3B7E363E"/>
    <w:rsid w:val="3BFFE744"/>
    <w:rsid w:val="3F78B54A"/>
    <w:rsid w:val="3FDB1DB4"/>
    <w:rsid w:val="4BE90C33"/>
    <w:rsid w:val="4DFF6A22"/>
    <w:rsid w:val="52AF54B5"/>
    <w:rsid w:val="57BF1A3F"/>
    <w:rsid w:val="57FEBB36"/>
    <w:rsid w:val="5A9FC456"/>
    <w:rsid w:val="5ADFB2F2"/>
    <w:rsid w:val="5AFD6093"/>
    <w:rsid w:val="5BCE8714"/>
    <w:rsid w:val="5D7716F5"/>
    <w:rsid w:val="5E25A1FA"/>
    <w:rsid w:val="5EFB67BE"/>
    <w:rsid w:val="5EFFACD3"/>
    <w:rsid w:val="5F16B8E3"/>
    <w:rsid w:val="5FE54ECF"/>
    <w:rsid w:val="68FBC270"/>
    <w:rsid w:val="76FAA476"/>
    <w:rsid w:val="775B5549"/>
    <w:rsid w:val="779E5EE1"/>
    <w:rsid w:val="77FB6A89"/>
    <w:rsid w:val="79E9F60F"/>
    <w:rsid w:val="7A771169"/>
    <w:rsid w:val="7AF7668C"/>
    <w:rsid w:val="7DB998F5"/>
    <w:rsid w:val="7EF9C32B"/>
    <w:rsid w:val="7F3F8499"/>
    <w:rsid w:val="7F6DCC72"/>
    <w:rsid w:val="7FEF52F9"/>
    <w:rsid w:val="7FEFDE72"/>
    <w:rsid w:val="7FF119CF"/>
    <w:rsid w:val="7FFA1374"/>
    <w:rsid w:val="7FFEAAEA"/>
    <w:rsid w:val="8FD558D7"/>
    <w:rsid w:val="9FBA4F33"/>
    <w:rsid w:val="AC7FC00D"/>
    <w:rsid w:val="B0B24FDE"/>
    <w:rsid w:val="BEF9C672"/>
    <w:rsid w:val="BFB56D50"/>
    <w:rsid w:val="BFBF21CF"/>
    <w:rsid w:val="D9FF6D12"/>
    <w:rsid w:val="DDAE41C3"/>
    <w:rsid w:val="DDFAC667"/>
    <w:rsid w:val="DF7F9EB1"/>
    <w:rsid w:val="DFA259CD"/>
    <w:rsid w:val="E3FFF12C"/>
    <w:rsid w:val="EA6E8131"/>
    <w:rsid w:val="EDBB6BC3"/>
    <w:rsid w:val="EEED79C9"/>
    <w:rsid w:val="EF5C10EB"/>
    <w:rsid w:val="F21FA346"/>
    <w:rsid w:val="F4DB1888"/>
    <w:rsid w:val="F72CA894"/>
    <w:rsid w:val="F77FC464"/>
    <w:rsid w:val="F7ED3922"/>
    <w:rsid w:val="F971C269"/>
    <w:rsid w:val="FB5B293D"/>
    <w:rsid w:val="FD651289"/>
    <w:rsid w:val="FDF1B137"/>
    <w:rsid w:val="FEBF041B"/>
    <w:rsid w:val="FEF77A3E"/>
    <w:rsid w:val="FF6CFD25"/>
    <w:rsid w:val="FFB57595"/>
    <w:rsid w:val="FFDF68B3"/>
    <w:rsid w:val="FFFF440D"/>
    <w:rsid w:val="FFFFD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2021-11-23T19:13:00Z</dcterms:created>
  <dc:creator>merthan</dc:creator>
  <cp:lastModifiedBy>merthan</cp:lastModifiedBy>
  <dcterms:modified xsi:type="dcterms:W3CDTF">2021-11-29T15:18:37Z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