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bCs/>
        </w:rPr>
      </w:pPr>
      <w:r>
        <w:rPr>
          <w:rFonts w:hint="default"/>
          <w:b/>
          <w:bCs/>
        </w:rPr>
        <w:t xml:space="preserve">IV. </w:t>
      </w:r>
      <w:r>
        <w:rPr>
          <w:b/>
          <w:bCs/>
        </w:rPr>
        <w:t>STRATEGIES FOR FINDING RESOURCES</w:t>
      </w:r>
    </w:p>
    <w:p>
      <w:pPr>
        <w:rPr>
          <w:b/>
          <w:bCs/>
        </w:rPr>
      </w:pPr>
    </w:p>
    <w:p>
      <w:pPr>
        <w:numPr>
          <w:ilvl w:val="0"/>
          <w:numId w:val="0"/>
        </w:numPr>
        <w:rPr>
          <w:b/>
          <w:bCs/>
        </w:rPr>
      </w:pPr>
      <w:r>
        <w:rPr>
          <w:b/>
          <w:bCs/>
        </w:rPr>
        <w:t>I</w:t>
      </w:r>
      <w:r>
        <w:rPr>
          <w:rFonts w:hint="default"/>
          <w:b/>
          <w:bCs/>
        </w:rPr>
        <w:t>V</w:t>
      </w:r>
      <w:r>
        <w:rPr>
          <w:b/>
          <w:bCs/>
        </w:rPr>
        <w:t xml:space="preserve">.1.Swap </w:t>
      </w:r>
    </w:p>
    <w:p>
      <w:pPr>
        <w:rPr>
          <w:b/>
          <w:bCs/>
        </w:rPr>
      </w:pPr>
    </w:p>
    <w:p>
      <w:pPr>
        <w:numPr>
          <w:ilvl w:val="0"/>
          <w:numId w:val="0"/>
        </w:numPr>
        <w:rPr>
          <w:rFonts w:hint="default"/>
          <w:b/>
          <w:bCs/>
        </w:rPr>
      </w:pPr>
      <w:r>
        <w:rPr>
          <w:rFonts w:hint="default"/>
          <w:b/>
          <w:bCs/>
        </w:rPr>
        <w:t>IV.2. MB’nın Hazine’ye Kaynak Aktarma Mekanizmaları</w:t>
      </w:r>
    </w:p>
    <w:p>
      <w:pPr>
        <w:numPr>
          <w:ilvl w:val="0"/>
          <w:numId w:val="0"/>
        </w:numPr>
      </w:pPr>
    </w:p>
    <w:p>
      <w:pPr>
        <w:numPr>
          <w:ilvl w:val="0"/>
          <w:numId w:val="0"/>
        </w:numPr>
        <w:rPr>
          <w:b/>
          <w:bCs/>
        </w:rPr>
      </w:pPr>
      <w:r>
        <w:rPr>
          <w:b/>
          <w:bCs/>
        </w:rPr>
        <w:t>I</w:t>
      </w:r>
      <w:r>
        <w:rPr>
          <w:rFonts w:hint="default"/>
          <w:b/>
          <w:bCs/>
        </w:rPr>
        <w:t>V.</w:t>
      </w:r>
      <w:r>
        <w:rPr>
          <w:b/>
          <w:bCs/>
        </w:rPr>
        <w:t>3. Borçlanma (iç-dış)</w:t>
      </w:r>
    </w:p>
    <w:p>
      <w:pPr>
        <w:numPr>
          <w:ilvl w:val="0"/>
          <w:numId w:val="0"/>
        </w:numPr>
        <w:rPr>
          <w:b/>
          <w:bCs/>
        </w:rPr>
      </w:pPr>
      <w:r>
        <w:rPr>
          <w:b/>
          <w:bCs/>
        </w:rPr>
        <w:t>I</w:t>
      </w:r>
      <w:r>
        <w:rPr>
          <w:rFonts w:hint="default"/>
          <w:b/>
          <w:bCs/>
        </w:rPr>
        <w:t>V</w:t>
      </w:r>
      <w:r>
        <w:rPr>
          <w:b/>
          <w:bCs/>
        </w:rPr>
        <w:t>.4. Yabancılara ev satışı</w:t>
      </w:r>
    </w:p>
    <w:p>
      <w:pPr>
        <w:numPr>
          <w:ilvl w:val="0"/>
          <w:numId w:val="0"/>
        </w:numPr>
        <w:rPr>
          <w:rFonts w:hint="default"/>
          <w:b/>
          <w:bCs/>
        </w:rPr>
      </w:pPr>
      <w:r>
        <w:rPr>
          <w:b/>
          <w:bCs/>
        </w:rPr>
        <w:t>I</w:t>
      </w:r>
      <w:r>
        <w:rPr>
          <w:rFonts w:hint="default"/>
          <w:b/>
          <w:bCs/>
        </w:rPr>
        <w:t>V</w:t>
      </w:r>
      <w:r>
        <w:rPr>
          <w:b/>
          <w:bCs/>
        </w:rPr>
        <w:t>.5. Orta Doğu</w:t>
      </w:r>
      <w:r>
        <w:rPr>
          <w:rFonts w:hint="default"/>
          <w:b/>
          <w:bCs/>
        </w:rPr>
        <w:t>’dan kaynağı belirsiz para girişleri-Net Hata Noksan</w:t>
      </w:r>
    </w:p>
    <w:p>
      <w:pPr>
        <w:rPr>
          <w:b/>
          <w:bCs/>
        </w:rPr>
      </w:pPr>
    </w:p>
    <w:p>
      <w:pPr>
        <w:numPr>
          <w:ilvl w:val="0"/>
          <w:numId w:val="0"/>
        </w:numPr>
        <w:rPr>
          <w:b/>
          <w:bCs/>
        </w:rPr>
      </w:pPr>
      <w:r>
        <w:rPr>
          <w:b/>
          <w:bCs/>
        </w:rPr>
        <w:t>I</w:t>
      </w:r>
      <w:r>
        <w:rPr>
          <w:rFonts w:hint="default"/>
          <w:b/>
          <w:bCs/>
        </w:rPr>
        <w:t xml:space="preserve">V.6. </w:t>
      </w:r>
      <w:r>
        <w:rPr>
          <w:b/>
          <w:bCs/>
        </w:rPr>
        <w:t>Türkiye Varlık Fonu (2017-2019 arası ağırlıklı)</w:t>
      </w:r>
    </w:p>
    <w:p>
      <w:pPr>
        <w:rPr>
          <w:b/>
          <w:bCs/>
        </w:rPr>
      </w:pPr>
    </w:p>
    <w:p>
      <w:pPr>
        <w:rPr>
          <w:rFonts w:hint="default"/>
          <w:b/>
          <w:bCs/>
          <w:color w:val="auto"/>
          <w:vertAlign w:val="baseline"/>
        </w:rPr>
      </w:pPr>
      <w:r>
        <w:rPr>
          <w:rFonts w:hint="default"/>
          <w:b/>
          <w:bCs/>
        </w:rPr>
        <w:t xml:space="preserve">IV.7. </w:t>
      </w:r>
      <w:r>
        <w:rPr>
          <w:rFonts w:hint="default"/>
          <w:b/>
          <w:bCs/>
          <w:color w:val="auto"/>
          <w:vertAlign w:val="baseline"/>
        </w:rPr>
        <w:t>Gelire Endeksli Senet (GES) Uygulaması</w:t>
      </w:r>
    </w:p>
    <w:p>
      <w:pPr>
        <w:rPr>
          <w:rFonts w:hint="default"/>
          <w:b/>
          <w:bCs/>
          <w:color w:val="auto"/>
          <w:vertAlign w:val="baseline"/>
        </w:rPr>
      </w:pPr>
    </w:p>
    <w:p>
      <w:pPr>
        <w:rPr>
          <w:rFonts w:hint="default"/>
          <w:b/>
          <w:bCs/>
        </w:rPr>
      </w:pPr>
      <w:r>
        <w:rPr>
          <w:rFonts w:hint="default"/>
          <w:b/>
          <w:bCs/>
        </w:rPr>
        <w:t>IV.8. Bankalara Hazine Kağıdı Tutma Zorunluluğu Getirilmesi</w:t>
      </w:r>
    </w:p>
    <w:p>
      <w:pPr>
        <w:rPr>
          <w:rFonts w:hint="default"/>
          <w:b/>
          <w:bCs/>
        </w:rPr>
      </w:pPr>
    </w:p>
    <w:p>
      <w:pPr>
        <w:rPr>
          <w:rFonts w:hint="default"/>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b/>
                <w:bCs/>
                <w:vertAlign w:val="baseline"/>
              </w:rPr>
            </w:pPr>
            <w:r>
              <w:rPr>
                <w:rFonts w:hint="default"/>
                <w:b/>
                <w:bCs/>
                <w:vertAlign w:val="baseline"/>
              </w:rPr>
              <w:t>İç Kaynak</w:t>
            </w:r>
          </w:p>
        </w:tc>
        <w:tc>
          <w:tcPr>
            <w:tcW w:w="2130" w:type="dxa"/>
          </w:tcPr>
          <w:p>
            <w:pPr>
              <w:rPr>
                <w:rFonts w:hint="default"/>
                <w:b/>
                <w:bCs/>
                <w:vertAlign w:val="baseline"/>
              </w:rPr>
            </w:pPr>
          </w:p>
        </w:tc>
        <w:tc>
          <w:tcPr>
            <w:tcW w:w="2131" w:type="dxa"/>
          </w:tcPr>
          <w:p>
            <w:pPr>
              <w:rPr>
                <w:rFonts w:hint="default"/>
                <w:b/>
                <w:bCs/>
                <w:vertAlign w:val="baseline"/>
              </w:rPr>
            </w:pPr>
            <w:r>
              <w:rPr>
                <w:rFonts w:hint="default"/>
                <w:b/>
                <w:bCs/>
                <w:vertAlign w:val="baseline"/>
              </w:rPr>
              <w:t>Dış Kaynak</w:t>
            </w:r>
          </w:p>
        </w:tc>
        <w:tc>
          <w:tcPr>
            <w:tcW w:w="2131" w:type="dxa"/>
          </w:tcPr>
          <w:p>
            <w:pPr>
              <w:rPr>
                <w:rFonts w:hint="default"/>
                <w:b/>
                <w:bCs/>
                <w:vertAlign w:val="baseline"/>
              </w:rPr>
            </w:pPr>
          </w:p>
        </w:tc>
      </w:tr>
      <w:tr>
        <w:tc>
          <w:tcPr>
            <w:tcW w:w="2130" w:type="dxa"/>
          </w:tcPr>
          <w:p>
            <w:pPr>
              <w:rPr>
                <w:rFonts w:hint="default"/>
                <w:b/>
                <w:bCs/>
                <w:vertAlign w:val="baseline"/>
              </w:rPr>
            </w:pPr>
            <w:r>
              <w:rPr>
                <w:rFonts w:hint="default"/>
                <w:b/>
                <w:bCs/>
                <w:vertAlign w:val="baseline"/>
              </w:rPr>
              <w:t>-GES</w:t>
            </w:r>
          </w:p>
        </w:tc>
        <w:tc>
          <w:tcPr>
            <w:tcW w:w="2130" w:type="dxa"/>
          </w:tcPr>
          <w:p>
            <w:pPr>
              <w:rPr>
                <w:rFonts w:hint="default"/>
                <w:b/>
                <w:bCs/>
                <w:vertAlign w:val="baseline"/>
              </w:rPr>
            </w:pPr>
          </w:p>
        </w:tc>
        <w:tc>
          <w:tcPr>
            <w:tcW w:w="2131" w:type="dxa"/>
          </w:tcPr>
          <w:p>
            <w:pPr>
              <w:rPr>
                <w:rFonts w:hint="default"/>
                <w:b/>
                <w:bCs/>
                <w:vertAlign w:val="baseline"/>
              </w:rPr>
            </w:pPr>
            <w:r>
              <w:rPr>
                <w:rFonts w:hint="default"/>
                <w:b/>
                <w:bCs/>
                <w:vertAlign w:val="baseline"/>
              </w:rPr>
              <w:t>-Swap</w:t>
            </w:r>
          </w:p>
        </w:tc>
        <w:tc>
          <w:tcPr>
            <w:tcW w:w="2131" w:type="dxa"/>
          </w:tcPr>
          <w:p>
            <w:pPr>
              <w:rPr>
                <w:rFonts w:hint="default"/>
                <w:b/>
                <w:bCs/>
                <w:vertAlign w:val="baseline"/>
              </w:rPr>
            </w:pPr>
          </w:p>
        </w:tc>
      </w:tr>
      <w:tr>
        <w:tc>
          <w:tcPr>
            <w:tcW w:w="2130" w:type="dxa"/>
          </w:tcPr>
          <w:p>
            <w:pPr>
              <w:rPr>
                <w:rFonts w:hint="default"/>
                <w:b/>
                <w:bCs/>
                <w:vertAlign w:val="baseline"/>
              </w:rPr>
            </w:pPr>
            <w:r>
              <w:rPr>
                <w:rFonts w:hint="default"/>
                <w:b/>
                <w:bCs/>
                <w:vertAlign w:val="baseline"/>
              </w:rPr>
              <w:t>-Tahvil bulundurma zorunluluğu</w:t>
            </w:r>
          </w:p>
        </w:tc>
        <w:tc>
          <w:tcPr>
            <w:tcW w:w="2130" w:type="dxa"/>
          </w:tcPr>
          <w:p>
            <w:pPr>
              <w:rPr>
                <w:rFonts w:hint="default"/>
                <w:b/>
                <w:bCs/>
                <w:vertAlign w:val="baseline"/>
              </w:rPr>
            </w:pPr>
          </w:p>
        </w:tc>
        <w:tc>
          <w:tcPr>
            <w:tcW w:w="2131" w:type="dxa"/>
          </w:tcPr>
          <w:p>
            <w:pPr>
              <w:rPr>
                <w:rFonts w:hint="default"/>
                <w:b/>
                <w:bCs/>
                <w:vertAlign w:val="baseline"/>
              </w:rPr>
            </w:pPr>
            <w:r>
              <w:rPr>
                <w:rFonts w:hint="default"/>
                <w:b/>
                <w:bCs/>
                <w:vertAlign w:val="baseline"/>
              </w:rPr>
              <w:t>-Dış Borçlanma (TVF)</w:t>
            </w:r>
          </w:p>
        </w:tc>
        <w:tc>
          <w:tcPr>
            <w:tcW w:w="2131" w:type="dxa"/>
          </w:tcPr>
          <w:p>
            <w:pPr>
              <w:rPr>
                <w:rFonts w:hint="default"/>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b/>
                <w:bCs/>
                <w:vertAlign w:val="baseline"/>
              </w:rPr>
            </w:pPr>
            <w:r>
              <w:rPr>
                <w:rFonts w:hint="default"/>
                <w:b/>
                <w:bCs/>
                <w:vertAlign w:val="baseline"/>
              </w:rPr>
              <w:t>-Parasal genişlemeyi artıran yöntemler:</w:t>
            </w:r>
          </w:p>
          <w:p>
            <w:pPr>
              <w:rPr>
                <w:rFonts w:hint="default"/>
                <w:b/>
                <w:bCs/>
                <w:vertAlign w:val="baseline"/>
              </w:rPr>
            </w:pPr>
            <w:r>
              <w:rPr>
                <w:rFonts w:hint="default"/>
                <w:b/>
                <w:bCs/>
                <w:vertAlign w:val="baseline"/>
              </w:rPr>
              <w:t>*hazineye ihtiyaç akçesi aktarmak</w:t>
            </w:r>
          </w:p>
          <w:p>
            <w:pPr>
              <w:rPr>
                <w:rFonts w:hint="default"/>
                <w:b/>
                <w:bCs/>
                <w:vertAlign w:val="baseline"/>
              </w:rPr>
            </w:pPr>
            <w:r>
              <w:rPr>
                <w:rFonts w:hint="default"/>
                <w:b/>
                <w:bCs/>
                <w:vertAlign w:val="baseline"/>
              </w:rPr>
              <w:t>*muhasebe hileleri</w:t>
            </w:r>
          </w:p>
          <w:p>
            <w:pPr>
              <w:rPr>
                <w:rFonts w:hint="default"/>
                <w:b/>
                <w:bCs/>
                <w:vertAlign w:val="baseline"/>
              </w:rPr>
            </w:pPr>
            <w:r>
              <w:rPr>
                <w:rFonts w:hint="default"/>
                <w:b/>
                <w:bCs/>
                <w:vertAlign w:val="baseline"/>
              </w:rPr>
              <w:t>*Mevduatı teşvik</w:t>
            </w:r>
          </w:p>
        </w:tc>
        <w:tc>
          <w:tcPr>
            <w:tcW w:w="2130" w:type="dxa"/>
          </w:tcPr>
          <w:p>
            <w:pPr>
              <w:rPr>
                <w:rFonts w:hint="default"/>
                <w:b/>
                <w:bCs/>
                <w:vertAlign w:val="baseline"/>
              </w:rPr>
            </w:pPr>
          </w:p>
        </w:tc>
        <w:tc>
          <w:tcPr>
            <w:tcW w:w="2131" w:type="dxa"/>
          </w:tcPr>
          <w:p>
            <w:pPr>
              <w:rPr>
                <w:rFonts w:hint="default"/>
                <w:b/>
                <w:bCs/>
                <w:vertAlign w:val="baseline"/>
              </w:rPr>
            </w:pPr>
            <w:r>
              <w:rPr>
                <w:rFonts w:hint="default"/>
                <w:b/>
                <w:bCs/>
                <w:vertAlign w:val="baseline"/>
              </w:rPr>
              <w:t>-Yabancılara ev satışı</w:t>
            </w:r>
          </w:p>
        </w:tc>
        <w:tc>
          <w:tcPr>
            <w:tcW w:w="2131" w:type="dxa"/>
          </w:tcPr>
          <w:p>
            <w:pPr>
              <w:rPr>
                <w:rFonts w:hint="default"/>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b/>
                <w:bCs/>
                <w:vertAlign w:val="baseline"/>
              </w:rPr>
            </w:pPr>
            <w:r>
              <w:rPr>
                <w:rFonts w:hint="default"/>
                <w:b/>
                <w:bCs/>
                <w:vertAlign w:val="baseline"/>
              </w:rPr>
              <w:t>-İmar barışı</w:t>
            </w:r>
          </w:p>
        </w:tc>
        <w:tc>
          <w:tcPr>
            <w:tcW w:w="2130" w:type="dxa"/>
          </w:tcPr>
          <w:p>
            <w:pPr>
              <w:rPr>
                <w:rFonts w:hint="default"/>
                <w:b/>
                <w:bCs/>
                <w:vertAlign w:val="baseline"/>
              </w:rPr>
            </w:pPr>
          </w:p>
        </w:tc>
        <w:tc>
          <w:tcPr>
            <w:tcW w:w="2131" w:type="dxa"/>
          </w:tcPr>
          <w:p>
            <w:pPr>
              <w:rPr>
                <w:rFonts w:hint="default"/>
                <w:b/>
                <w:bCs/>
                <w:vertAlign w:val="baseline"/>
              </w:rPr>
            </w:pPr>
            <w:r>
              <w:rPr>
                <w:rFonts w:hint="default"/>
                <w:b/>
                <w:bCs/>
                <w:vertAlign w:val="baseline"/>
              </w:rPr>
              <w:t>-Borç Öteleme</w:t>
            </w:r>
          </w:p>
        </w:tc>
        <w:tc>
          <w:tcPr>
            <w:tcW w:w="2131" w:type="dxa"/>
          </w:tcPr>
          <w:p>
            <w:pPr>
              <w:rPr>
                <w:rFonts w:hint="default"/>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b/>
                <w:bCs/>
                <w:vertAlign w:val="baseline"/>
              </w:rPr>
            </w:pPr>
            <w:r>
              <w:rPr>
                <w:rFonts w:hint="default"/>
                <w:b/>
                <w:bCs/>
                <w:vertAlign w:val="baseline"/>
              </w:rPr>
              <w:t>-Bedelli Askerlik</w:t>
            </w:r>
          </w:p>
        </w:tc>
        <w:tc>
          <w:tcPr>
            <w:tcW w:w="2130" w:type="dxa"/>
          </w:tcPr>
          <w:p>
            <w:pPr>
              <w:rPr>
                <w:rFonts w:hint="default"/>
                <w:b/>
                <w:bCs/>
                <w:vertAlign w:val="baseline"/>
              </w:rPr>
            </w:pPr>
          </w:p>
        </w:tc>
        <w:tc>
          <w:tcPr>
            <w:tcW w:w="2131" w:type="dxa"/>
          </w:tcPr>
          <w:p>
            <w:pPr>
              <w:rPr>
                <w:rFonts w:hint="default"/>
                <w:b/>
                <w:bCs/>
                <w:vertAlign w:val="baseline"/>
              </w:rPr>
            </w:pPr>
            <w:r>
              <w:rPr>
                <w:rFonts w:hint="default"/>
                <w:b/>
                <w:bCs/>
                <w:vertAlign w:val="baseline"/>
              </w:rPr>
              <w:t>-Net hata noksan</w:t>
            </w:r>
          </w:p>
        </w:tc>
        <w:tc>
          <w:tcPr>
            <w:tcW w:w="2131" w:type="dxa"/>
          </w:tcPr>
          <w:p>
            <w:pPr>
              <w:rPr>
                <w:rFonts w:hint="default"/>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b/>
                <w:bCs/>
                <w:vertAlign w:val="baseline"/>
              </w:rPr>
            </w:pPr>
          </w:p>
        </w:tc>
        <w:tc>
          <w:tcPr>
            <w:tcW w:w="2130" w:type="dxa"/>
          </w:tcPr>
          <w:p>
            <w:pPr>
              <w:rPr>
                <w:rFonts w:hint="default"/>
                <w:b/>
                <w:bCs/>
                <w:vertAlign w:val="baseline"/>
              </w:rPr>
            </w:pPr>
          </w:p>
        </w:tc>
        <w:tc>
          <w:tcPr>
            <w:tcW w:w="2131" w:type="dxa"/>
          </w:tcPr>
          <w:p>
            <w:pPr>
              <w:rPr>
                <w:rFonts w:hint="default"/>
                <w:b/>
                <w:bCs/>
                <w:vertAlign w:val="baseline"/>
              </w:rPr>
            </w:pPr>
            <w:r>
              <w:rPr>
                <w:rFonts w:hint="default"/>
                <w:b/>
                <w:bCs/>
                <w:vertAlign w:val="baseline"/>
              </w:rPr>
              <w:t>-Varlık Barışı</w:t>
            </w:r>
          </w:p>
        </w:tc>
        <w:tc>
          <w:tcPr>
            <w:tcW w:w="2131" w:type="dxa"/>
          </w:tcPr>
          <w:p>
            <w:pPr>
              <w:rPr>
                <w:rFonts w:hint="default"/>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b/>
                <w:bCs/>
                <w:vertAlign w:val="baseline"/>
              </w:rPr>
            </w:pPr>
          </w:p>
        </w:tc>
        <w:tc>
          <w:tcPr>
            <w:tcW w:w="2130" w:type="dxa"/>
          </w:tcPr>
          <w:p>
            <w:pPr>
              <w:rPr>
                <w:rFonts w:hint="default"/>
                <w:b/>
                <w:bCs/>
                <w:vertAlign w:val="baseline"/>
              </w:rPr>
            </w:pPr>
          </w:p>
        </w:tc>
        <w:tc>
          <w:tcPr>
            <w:tcW w:w="2131" w:type="dxa"/>
          </w:tcPr>
          <w:p>
            <w:pPr>
              <w:rPr>
                <w:rFonts w:hint="default"/>
                <w:b/>
                <w:bCs/>
                <w:vertAlign w:val="baseline"/>
              </w:rPr>
            </w:pPr>
          </w:p>
        </w:tc>
        <w:tc>
          <w:tcPr>
            <w:tcW w:w="2131" w:type="dxa"/>
          </w:tcPr>
          <w:p>
            <w:pPr>
              <w:rPr>
                <w:rFonts w:hint="default"/>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b/>
                <w:bCs/>
                <w:vertAlign w:val="baseline"/>
              </w:rPr>
            </w:pPr>
          </w:p>
        </w:tc>
        <w:tc>
          <w:tcPr>
            <w:tcW w:w="2130" w:type="dxa"/>
          </w:tcPr>
          <w:p>
            <w:pPr>
              <w:rPr>
                <w:rFonts w:hint="default"/>
                <w:b/>
                <w:bCs/>
                <w:vertAlign w:val="baseline"/>
              </w:rPr>
            </w:pPr>
          </w:p>
        </w:tc>
        <w:tc>
          <w:tcPr>
            <w:tcW w:w="2131" w:type="dxa"/>
          </w:tcPr>
          <w:p>
            <w:pPr>
              <w:rPr>
                <w:rFonts w:hint="default"/>
                <w:b/>
                <w:bCs/>
                <w:vertAlign w:val="baseline"/>
              </w:rPr>
            </w:pPr>
          </w:p>
        </w:tc>
        <w:tc>
          <w:tcPr>
            <w:tcW w:w="2131" w:type="dxa"/>
          </w:tcPr>
          <w:p>
            <w:pPr>
              <w:rPr>
                <w:rFonts w:hint="default"/>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b/>
                <w:bCs/>
                <w:vertAlign w:val="baseline"/>
              </w:rPr>
            </w:pPr>
          </w:p>
        </w:tc>
        <w:tc>
          <w:tcPr>
            <w:tcW w:w="2130" w:type="dxa"/>
          </w:tcPr>
          <w:p>
            <w:pPr>
              <w:rPr>
                <w:rFonts w:hint="default"/>
                <w:b/>
                <w:bCs/>
                <w:vertAlign w:val="baseline"/>
              </w:rPr>
            </w:pPr>
          </w:p>
        </w:tc>
        <w:tc>
          <w:tcPr>
            <w:tcW w:w="2131" w:type="dxa"/>
          </w:tcPr>
          <w:p>
            <w:pPr>
              <w:rPr>
                <w:rFonts w:hint="default"/>
                <w:b/>
                <w:bCs/>
                <w:vertAlign w:val="baseline"/>
              </w:rPr>
            </w:pPr>
          </w:p>
        </w:tc>
        <w:tc>
          <w:tcPr>
            <w:tcW w:w="2131" w:type="dxa"/>
          </w:tcPr>
          <w:p>
            <w:pPr>
              <w:rPr>
                <w:rFonts w:hint="default"/>
                <w:b/>
                <w:bCs/>
                <w:vertAlign w:val="baseline"/>
              </w:rPr>
            </w:pPr>
          </w:p>
        </w:tc>
      </w:tr>
    </w:tbl>
    <w:p>
      <w:pPr>
        <w:rPr>
          <w:rFonts w:hint="default"/>
          <w:b/>
          <w:bCs/>
        </w:rPr>
      </w:pPr>
    </w:p>
    <w:p>
      <w:pPr>
        <w:rPr>
          <w:rFonts w:hint="default"/>
          <w:b/>
          <w:bCs/>
        </w:rPr>
      </w:pPr>
    </w:p>
    <w:p>
      <w:pPr>
        <w:rPr>
          <w:rFonts w:hint="default"/>
          <w:b/>
          <w:bCs/>
        </w:rPr>
      </w:pPr>
      <w:r>
        <w:rPr>
          <w:rFonts w:hint="default"/>
          <w:b/>
          <w:bCs/>
        </w:rPr>
        <w:fldChar w:fldCharType="begin"/>
      </w:r>
      <w:r>
        <w:rPr>
          <w:rFonts w:hint="default"/>
          <w:b/>
          <w:bCs/>
        </w:rPr>
        <w:instrText xml:space="preserve"> HYPERLINK "https://ozgurorhangazi.com/turkiye-modelinin-bir-senesi/" </w:instrText>
      </w:r>
      <w:r>
        <w:rPr>
          <w:rFonts w:hint="default"/>
          <w:b/>
          <w:bCs/>
        </w:rPr>
        <w:fldChar w:fldCharType="separate"/>
      </w:r>
      <w:r>
        <w:rPr>
          <w:rStyle w:val="4"/>
          <w:rFonts w:hint="default"/>
          <w:b/>
          <w:bCs/>
        </w:rPr>
        <w:t>https://ozgurorhangazi.com/turkiye-modelinin-bir-senesi/</w:t>
      </w:r>
      <w:r>
        <w:rPr>
          <w:rFonts w:hint="default"/>
          <w:b/>
          <w:bCs/>
        </w:rPr>
        <w:fldChar w:fldCharType="end"/>
      </w:r>
    </w:p>
    <w:p>
      <w:pPr>
        <w:rPr>
          <w:rFonts w:hint="default"/>
          <w:b/>
          <w:bCs/>
        </w:rPr>
      </w:pPr>
    </w:p>
    <w:p>
      <w:pPr>
        <w:keepNext w:val="0"/>
        <w:keepLines w:val="0"/>
        <w:widowControl/>
        <w:suppressLineNumbers w:val="0"/>
        <w:jc w:val="left"/>
        <w:rPr>
          <w:rFonts w:ascii="Georgia" w:hAnsi="Georgia" w:eastAsia="Georgia" w:cs="Georgia"/>
          <w:i w:val="0"/>
          <w:iCs w:val="0"/>
          <w:caps w:val="0"/>
          <w:color w:val="666666"/>
          <w:spacing w:val="0"/>
          <w:kern w:val="0"/>
          <w:sz w:val="36"/>
          <w:szCs w:val="36"/>
          <w:u w:val="none"/>
          <w:shd w:val="clear" w:fill="FFFFFF"/>
          <w:lang w:val="en-US" w:eastAsia="zh-CN" w:bidi="ar"/>
        </w:rPr>
      </w:pPr>
      <w:r>
        <w:rPr>
          <w:rFonts w:ascii="Georgia" w:hAnsi="Georgia" w:eastAsia="Georgia" w:cs="Georgia"/>
          <w:i w:val="0"/>
          <w:iCs w:val="0"/>
          <w:caps w:val="0"/>
          <w:color w:val="666666"/>
          <w:spacing w:val="0"/>
          <w:kern w:val="0"/>
          <w:sz w:val="36"/>
          <w:szCs w:val="36"/>
          <w:u w:val="none"/>
          <w:shd w:val="clear" w:fill="FFFFFF"/>
          <w:lang w:val="en-US" w:eastAsia="zh-CN" w:bidi="ar"/>
        </w:rPr>
        <w:t>Esasında olan biteni biraz basitleştirirsek şunu söyleyebiliriz: Sürekli cari açık veren bir ekonominin dış dünyaya karşı yükümlülükleri (örneğin dış borçları) artarak birikir. Dış koşullarda ya da iç koşullarda herhangi bir olumsuz gelişme meydana geldiğinde dış sermaye finansmanı azalır ve döviz kuru kaçınılmaz olarak yukarı gider. Yani, sürekli cari açık veren bir ekonominin para birimi er ya da geç değer kaybedecektir. Nitekim dış sermaye girişlerine bağımlı bu büyüme serüveni ekonominin iç ve dış kırılganlıklarını artırırken 2010’ların ortalarında dünyadaki ekonomik konjonktürün değişmesi ile dış sermaye girişleri de yavaşlamaya başladı. Tam da bu sıralarda ekonomik büyümeyi sürdürmek için kredi genişlemesi tercih edilmeye başlandı. Örneğin, 2017’de devreye sokulan Kredi Garanti Fonu bu tarz bir tercihin sonucuydu. Ancak kredi genişlemesi ile büyümeye devam eden ekonominin cari açığının da yüksek seyrediyor olması kurlar üzerinde baskı oluşturdukça ilerleyen yıllarda TL’nin değeri arka kapıdan rezerv satışları ile kontrol altında tutulmaya çalışıldı. </w:t>
      </w:r>
    </w:p>
    <w:p>
      <w:pPr>
        <w:keepNext w:val="0"/>
        <w:keepLines w:val="0"/>
        <w:widowControl/>
        <w:suppressLineNumbers w:val="0"/>
        <w:jc w:val="left"/>
        <w:rPr>
          <w:rFonts w:ascii="Georgia" w:hAnsi="Georgia" w:eastAsia="Georgia" w:cs="Georgia"/>
          <w:i w:val="0"/>
          <w:iCs w:val="0"/>
          <w:caps w:val="0"/>
          <w:color w:val="666666"/>
          <w:spacing w:val="0"/>
          <w:kern w:val="0"/>
          <w:sz w:val="36"/>
          <w:szCs w:val="36"/>
          <w:u w:val="none"/>
          <w:shd w:val="clear" w:fill="FFFFFF"/>
          <w:lang w:val="en-US" w:eastAsia="zh-CN" w:bidi="ar"/>
        </w:rPr>
      </w:pPr>
    </w:p>
    <w:p>
      <w:pPr>
        <w:keepNext w:val="0"/>
        <w:keepLines w:val="0"/>
        <w:widowControl/>
        <w:suppressLineNumbers w:val="0"/>
        <w:jc w:val="left"/>
        <w:rPr>
          <w:rFonts w:ascii="Georgia" w:hAnsi="Georgia" w:eastAsia="Georgia" w:cs="Georgia"/>
          <w:i w:val="0"/>
          <w:iCs w:val="0"/>
          <w:caps w:val="0"/>
          <w:color w:val="666666"/>
          <w:spacing w:val="0"/>
          <w:kern w:val="0"/>
          <w:sz w:val="36"/>
          <w:szCs w:val="36"/>
          <w:u w:val="none"/>
          <w:shd w:val="clear" w:fill="FFFFFF"/>
          <w:lang w:val="en-US" w:eastAsia="zh-CN" w:bidi="ar"/>
        </w:rPr>
      </w:pPr>
    </w:p>
    <w:p>
      <w:pPr>
        <w:rPr>
          <w:rFonts w:hint="default"/>
          <w:b/>
          <w:bCs/>
        </w:rPr>
      </w:pPr>
    </w:p>
    <w:p>
      <w:pPr>
        <w:rPr>
          <w:rFonts w:hint="default"/>
          <w:b/>
          <w:bCs/>
        </w:rPr>
      </w:pPr>
      <w:r>
        <w:rPr>
          <w:rFonts w:hint="default"/>
          <w:b/>
          <w:bCs/>
        </w:rPr>
        <w:t>VARLIK BARIŞI</w:t>
      </w:r>
    </w:p>
    <w:p>
      <w:pPr>
        <w:rPr>
          <w:rFonts w:hint="default"/>
          <w:b/>
          <w:bCs/>
        </w:rPr>
      </w:pPr>
    </w:p>
    <w:p>
      <w:pPr>
        <w:rPr>
          <w:rFonts w:hint="default"/>
          <w:b/>
          <w:bC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yine, kamu harcamalarını teşvik ve ekonomik büyüme katkı hedefiyle, MB’nın ihtiyat akçelerinin Hazine’ye devri bir kere gerçekleşmiş, bundan sonraki yıllarda da yıllık aktarım anlamında uygulama devam etse de yıllar içinde birikmiş 40 milyarı aşan tutardaki ihtiyat akçesinin aktarılması 2019 yılında bir kereliğine Hazine’ye ciddi tutarda kaynak sağlamıştır. İmar barışı, bedelli askerlik gibi uygulamalar da one-off kaynak bulma yöntemlerine örnek gösterilebilir.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r>
        <w:rPr>
          <w:rFonts w:hint="default" w:ascii="Times New Roman Regular" w:hAnsi="Times New Roman Regular"/>
          <w:b w:val="0"/>
          <w:bCs w:val="0"/>
          <w:sz w:val="24"/>
          <w:szCs w:val="24"/>
        </w:rPr>
        <w:t>Similarly, with the aim of encouraging public expenditures and contributing to economic growth, the transfer of ‘CBT Reserve Funds’ of more than 40 billion accumulated over the years, to the Treasury, was realized once in 2019. Yet, in the following years, the annual transfer of reserve funds has continued and has become a customary practice. Practices such as zoning peace and paid military service can also be given as examples of one-off measures to create additional resource, yet later has turned out to be customary routine practices.</w:t>
      </w:r>
    </w:p>
    <w:p>
      <w:pPr>
        <w:rPr>
          <w:rFonts w:hint="default"/>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FC201"/>
    <w:rsid w:val="2DA5763B"/>
    <w:rsid w:val="2FEF6692"/>
    <w:rsid w:val="2FFFF24B"/>
    <w:rsid w:val="3FDF05E9"/>
    <w:rsid w:val="5BC9B654"/>
    <w:rsid w:val="63BFC201"/>
    <w:rsid w:val="6CFDC9D3"/>
    <w:rsid w:val="7C7FB306"/>
    <w:rsid w:val="7FF55A45"/>
    <w:rsid w:val="D856C865"/>
    <w:rsid w:val="DB3DC90E"/>
    <w:rsid w:val="DFDB974A"/>
    <w:rsid w:val="EFFBC29D"/>
    <w:rsid w:val="F1B4F76E"/>
    <w:rsid w:val="FDEFE36B"/>
    <w:rsid w:val="FDFE6F44"/>
    <w:rsid w:val="FEDFA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2022-09-26T21:43:00Z</dcterms:created>
  <dc:creator>muharremturgut</dc:creator>
  <cp:lastModifiedBy>merthan</cp:lastModifiedBy>
  <dcterms:modified xsi:type="dcterms:W3CDTF">2022-10-19T14:47:31Z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