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40" w:lineRule="atLeast"/>
        <w:ind w:left="0" w:leftChars="0" w:right="0" w:rightChars="0" w:firstLine="0" w:firstLineChars="0"/>
        <w:jc w:val="both"/>
        <w:textAlignment w:val="auto"/>
        <w:rPr>
          <w:rFonts w:hint="default" w:ascii="Times New Roman Regular" w:hAnsi="Times New Roman Regular" w:eastAsia="calibris" w:cs="Times New Roman Regular"/>
          <w:b/>
          <w:bCs/>
          <w:color w:val="auto"/>
          <w:sz w:val="24"/>
          <w:szCs w:val="24"/>
        </w:rPr>
      </w:pPr>
      <w:r>
        <w:rPr>
          <w:rFonts w:hint="default" w:ascii="Times New Roman Regular" w:hAnsi="Times New Roman Regular" w:eastAsia="calibris" w:cs="Times New Roman Regular"/>
          <w:b w:val="0"/>
          <w:bCs w:val="0"/>
          <w:i w:val="0"/>
          <w:iCs w:val="0"/>
          <w:sz w:val="24"/>
          <w:szCs w:val="24"/>
          <w:lang w:eastAsia="zh-CN"/>
        </w:rPr>
        <w:t>T</w:t>
      </w:r>
      <w:r>
        <w:rPr>
          <w:rFonts w:hint="default" w:ascii="Times New Roman Regular" w:hAnsi="Times New Roman Regular" w:eastAsia="calibris" w:cs="Times New Roman Regular"/>
          <w:b/>
          <w:bCs/>
          <w:color w:val="auto"/>
          <w:sz w:val="24"/>
          <w:szCs w:val="24"/>
        </w:rPr>
        <w:t>he Comparative Perspective- Hungary Case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eastAsia="calibris" w:cs="Times New Roman Regular"/>
                <w:b/>
                <w:bCs/>
                <w:color w:val="auto"/>
                <w:sz w:val="24"/>
                <w:szCs w:val="24"/>
              </w:rPr>
              <w:t>AKP-Fidesz Convergence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eastAsia="calibris" w:cs="Times New Roman Regular"/>
                <w:b/>
                <w:bCs/>
                <w:color w:val="auto"/>
                <w:sz w:val="24"/>
                <w:szCs w:val="24"/>
                <w:vertAlign w:val="baseline"/>
              </w:rPr>
              <w:t>Divergence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eastAsia="calibris" w:cs="Times New Roman Regular"/>
                <w:b w:val="0"/>
                <w:bCs w:val="0"/>
                <w:color w:val="auto"/>
                <w:sz w:val="24"/>
                <w:szCs w:val="24"/>
                <w:vertAlign w:val="baseline"/>
              </w:rPr>
              <w:t>Social-cleavage strategy (Lancaster,2017; Levitsky and Way, 2020)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eastAsia="calibris" w:cs="Times New Roman Regular"/>
                <w:b w:val="0"/>
                <w:bCs w:val="0"/>
                <w:color w:val="auto"/>
                <w:sz w:val="24"/>
                <w:szCs w:val="24"/>
                <w:vertAlign w:val="baseline"/>
              </w:rPr>
              <w:t>Fidesz has come to power with neoliberal critics, while the AKP has come to power with neoliberal commitments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s" w:cs="Times New Roman Regular"/>
                <w:b/>
                <w:bCs/>
                <w:color w:val="auto"/>
                <w:sz w:val="24"/>
                <w:szCs w:val="24"/>
                <w:vertAlign w:val="baseline"/>
              </w:rPr>
              <w:t>Backgrounds</w:t>
            </w:r>
            <w:r>
              <w:rPr>
                <w:rFonts w:hint="default" w:ascii="Times New Roman Regular" w:hAnsi="Times New Roman Regular" w:eastAsia="calibris" w:cs="Times New Roman Regular"/>
                <w:b w:val="0"/>
                <w:bCs w:val="0"/>
                <w:color w:val="auto"/>
                <w:sz w:val="24"/>
                <w:szCs w:val="24"/>
                <w:vertAlign w:val="baseline"/>
              </w:rPr>
              <w:t xml:space="preserve">: </w:t>
            </w:r>
            <w:r>
              <w:rPr>
                <w:rFonts w:hint="default" w:ascii="Times New Roman Regular" w:hAnsi="Times New Roman Regular" w:eastAsia="calibris" w:cs="Times New Roman Regular"/>
                <w:b w:val="0"/>
                <w:bCs w:val="0"/>
                <w:sz w:val="24"/>
                <w:szCs w:val="24"/>
              </w:rPr>
              <w:t xml:space="preserve">democratic traditions, strong institutions, reasonably independent judiciaries and more or less established rule of law,  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eastAsia="calibris" w:cs="Times New Roman Regular"/>
                <w:b w:val="0"/>
                <w:bCs w:val="0"/>
                <w:sz w:val="24"/>
                <w:szCs w:val="24"/>
              </w:rPr>
              <w:t xml:space="preserve">Greater external scrutiny due to the </w:t>
            </w:r>
            <w:r>
              <w:rPr>
                <w:rFonts w:hint="default" w:ascii="Times New Roman Regular" w:hAnsi="Times New Roman Regular" w:eastAsia="calibris" w:cs="Times New Roman Regular"/>
                <w:b/>
                <w:bCs/>
                <w:sz w:val="24"/>
                <w:szCs w:val="24"/>
              </w:rPr>
              <w:t>relations with the West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eastAsia="calibris" w:cs="Times New Roman Regular"/>
                <w:b w:val="0"/>
                <w:bCs w:val="0"/>
                <w:sz w:val="24"/>
                <w:szCs w:val="24"/>
              </w:rPr>
              <w:t xml:space="preserve">Established competitive authoritarianism with more </w:t>
            </w:r>
            <w:r>
              <w:rPr>
                <w:rFonts w:hint="default" w:ascii="Times New Roman Regular" w:hAnsi="Times New Roman Regular" w:eastAsia="calibris" w:cs="Times New Roman Regular"/>
                <w:b/>
                <w:bCs/>
                <w:sz w:val="24"/>
                <w:szCs w:val="24"/>
              </w:rPr>
              <w:t>sophisticated strategies</w:t>
            </w:r>
            <w:r>
              <w:rPr>
                <w:rFonts w:hint="default" w:ascii="Times New Roman Regular" w:hAnsi="Times New Roman Regular" w:eastAsia="calibris" w:cs="Times New Roman Regular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eastAsia="calibris" w:cs="Times New Roman Regular"/>
                <w:b w:val="0"/>
                <w:bCs w:val="0"/>
                <w:color w:val="auto"/>
                <w:sz w:val="24"/>
                <w:szCs w:val="24"/>
                <w:vertAlign w:val="baseline"/>
              </w:rPr>
              <w:t>(Levitsky and Way, 2020)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eastAsia="calibris" w:cs="Times New Roman Regular"/>
                <w:b/>
                <w:bCs/>
                <w:color w:val="auto"/>
                <w:sz w:val="24"/>
                <w:szCs w:val="24"/>
                <w:vertAlign w:val="baseline"/>
              </w:rPr>
              <w:t>Competitive Authoritarianism (</w:t>
            </w:r>
            <w:r>
              <w:rPr>
                <w:rFonts w:hint="default" w:ascii="Times New Roman Regular" w:hAnsi="Times New Roman Regular" w:eastAsia="calibris" w:cs="Times New Roman Regular"/>
                <w:b w:val="0"/>
                <w:bCs w:val="0"/>
                <w:color w:val="auto"/>
                <w:sz w:val="24"/>
                <w:szCs w:val="24"/>
                <w:vertAlign w:val="baseline"/>
              </w:rPr>
              <w:t>Levitsky and Way,2020; Esen and Gümüşçü, 2016)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</w:rPr>
              <w:t>Media Control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</w:rPr>
              <w:t>Repression of the opposition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Times New Roman Regular" w:hAnsi="Times New Roman Regular" w:cs="Times New Roman Regular"/>
                <w:sz w:val="24"/>
                <w:szCs w:val="24"/>
              </w:rPr>
              <w:t>Altering electoral rules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lang w:val="en-A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</w:rPr>
              <w:t>I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lang w:val="en-AU"/>
              </w:rPr>
              <w:t xml:space="preserve">ntegration of the party with the state apparatus, 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lang w:val="en-AU"/>
              </w:rPr>
              <w:t>criminalization of the elite hostility and the suppression of the civil society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</w:rPr>
              <w:t xml:space="preserve"> (</w:t>
            </w:r>
            <w:r>
              <w:rPr>
                <w:rFonts w:hint="default" w:ascii="Times New Roman Regular" w:hAnsi="Times New Roman Regular" w:eastAsia="calibris" w:cs="Times New Roman Regular"/>
                <w:b w:val="0"/>
                <w:bCs w:val="0"/>
                <w:color w:val="auto"/>
                <w:sz w:val="24"/>
                <w:szCs w:val="24"/>
                <w:vertAlign w:val="baseline"/>
              </w:rPr>
              <w:t>Levitsky and Way, 2020; Diamond, 2020)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/>
                <w:bCs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Times New Roman Regular" w:hAnsi="Times New Roman Regular" w:eastAsia="calibris" w:cs="Times New Roman Regular"/>
                <w:b w:val="0"/>
                <w:bCs w:val="0"/>
                <w:color w:val="auto"/>
                <w:sz w:val="24"/>
                <w:szCs w:val="24"/>
                <w:vertAlign w:val="baseline"/>
              </w:rPr>
              <w:t>AKP has left more space for electoral competition (Diamond, 2020)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lang w:val="en-A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lang w:val="en-AU"/>
              </w:rPr>
              <w:t>heavily gerrymandered electoral map, the biased media landscape as well as the divisions paralysing the fractured opposition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</w:rPr>
              <w:t xml:space="preserve"> (Scheiring,2018)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lang w:val="en-A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lang w:val="en-AU"/>
              </w:rPr>
              <w:t xml:space="preserve">tightening control over public media and by facilitating the expansion of right-wing </w: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24"/>
                <w:szCs w:val="24"/>
                <w:lang w:val="en-AU"/>
              </w:rPr>
              <w:t>media oligarchs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</w:rPr>
              <w:t>(Scheiring,2018)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lang w:val="en-AU"/>
              </w:rPr>
              <w:t>.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lang w:val="en-AU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lang w:val="en-AU"/>
              </w:rPr>
              <w:t xml:space="preserve">curtailed the rights of the constitutional court as well as attempted to shrink the </w: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24"/>
                <w:szCs w:val="24"/>
                <w:lang w:val="en-AU"/>
              </w:rPr>
              <w:t>independence of the judiciary</w: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24"/>
                <w:szCs w:val="24"/>
              </w:rPr>
              <w:t xml:space="preserve"> (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</w:rPr>
              <w:t>Scheiring,2018)</w: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24"/>
                <w:szCs w:val="24"/>
                <w:lang w:val="en-AU"/>
              </w:rPr>
              <w:t>.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lang w:val="en-AU"/>
              </w:rPr>
            </w:pPr>
            <w:bookmarkStart w:id="0" w:name="_GoBack"/>
            <w:r>
              <w:rPr>
                <w:rFonts w:hint="default" w:ascii="Times New Roman Bold" w:hAnsi="Times New Roman Bold" w:cs="Times New Roman Bold"/>
                <w:b/>
                <w:bCs w:val="0"/>
                <w:sz w:val="24"/>
                <w:szCs w:val="24"/>
                <w:lang w:val="en-AU"/>
              </w:rPr>
              <w:t>Freedom House</w:t>
            </w:r>
            <w:bookmarkEnd w:id="0"/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lang w:val="en-AU"/>
              </w:rPr>
              <w:t xml:space="preserve"> ceased to classify Hungary as a consolidated democracy in 2015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24"/>
                <w:szCs w:val="24"/>
              </w:rPr>
              <w:t>(</w:t>
            </w:r>
            <w:r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</w:rPr>
              <w:t>Scheiring,2018)</w:t>
            </w:r>
            <w:r>
              <w:rPr>
                <w:rFonts w:hint="default" w:ascii="Times New Roman Bold" w:hAnsi="Times New Roman Bold" w:cs="Times New Roman Bold"/>
                <w:b/>
                <w:bCs w:val="0"/>
                <w:sz w:val="24"/>
                <w:szCs w:val="24"/>
                <w:lang w:val="en-AU"/>
              </w:rPr>
              <w:t>.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EuroSlavic" w:cs="Times New Roman Regular"/>
                <w:sz w:val="24"/>
                <w:szCs w:val="24"/>
              </w:rPr>
              <w:t xml:space="preserve">use </w:t>
            </w:r>
            <w:r>
              <w:rPr>
                <w:rFonts w:hint="default" w:ascii="Times New Roman Regular" w:hAnsi="Times New Roman Regular" w:eastAsia="EuroSlavic" w:cs="Times New Roman Regular"/>
                <w:b/>
                <w:bCs/>
                <w:sz w:val="24"/>
                <w:szCs w:val="24"/>
              </w:rPr>
              <w:t>national treasury</w:t>
            </w:r>
            <w:r>
              <w:rPr>
                <w:rFonts w:hint="default" w:ascii="Times New Roman Regular" w:hAnsi="Times New Roman Regular" w:eastAsia="EuroSlavic" w:cs="Times New Roman Regular"/>
                <w:sz w:val="24"/>
                <w:szCs w:val="24"/>
              </w:rPr>
              <w:t xml:space="preserve"> </w:t>
            </w:r>
            <w:r>
              <w:rPr>
                <w:rFonts w:hint="default" w:ascii="Times New Roman Regular" w:hAnsi="Times New Roman Regular" w:eastAsia="EuroSlavic" w:cs="Times New Roman Regular"/>
                <w:b/>
                <w:bCs/>
                <w:sz w:val="24"/>
                <w:szCs w:val="24"/>
              </w:rPr>
              <w:t>to dispense patronage, enrich loyal crony capitalists,</w:t>
            </w:r>
            <w:r>
              <w:rPr>
                <w:rFonts w:hint="default" w:ascii="Times New Roman Regular" w:hAnsi="Times New Roman Regular" w:eastAsia="EuroSlavic" w:cs="Times New Roman Regular"/>
                <w:sz w:val="24"/>
                <w:szCs w:val="24"/>
              </w:rPr>
              <w:t xml:space="preserve"> and </w:t>
            </w:r>
            <w:r>
              <w:rPr>
                <w:rFonts w:hint="default" w:ascii="Times New Roman Regular" w:hAnsi="Times New Roman Regular" w:eastAsia="EuroSlavic" w:cs="Times New Roman Regular"/>
                <w:b/>
                <w:bCs/>
                <w:sz w:val="24"/>
                <w:szCs w:val="24"/>
              </w:rPr>
              <w:t xml:space="preserve">expand welfare payments </w:t>
            </w:r>
            <w:r>
              <w:rPr>
                <w:rFonts w:hint="default" w:ascii="Times New Roman Regular" w:hAnsi="Times New Roman Regular" w:eastAsia="EuroSlavic" w:cs="Times New Roman Regular"/>
                <w:sz w:val="24"/>
                <w:szCs w:val="24"/>
              </w:rPr>
              <w:t xml:space="preserve">in order to solidify the support (Diamond, 2020). 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cs="Times New Roman Regular"/>
                <w:b w:val="0"/>
                <w:bCs/>
                <w:sz w:val="24"/>
                <w:szCs w:val="24"/>
                <w:lang w:val="en-AU"/>
              </w:rPr>
            </w:pP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calibris" w:cs="Times New Roman Regular"/>
                <w:b/>
                <w:bCs/>
                <w:color w:val="auto"/>
                <w:sz w:val="24"/>
                <w:szCs w:val="24"/>
                <w:vertAlign w:val="baseline"/>
              </w:rPr>
              <w:t>Differently, Hungary t</w:t>
            </w:r>
            <w:r>
              <w:rPr>
                <w:rFonts w:hint="default" w:ascii="Times New Roman Regular" w:hAnsi="Times New Roman Regular" w:eastAsia="EuroSlavic" w:cs="Times New Roman Regular"/>
                <w:sz w:val="24"/>
                <w:szCs w:val="24"/>
              </w:rPr>
              <w:t xml:space="preserve">ake advantage of a US$65-billion-a-year system of agricultural subsidies as EU member. </w:t>
            </w:r>
            <w:r>
              <w:rPr>
                <w:rFonts w:hint="default" w:ascii="Times New Roman Regular" w:hAnsi="Times New Roman Regular" w:eastAsia="EuroSlavic" w:cs="Times New Roman Regular"/>
                <w:b/>
                <w:bCs/>
                <w:sz w:val="24"/>
                <w:szCs w:val="24"/>
              </w:rPr>
              <w:t>Discretionary allocation with little accountability.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="0" w:afterAutospacing="1" w:line="340" w:lineRule="atLeast"/>
              <w:ind w:right="0" w:rightChars="0"/>
              <w:jc w:val="both"/>
              <w:textAlignment w:val="auto"/>
              <w:rPr>
                <w:rFonts w:hint="default" w:ascii="Times New Roman Regular" w:hAnsi="Times New Roman Regular" w:eastAsia="calibris" w:cs="Times New Roman Regular"/>
                <w:b/>
                <w:bCs/>
                <w:color w:val="auto"/>
                <w:sz w:val="24"/>
                <w:szCs w:val="24"/>
                <w:vertAlign w:val="baseline"/>
              </w:rPr>
            </w:pPr>
          </w:p>
        </w:tc>
      </w:tr>
    </w:tbl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1" w:line="340" w:lineRule="atLeast"/>
        <w:ind w:right="0" w:rightChars="0"/>
        <w:jc w:val="both"/>
        <w:textAlignment w:val="auto"/>
        <w:rPr>
          <w:rFonts w:hint="default" w:ascii="Times New Roman Regular" w:hAnsi="Times New Roman Regular" w:eastAsia="calibris" w:cs="Times New Roman Regular"/>
          <w:b/>
          <w:bCs/>
          <w:color w:val="auto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1" w:line="340" w:lineRule="atLeast"/>
        <w:ind w:right="0" w:rightChars="0"/>
        <w:jc w:val="both"/>
        <w:textAlignment w:val="auto"/>
        <w:rPr>
          <w:rFonts w:hint="default" w:ascii="Times New Roman Regular" w:hAnsi="Times New Roman Regular" w:eastAsia="calibris" w:cs="Times New Roman Regular"/>
          <w:b/>
          <w:bCs/>
          <w:color w:val="auto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1" w:line="340" w:lineRule="atLeast"/>
        <w:ind w:right="0" w:rightChars="0"/>
        <w:jc w:val="both"/>
        <w:textAlignment w:val="auto"/>
        <w:rPr>
          <w:rFonts w:hint="default" w:ascii="Times New Roman Regular" w:hAnsi="Times New Roman Regular" w:eastAsia="calibris" w:cs="Times New Roman Regular"/>
          <w:b w:val="0"/>
          <w:bCs w:val="0"/>
          <w:color w:val="auto"/>
          <w:sz w:val="24"/>
          <w:szCs w:val="24"/>
        </w:rPr>
      </w:pPr>
      <w:r>
        <w:rPr>
          <w:rFonts w:hint="default" w:ascii="Times New Roman Regular" w:hAnsi="Times New Roman Regular" w:eastAsia="calibris" w:cs="Times New Roman Regular"/>
          <w:b w:val="0"/>
          <w:bCs w:val="0"/>
          <w:color w:val="auto"/>
          <w:sz w:val="24"/>
          <w:szCs w:val="24"/>
        </w:rPr>
        <w:t>Fidesz ve AKP’yi kıyaslayan birkaç çalışma mevcut olmakla beraber, hegemonik parti karakterlerini dikkate alarak kıyaslayan bir çalışma var sadece (Lancaster). O da toplumdaki social-cleavage’lara oynama stratejileri üzerinde yoğunlaşmış. AKP ile Fidesz’in politik ekonomi perspektifi açısından benzerlikleri ve ayrıştıkları noktaları ortaya koymak, batı ile ilişkileri olan iki ülkedeki hegemonik partilerin kıyaslanması açısından önemli.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eastAsia="calibris" w:cs="Times New Roman Regular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rFonts w:hint="default" w:ascii="Times New Roman Regular" w:hAnsi="Times New Roman Regular" w:eastAsia="calibris" w:cs="Times New Roman Regular"/>
          <w:b w:val="0"/>
          <w:bCs w:val="0"/>
          <w:i w:val="0"/>
          <w:iCs w:val="0"/>
          <w:sz w:val="24"/>
          <w:szCs w:val="24"/>
          <w:lang w:eastAsia="zh-CN"/>
        </w:rPr>
        <w:t>Bir diğer açıdan, Avrupa’ya göç veren, nüfusun vasıfsızlaşması açılarından da benziyor. Vasıfsız bir nüfusa yönelik populist uygulamalar açısından ortaklaştıkları söylenebilir.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eastAsia="calibris" w:cs="Times New Roman Regular"/>
          <w:b w:val="0"/>
          <w:bCs w:val="0"/>
          <w:i w:val="0"/>
          <w:iCs w:val="0"/>
          <w:sz w:val="24"/>
          <w:szCs w:val="24"/>
          <w:lang w:eastAsia="zh-CN"/>
        </w:rPr>
      </w:pPr>
    </w:p>
    <w:p>
      <w:pPr>
        <w:rPr>
          <w:sz w:val="24"/>
          <w:lang w:val="tr-TR"/>
        </w:rPr>
      </w:pPr>
      <w:r>
        <w:rPr>
          <w:sz w:val="24"/>
          <w:lang w:val="tr-TR"/>
        </w:rPr>
        <w:t xml:space="preserve">World Bank raporuna göre </w:t>
      </w:r>
      <w:r>
        <w:rPr>
          <w:b/>
          <w:bCs/>
          <w:sz w:val="24"/>
          <w:lang w:val="tr-TR"/>
        </w:rPr>
        <w:t>genç işsizliği</w:t>
      </w:r>
      <w:r>
        <w:rPr>
          <w:sz w:val="24"/>
          <w:lang w:val="tr-TR"/>
        </w:rPr>
        <w:t xml:space="preserve"> ortalama işsizlikten çok daha fazla</w:t>
      </w:r>
      <w:r>
        <w:rPr>
          <w:sz w:val="24"/>
        </w:rPr>
        <w:t xml:space="preserve"> TR</w:t>
      </w:r>
      <w:r>
        <w:rPr>
          <w:rFonts w:hint="default"/>
          <w:sz w:val="24"/>
        </w:rPr>
        <w:t>’de</w:t>
      </w:r>
      <w:r>
        <w:rPr>
          <w:sz w:val="24"/>
          <w:lang w:val="tr-TR"/>
        </w:rPr>
        <w:t>. (</w:t>
      </w:r>
      <w:r>
        <w:rPr>
          <w:sz w:val="24"/>
        </w:rPr>
        <w:t xml:space="preserve">Çınar, </w:t>
      </w:r>
      <w:r>
        <w:rPr>
          <w:sz w:val="24"/>
          <w:lang w:val="tr-TR"/>
        </w:rPr>
        <w:t xml:space="preserve">p.20). Bir diğer husus Bekir Ağırdır’ın yaptığı bir ankette </w:t>
      </w:r>
      <w:r>
        <w:rPr>
          <w:b/>
          <w:bCs/>
          <w:sz w:val="24"/>
          <w:lang w:val="tr-TR"/>
        </w:rPr>
        <w:t>Z kuşağının</w:t>
      </w:r>
      <w:r>
        <w:rPr>
          <w:sz w:val="24"/>
          <w:lang w:val="tr-TR"/>
        </w:rPr>
        <w:t xml:space="preserve"> ülkenin geleceğinden umutsuz olduğu ve sandığa gitme motivasyonlarının düştüğünü gösteriyor. </w:t>
      </w:r>
    </w:p>
    <w:p>
      <w:pPr>
        <w:widowControl w:val="0"/>
        <w:numPr>
          <w:ilvl w:val="0"/>
          <w:numId w:val="0"/>
        </w:numPr>
        <w:jc w:val="both"/>
        <w:rPr>
          <w:sz w:val="24"/>
          <w:lang w:val="tr-TR"/>
        </w:rPr>
      </w:pPr>
      <w:r>
        <w:rPr>
          <w:sz w:val="24"/>
          <w:lang w:val="tr-TR"/>
        </w:rPr>
        <w:t xml:space="preserve">Yine diğer bir veri, beyin göçünün TR’de lise seviyesine indiğini gösteriyor. </w:t>
      </w:r>
      <w:r>
        <w:rPr>
          <w:b/>
          <w:bCs/>
          <w:sz w:val="24"/>
          <w:lang w:val="tr-TR"/>
        </w:rPr>
        <w:t>Macaristan ve Polonya’da olduğu gibi</w:t>
      </w:r>
      <w:r>
        <w:rPr>
          <w:sz w:val="24"/>
          <w:lang w:val="tr-TR"/>
        </w:rPr>
        <w:t xml:space="preserve">, okumuş, nitelikli işgücünü kaybeden ülkelerin, seçmen kitlesinin </w:t>
      </w:r>
      <w:r>
        <w:rPr>
          <w:sz w:val="24"/>
        </w:rPr>
        <w:t>niteliği vasıfsızlaşıyor.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 Regular" w:hAnsi="Times New Roman Regular" w:eastAsia="calibris" w:cs="Times New Roman Regular"/>
          <w:b w:val="0"/>
          <w:bCs w:val="0"/>
          <w:i w:val="0"/>
          <w:iCs w:val="0"/>
          <w:sz w:val="24"/>
          <w:szCs w:val="24"/>
          <w:lang w:eastAsia="zh-CN"/>
        </w:rPr>
      </w:pPr>
      <w:r>
        <w:rPr>
          <w:sz w:val="24"/>
          <w:lang w:val="tr-TR"/>
        </w:rPr>
        <w:t>Gençlerden oy alamadığı için gençlere dönük ayrıştırıcı, ideolojik projelere girişme eğilimi ve üniversiteleri dönüştürme trendini başlatıyor.</w:t>
      </w:r>
      <w:r>
        <w:rPr>
          <w:b/>
          <w:bCs/>
          <w:sz w:val="24"/>
          <w:lang w:val="tr-TR"/>
        </w:rPr>
        <w:t xml:space="preserve">ülkede kalan niteliksiz ve sosyal yardıma muhtaç bir seçmen tabanının </w:t>
      </w:r>
      <w:r>
        <w:rPr>
          <w:sz w:val="24"/>
          <w:lang w:val="tr-TR"/>
        </w:rPr>
        <w:t>rızasının kazanılması mekanizmalarının işletilmesini gerektiriyor.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A2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A2"/>
    <w:family w:val="swiss"/>
    <w:pitch w:val="default"/>
    <w:sig w:usb0="00000000" w:usb1="00000000" w:usb2="00000009" w:usb3="00000000" w:csb0="000001FF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A2"/>
    <w:family w:val="swiss"/>
    <w:pitch w:val="default"/>
    <w:sig w:usb0="00000000" w:usb1="00000000" w:usb2="00000009" w:usb3="00000000" w:csb0="000001FF" w:csb1="00000000"/>
  </w:font>
  <w:font w:name="Mini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dv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MacMthSy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dvOT1ef757c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1ef757c0+2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031da8b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b65e897d.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anson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TT689d5d16.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TTec369687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TTec369687+f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TTec369687+2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TTec369687+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SPRIN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FranklinGoth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AdvOT46dcae8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46dcae81+2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5fcf1b24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5fcf1b24+2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5c7b8c86.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7d6df7ab.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dvP7B6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863180f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4C4E59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863180fb+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863180fb+f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AC5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TT5843c57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863180fb+2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swiss"/>
    <w:pitch w:val="default"/>
    <w:sig w:usb0="E1002AFF" w:usb1="C000605B" w:usb2="00000029" w:usb3="00000000" w:csb0="200101FF" w:csb1="20280000"/>
  </w:font>
  <w:font w:name="Cambria">
    <w:altName w:val="Helvetica Neue"/>
    <w:panose1 w:val="02040503050406030204"/>
    <w:charset w:val="A2"/>
    <w:family w:val="roman"/>
    <w:pitch w:val="default"/>
    <w:sig w:usb0="00000000" w:usb1="00000000" w:usb2="00000000" w:usb3="00000000" w:csb0="0000019F" w:csb1="00000000"/>
  </w:font>
  <w:font w:name="AdvPAC5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AC59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dvPS44A44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A2"/>
    <w:family w:val="modern"/>
    <w:pitch w:val="default"/>
    <w:sig w:usb0="E0000AFF" w:usb1="4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ourceSans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46dcae81+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46dcae81+f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65f8a23b.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65f8a23b.I+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OT65f8a23b.I+f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calibri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roSlav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Plant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exusSerifWeb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xusSansWeb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Sans">
    <w:panose1 w:val="020B0502020104020203"/>
    <w:charset w:val="00"/>
    <w:family w:val="auto"/>
    <w:pitch w:val="default"/>
    <w:sig w:usb0="80000267" w:usb1="00000000" w:usb2="00000000" w:usb3="00000000" w:csb0="200001F7" w:csb1="CFFE0000"/>
  </w:font>
  <w:font w:name="TimesNewRom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90204"/>
    <w:charset w:val="A2"/>
    <w:family w:val="swiss"/>
    <w:pitch w:val="default"/>
    <w:sig w:usb0="E0000AFF" w:usb1="00007843" w:usb2="00000001" w:usb3="00000000" w:csb0="400001BF" w:csb1="DFF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ff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vPS9725--Identity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EuroSlavicPal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DD71D"/>
    <w:multiLevelType w:val="singleLevel"/>
    <w:tmpl w:val="609DD71D"/>
    <w:lvl w:ilvl="0" w:tentative="0">
      <w:start w:val="6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C6B6"/>
    <w:rsid w:val="037F58AA"/>
    <w:rsid w:val="3FFBF0CC"/>
    <w:rsid w:val="77FCC19E"/>
    <w:rsid w:val="8CFB83A8"/>
    <w:rsid w:val="DEF946FA"/>
    <w:rsid w:val="FFBFC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2021-11-29T14:36:00Z</dcterms:created>
  <dc:creator>merthan</dc:creator>
  <cp:lastModifiedBy>merthan</cp:lastModifiedBy>
  <dcterms:modified xsi:type="dcterms:W3CDTF">2021-11-29T15:55:19Z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