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AE5B7" w14:textId="77777777" w:rsidR="00CB7DEF" w:rsidRDefault="005F6119">
      <w:pPr>
        <w:pStyle w:val="a4"/>
      </w:pPr>
      <w:r>
        <w:t>Отчет по лабораторной работе №7</w:t>
      </w:r>
    </w:p>
    <w:p w14:paraId="1E9B6B55" w14:textId="77777777" w:rsidR="00CB7DEF" w:rsidRDefault="005F6119">
      <w:pPr>
        <w:pStyle w:val="a5"/>
      </w:pPr>
      <w:r>
        <w:t>Эффективность рекламы - вариант 44</w:t>
      </w:r>
    </w:p>
    <w:p w14:paraId="4B716B27" w14:textId="77777777" w:rsidR="00CB7DEF" w:rsidRDefault="005F6119">
      <w:pPr>
        <w:pStyle w:val="Author"/>
      </w:pPr>
      <w:r>
        <w:t>Пономарева Лилия НПИбд-02-19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568693126"/>
        <w:docPartObj>
          <w:docPartGallery w:val="Table of Contents"/>
          <w:docPartUnique/>
        </w:docPartObj>
      </w:sdtPr>
      <w:sdtEndPr/>
      <w:sdtContent>
        <w:p w14:paraId="592897C0" w14:textId="77777777" w:rsidR="00CB7DEF" w:rsidRDefault="005F6119">
          <w:pPr>
            <w:pStyle w:val="ae"/>
          </w:pPr>
          <w:r>
            <w:t>Содержание</w:t>
          </w:r>
        </w:p>
        <w:p w14:paraId="05527FC3" w14:textId="77777777" w:rsidR="008657EE" w:rsidRDefault="005F6119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9144349" w:history="1">
            <w:r w:rsidR="008657EE" w:rsidRPr="0097489E">
              <w:rPr>
                <w:rStyle w:val="ad"/>
                <w:noProof/>
              </w:rPr>
              <w:t>Цель работы</w:t>
            </w:r>
            <w:r w:rsidR="008657EE">
              <w:rPr>
                <w:noProof/>
                <w:webHidden/>
              </w:rPr>
              <w:tab/>
            </w:r>
            <w:r w:rsidR="008657EE">
              <w:rPr>
                <w:noProof/>
                <w:webHidden/>
              </w:rPr>
              <w:fldChar w:fldCharType="begin"/>
            </w:r>
            <w:r w:rsidR="008657EE">
              <w:rPr>
                <w:noProof/>
                <w:webHidden/>
              </w:rPr>
              <w:instrText xml:space="preserve"> PAGEREF _Toc99144349 \h </w:instrText>
            </w:r>
            <w:r w:rsidR="008657EE">
              <w:rPr>
                <w:noProof/>
                <w:webHidden/>
              </w:rPr>
            </w:r>
            <w:r w:rsidR="008657EE">
              <w:rPr>
                <w:noProof/>
                <w:webHidden/>
              </w:rPr>
              <w:fldChar w:fldCharType="separate"/>
            </w:r>
            <w:r w:rsidR="008657EE">
              <w:rPr>
                <w:noProof/>
                <w:webHidden/>
              </w:rPr>
              <w:t>1</w:t>
            </w:r>
            <w:r w:rsidR="008657EE">
              <w:rPr>
                <w:noProof/>
                <w:webHidden/>
              </w:rPr>
              <w:fldChar w:fldCharType="end"/>
            </w:r>
          </w:hyperlink>
        </w:p>
        <w:p w14:paraId="48FC1B9B" w14:textId="77777777" w:rsidR="008657EE" w:rsidRDefault="008657E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99144350" w:history="1">
            <w:r w:rsidRPr="0097489E">
              <w:rPr>
                <w:rStyle w:val="ad"/>
                <w:noProof/>
              </w:rPr>
              <w:t>Объект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BD2E4" w14:textId="77777777" w:rsidR="008657EE" w:rsidRDefault="008657E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99144351" w:history="1">
            <w:r w:rsidRPr="0097489E">
              <w:rPr>
                <w:rStyle w:val="ad"/>
                <w:noProof/>
              </w:rPr>
              <w:t>Предмет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6368A" w14:textId="77777777" w:rsidR="008657EE" w:rsidRDefault="008657E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99144352" w:history="1">
            <w:r w:rsidRPr="0097489E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73170" w14:textId="77777777" w:rsidR="008657EE" w:rsidRDefault="008657E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99144353" w:history="1">
            <w:r w:rsidRPr="0097489E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05F58" w14:textId="77777777" w:rsidR="008657EE" w:rsidRDefault="008657E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99144354" w:history="1">
            <w:r w:rsidRPr="0097489E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67BA6" w14:textId="77777777" w:rsidR="008657EE" w:rsidRDefault="008657E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99144355" w:history="1">
            <w:r w:rsidRPr="0097489E">
              <w:rPr>
                <w:rStyle w:val="ad"/>
                <w:noProof/>
              </w:rPr>
              <w:t>Уравнение первое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2707C" w14:textId="77777777" w:rsidR="008657EE" w:rsidRDefault="008657E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99144356" w:history="1">
            <w:r w:rsidRPr="0097489E">
              <w:rPr>
                <w:rStyle w:val="ad"/>
                <w:noProof/>
              </w:rPr>
              <w:t>Уравнение второе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23570" w14:textId="77777777" w:rsidR="008657EE" w:rsidRDefault="008657E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99144357" w:history="1">
            <w:r w:rsidRPr="0097489E">
              <w:rPr>
                <w:rStyle w:val="ad"/>
                <w:noProof/>
              </w:rPr>
              <w:t>Уравнение третье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8F536" w14:textId="77777777" w:rsidR="008657EE" w:rsidRDefault="008657E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99144358" w:history="1">
            <w:r w:rsidRPr="0097489E">
              <w:rPr>
                <w:rStyle w:val="ad"/>
                <w:noProof/>
              </w:rPr>
              <w:t>Выпросы к лабораторной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3E532" w14:textId="77777777" w:rsidR="008657EE" w:rsidRDefault="008657E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99144359" w:history="1">
            <w:r w:rsidRPr="0097489E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C7B11" w14:textId="77777777" w:rsidR="008657EE" w:rsidRDefault="008657E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99144360" w:history="1">
            <w:r w:rsidRPr="0097489E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A1516" w14:textId="77777777" w:rsidR="00CB7DEF" w:rsidRDefault="005F6119">
          <w:r>
            <w:fldChar w:fldCharType="end"/>
          </w:r>
        </w:p>
      </w:sdtContent>
    </w:sdt>
    <w:p w14:paraId="1CE7EC00" w14:textId="77777777" w:rsidR="00CB7DEF" w:rsidRDefault="005F6119">
      <w:pPr>
        <w:pStyle w:val="1"/>
      </w:pPr>
      <w:bookmarkStart w:id="0" w:name="цель-работы"/>
      <w:bookmarkStart w:id="1" w:name="_Toc99144349"/>
      <w:r>
        <w:t>Цель работы</w:t>
      </w:r>
      <w:bookmarkEnd w:id="1"/>
    </w:p>
    <w:p w14:paraId="08556AE9" w14:textId="77777777" w:rsidR="00CB7DEF" w:rsidRDefault="005F6119">
      <w:pPr>
        <w:pStyle w:val="FirstParagraph"/>
      </w:pPr>
      <w:r>
        <w:t>Рассмотреть модель рекламной кампании.</w:t>
      </w:r>
    </w:p>
    <w:p w14:paraId="4FF314E1" w14:textId="77777777" w:rsidR="00CB7DEF" w:rsidRDefault="005F6119">
      <w:pPr>
        <w:pStyle w:val="2"/>
      </w:pPr>
      <w:bookmarkStart w:id="2" w:name="объект-исследования"/>
      <w:bookmarkStart w:id="3" w:name="_Toc99144350"/>
      <w:r>
        <w:t>Объект исследования</w:t>
      </w:r>
      <w:bookmarkEnd w:id="3"/>
    </w:p>
    <w:p w14:paraId="3B74EA55" w14:textId="77777777" w:rsidR="00CB7DEF" w:rsidRDefault="005F6119">
      <w:pPr>
        <w:pStyle w:val="FirstParagraph"/>
      </w:pPr>
      <w:r>
        <w:t>Рекламная кампания.</w:t>
      </w:r>
    </w:p>
    <w:p w14:paraId="0F4E9C9E" w14:textId="77777777" w:rsidR="00CB7DEF" w:rsidRDefault="005F6119">
      <w:pPr>
        <w:pStyle w:val="2"/>
      </w:pPr>
      <w:bookmarkStart w:id="4" w:name="предмет-исследования"/>
      <w:bookmarkStart w:id="5" w:name="_Toc99144351"/>
      <w:bookmarkEnd w:id="2"/>
      <w:r>
        <w:t>Предмет исследования</w:t>
      </w:r>
      <w:bookmarkEnd w:id="5"/>
    </w:p>
    <w:p w14:paraId="55DB15CA" w14:textId="77777777" w:rsidR="00CB7DEF" w:rsidRDefault="005F6119">
      <w:pPr>
        <w:pStyle w:val="FirstParagraph"/>
      </w:pPr>
      <w:r>
        <w:t>Изучение эффективности рекламной стратегии.</w:t>
      </w:r>
    </w:p>
    <w:p w14:paraId="50DFCFA8" w14:textId="77777777" w:rsidR="00CB7DEF" w:rsidRDefault="005F6119">
      <w:pPr>
        <w:pStyle w:val="1"/>
      </w:pPr>
      <w:bookmarkStart w:id="6" w:name="теоретические-сведения"/>
      <w:bookmarkStart w:id="7" w:name="_Toc99144352"/>
      <w:bookmarkEnd w:id="0"/>
      <w:bookmarkEnd w:id="4"/>
      <w:r>
        <w:t>Теоретические сведения</w:t>
      </w:r>
      <w:bookmarkEnd w:id="7"/>
    </w:p>
    <w:p w14:paraId="352E41BD" w14:textId="77777777" w:rsidR="00CB7DEF" w:rsidRDefault="005F6119">
      <w:pPr>
        <w:pStyle w:val="FirstParagraph"/>
      </w:pPr>
      <w:r>
        <w:t>Рассмотрим модель рекламной кампании</w:t>
      </w:r>
      <w:hyperlink w:anchor="список-литературы">
        <w:r>
          <w:rPr>
            <w:rStyle w:val="ad"/>
          </w:rPr>
          <w:t>[1]</w:t>
        </w:r>
      </w:hyperlink>
      <w:r>
        <w:t>.</w:t>
      </w:r>
      <w:r>
        <w:br/>
        <w:t>Организуется рекламная кампания нового товара или услуги. Необходимо, чтобы прибыль буд</w:t>
      </w:r>
      <w:r>
        <w:t xml:space="preserve">ущих продаж с избытком покрывала издержки на рекламу. Вначале </w:t>
      </w:r>
      <w:r>
        <w:lastRenderedPageBreak/>
        <w:t>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</w:t>
      </w:r>
      <w:r>
        <w:t>т момент, когда рынок насытиться, и рекламировать товар станет бесполезным.</w:t>
      </w:r>
      <w:r>
        <w:br/>
        <w:t>Предположим, что торговыми учреждениями реализуется некоторая продукция, о которой в момент времени t из числа потенциальных покупателей N знает лишь n покупателей. Для ускорения с</w:t>
      </w:r>
      <w:r>
        <w:t>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</w:t>
      </w:r>
      <w:r>
        <w:t xml:space="preserve">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  <w:r>
        <w:br/>
        <w:t xml:space="preserve">Модель рекламной кампании описывается следующими величинами. Считаем, что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t xml:space="preserve"> - скорость изменения со временем числа потребителей, узнавших о товаре и готовых его купить, t - время, прошедшее с начала рекламной кампании, n(t) - число уже информированных клиентов. Эта величина пропорциональна числу покупателей, еще не знающих о н</w:t>
      </w:r>
      <w:r>
        <w:t xml:space="preserve">ем, это описывается следующим образом: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 xml:space="preserve">, где N - общее число потенциальных платежеспособных покупателей,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- характеризует интенсивность рекламной кампании (зависит от затрат на рекламу в данный момент времени). Помимо этого, узнавшие о т</w:t>
      </w:r>
      <w:r>
        <w:t xml:space="preserve">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>, эта величина увеличивается с увеличе</w:t>
      </w:r>
      <w:r>
        <w:t>нием потребителей узнавших о товаре. Математическая модель распространения рекламы описывается уравнением:</w:t>
      </w:r>
    </w:p>
    <w:p w14:paraId="4A9CC41B" w14:textId="77777777" w:rsidR="00CB7DEF" w:rsidRDefault="005F6119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7B1C0E7B" w14:textId="77777777" w:rsidR="00CB7DEF" w:rsidRDefault="005F6119">
      <w:pPr>
        <w:pStyle w:val="1"/>
      </w:pPr>
      <w:bookmarkStart w:id="8" w:name="выполнение-лабораторной-работы"/>
      <w:bookmarkStart w:id="9" w:name="_Toc99144353"/>
      <w:bookmarkEnd w:id="6"/>
      <w:r>
        <w:t>Выполнение лабораторной работы</w:t>
      </w:r>
      <w:bookmarkEnd w:id="9"/>
    </w:p>
    <w:p w14:paraId="7E647A3E" w14:textId="77777777" w:rsidR="00CB7DEF" w:rsidRDefault="005F6119">
      <w:pPr>
        <w:pStyle w:val="2"/>
      </w:pPr>
      <w:bookmarkStart w:id="10" w:name="задание"/>
      <w:bookmarkStart w:id="11" w:name="_Toc99144354"/>
      <w:r>
        <w:t>Задание</w:t>
      </w:r>
      <w:bookmarkEnd w:id="11"/>
    </w:p>
    <w:p w14:paraId="6FB29C93" w14:textId="77777777" w:rsidR="00CB7DEF" w:rsidRDefault="005F6119">
      <w:pPr>
        <w:pStyle w:val="FirstParagraph"/>
      </w:pPr>
      <w:r>
        <w:rPr>
          <w:b/>
          <w:bCs/>
        </w:rPr>
        <w:t>[Вариант 44]</w:t>
      </w:r>
      <w:r>
        <w:br/>
        <w:t>Постройте график распространения рекламы, математическая модель ко</w:t>
      </w:r>
      <w:r>
        <w:t>торой описывается следующим уравнением:</w:t>
      </w:r>
      <w:r>
        <w:br/>
        <w:t xml:space="preserve">1.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0.566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0.000066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br/>
        <w:t xml:space="preserve">2.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0.000044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0.244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br/>
        <w:t xml:space="preserve">3.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0.44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0.34</m:t>
            </m:r>
            <m:r>
              <w:rPr>
                <w:rFonts w:ascii="Cambria Math" w:hAnsi="Cambria Math"/>
              </w:rPr>
              <m:t>cos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br/>
        <w:t xml:space="preserve">При этом объем аудитории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3010</m:t>
        </m:r>
      </m:oMath>
      <w:r>
        <w:t>, в начальный момент о товаре знает 23 человека. Для случая 2 определите в какой момент времени скорость распространения рекламы будет иметь максимальное значение.</w:t>
      </w:r>
    </w:p>
    <w:p w14:paraId="322D9D94" w14:textId="77777777" w:rsidR="00CB7DEF" w:rsidRDefault="005F6119">
      <w:pPr>
        <w:pStyle w:val="2"/>
      </w:pPr>
      <w:bookmarkStart w:id="12" w:name="уравнение-первое"/>
      <w:bookmarkStart w:id="13" w:name="_Toc99144355"/>
      <w:bookmarkEnd w:id="10"/>
      <w:r>
        <w:lastRenderedPageBreak/>
        <w:t>Уравнение первое</w:t>
      </w:r>
      <w:bookmarkEnd w:id="13"/>
    </w:p>
    <w:p w14:paraId="1B02F914" w14:textId="77777777" w:rsidR="00CB7DEF" w:rsidRDefault="005F6119">
      <w:pPr>
        <w:pStyle w:val="FirstParagraph"/>
      </w:pPr>
      <w:r>
        <w:t>Написали программу моделирующую распространение информации с помощью реклам</w:t>
      </w:r>
      <w:r>
        <w:t xml:space="preserve">ы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на языке Modelica.</w:t>
      </w:r>
      <w:hyperlink w:anchor="список-литературы">
        <w:r>
          <w:rPr>
            <w:rStyle w:val="ad"/>
          </w:rPr>
          <w:t>[2]</w:t>
        </w:r>
      </w:hyperlink>
    </w:p>
    <w:p w14:paraId="5C1A4496" w14:textId="77777777" w:rsidR="00CB7DEF" w:rsidRDefault="005F6119">
      <w:pPr>
        <w:pStyle w:val="SourceCode"/>
      </w:pPr>
      <w:r>
        <w:rPr>
          <w:rStyle w:val="VerbatimChar"/>
        </w:rPr>
        <w:t>model lab07_1</w:t>
      </w:r>
      <w:r>
        <w:br/>
      </w:r>
      <w:r>
        <w:rPr>
          <w:rStyle w:val="VerbatimChar"/>
        </w:rPr>
        <w:t xml:space="preserve">  parameter Real N=3010;</w:t>
      </w:r>
      <w:r>
        <w:br/>
      </w:r>
      <w:r>
        <w:rPr>
          <w:rStyle w:val="VerbatimChar"/>
        </w:rPr>
        <w:t xml:space="preserve">  Real n(start=23);</w:t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 xml:space="preserve">    der(n)=(0.566 + 0.000066*n)*(N - n); </w:t>
      </w:r>
      <w:r>
        <w:br/>
      </w:r>
      <w:r>
        <w:rPr>
          <w:rStyle w:val="VerbatimChar"/>
        </w:rPr>
        <w:t>end lab07_1;</w:t>
      </w:r>
    </w:p>
    <w:p w14:paraId="76C623E7" w14:textId="77777777" w:rsidR="00CB7DEF" w:rsidRDefault="005F6119">
      <w:pPr>
        <w:pStyle w:val="FirstParagraph"/>
      </w:pPr>
      <w:r>
        <w:t>Получили график распространения информации с помощью</w:t>
      </w:r>
      <w:r>
        <w:t xml:space="preserve"> рекламы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(рис. [-@fig:001]).</w:t>
      </w:r>
    </w:p>
    <w:p w14:paraId="2A5C46F6" w14:textId="77777777" w:rsidR="00CB7DEF" w:rsidRDefault="005F6119">
      <w:pPr>
        <w:pStyle w:val="CaptionedFigure"/>
      </w:pPr>
      <w:bookmarkStart w:id="14" w:name="fig:001"/>
      <w:r>
        <w:rPr>
          <w:noProof/>
        </w:rPr>
        <w:drawing>
          <wp:inline distT="0" distB="0" distL="0" distR="0" wp14:anchorId="6300844D" wp14:editId="25E061DB">
            <wp:extent cx="5334000" cy="1665248"/>
            <wp:effectExtent l="0" t="0" r="0" b="0"/>
            <wp:docPr id="26" name="Picture" descr="Распространение информации с помощью рекламы при a_{1}(t) &gt;&gt; a_{2}(t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../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311B1087" w14:textId="77777777" w:rsidR="00CB7DEF" w:rsidRDefault="005F6119">
      <w:pPr>
        <w:pStyle w:val="ImageCaption"/>
      </w:pPr>
      <w:r>
        <w:t xml:space="preserve">Распространение информации с помощью рекламы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&gt;&gt;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7655D79E" w14:textId="77777777" w:rsidR="00CB7DEF" w:rsidRDefault="005F6119">
      <w:pPr>
        <w:pStyle w:val="2"/>
      </w:pPr>
      <w:bookmarkStart w:id="15" w:name="уравнение-второе"/>
      <w:bookmarkStart w:id="16" w:name="_Toc99144356"/>
      <w:bookmarkEnd w:id="12"/>
      <w:r>
        <w:t>Уравнение второе</w:t>
      </w:r>
      <w:bookmarkEnd w:id="16"/>
    </w:p>
    <w:p w14:paraId="563DBAAA" w14:textId="77777777" w:rsidR="00CB7DEF" w:rsidRDefault="005F6119">
      <w:pPr>
        <w:pStyle w:val="FirstParagraph"/>
      </w:pPr>
      <w:r>
        <w:t xml:space="preserve">Написали программу моделирующую распространение информации с помощью рекламы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&lt;&lt;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на языке Modelica.</w:t>
      </w:r>
      <w:hyperlink w:anchor="список-литературы">
        <w:r>
          <w:rPr>
            <w:rStyle w:val="ad"/>
          </w:rPr>
          <w:t>[2]</w:t>
        </w:r>
      </w:hyperlink>
    </w:p>
    <w:p w14:paraId="192EE5C0" w14:textId="77777777" w:rsidR="00CB7DEF" w:rsidRDefault="005F6119">
      <w:pPr>
        <w:pStyle w:val="SourceCode"/>
      </w:pPr>
      <w:r>
        <w:rPr>
          <w:rStyle w:val="VerbatimChar"/>
        </w:rPr>
        <w:t>model lab07_2</w:t>
      </w:r>
      <w:r>
        <w:br/>
      </w:r>
      <w:r>
        <w:rPr>
          <w:rStyle w:val="VerbatimChar"/>
        </w:rPr>
        <w:t xml:space="preserve">  parameter Real N=3010;</w:t>
      </w:r>
      <w:r>
        <w:br/>
      </w:r>
      <w:r>
        <w:rPr>
          <w:rStyle w:val="VerbatimChar"/>
        </w:rPr>
        <w:t xml:space="preserve">  Real n(start=23);</w:t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 xml:space="preserve">  der(n)=(0.000044 + 0.244*n)*(N - n); </w:t>
      </w:r>
      <w:r>
        <w:br/>
      </w:r>
      <w:r>
        <w:rPr>
          <w:rStyle w:val="VerbatimChar"/>
        </w:rPr>
        <w:t>end lab07_2;</w:t>
      </w:r>
    </w:p>
    <w:p w14:paraId="3730AFFF" w14:textId="77777777" w:rsidR="00CB7DEF" w:rsidRDefault="005F6119">
      <w:pPr>
        <w:pStyle w:val="FirstParagraph"/>
      </w:pPr>
      <w:r>
        <w:t xml:space="preserve">Получили график распространения информации с помощью рекламы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&lt;&lt;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(рис. [-@fig:002]).</w:t>
      </w:r>
    </w:p>
    <w:p w14:paraId="61DC9AC8" w14:textId="77777777" w:rsidR="00CB7DEF" w:rsidRDefault="005F6119">
      <w:pPr>
        <w:pStyle w:val="CaptionedFigure"/>
      </w:pPr>
      <w:bookmarkStart w:id="17" w:name="fig:002"/>
      <w:r>
        <w:rPr>
          <w:noProof/>
        </w:rPr>
        <w:lastRenderedPageBreak/>
        <w:drawing>
          <wp:inline distT="0" distB="0" distL="0" distR="0" wp14:anchorId="2C16C6E8" wp14:editId="00D97C8A">
            <wp:extent cx="5334000" cy="1665248"/>
            <wp:effectExtent l="0" t="0" r="0" b="0"/>
            <wp:docPr id="31" name="Picture" descr="Распространение информации с помощью рекламы при a_{1}(t) &lt;&lt; a_{2}(t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../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672ADFFE" w14:textId="77777777" w:rsidR="00CB7DEF" w:rsidRDefault="005F6119">
      <w:pPr>
        <w:pStyle w:val="ImageCaption"/>
      </w:pPr>
      <w:r>
        <w:t xml:space="preserve">Распространение информации с помощью рекламы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&lt;&lt;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72DFFE58" w14:textId="77777777" w:rsidR="00CB7DEF" w:rsidRDefault="005F6119">
      <w:pPr>
        <w:pStyle w:val="a0"/>
      </w:pPr>
      <w:r>
        <w:t>Нашли момент времени, когда скорость распространения рекламы имеет максимальное значение (рис.</w:t>
      </w:r>
      <w:r>
        <w:t xml:space="preserve"> [-@fig:003]).</w:t>
      </w:r>
    </w:p>
    <w:p w14:paraId="162D6577" w14:textId="77777777" w:rsidR="00CB7DEF" w:rsidRDefault="005F6119">
      <w:pPr>
        <w:pStyle w:val="CaptionedFigure"/>
      </w:pPr>
      <w:bookmarkStart w:id="18" w:name="fig:003"/>
      <w:r>
        <w:rPr>
          <w:noProof/>
        </w:rPr>
        <w:drawing>
          <wp:inline distT="0" distB="0" distL="0" distR="0" wp14:anchorId="328B6DD6" wp14:editId="2A016AF5">
            <wp:extent cx="5334000" cy="2851747"/>
            <wp:effectExtent l="0" t="0" r="0" b="0"/>
            <wp:docPr id="35" name="Picture" descr="Момент времени, когда скорость распространения рекламы имеет максимальное знач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../images/2_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1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669A447E" w14:textId="77777777" w:rsidR="00CB7DEF" w:rsidRDefault="005F6119">
      <w:pPr>
        <w:pStyle w:val="ImageCaption"/>
      </w:pPr>
      <w:r>
        <w:t>Момент времени, когда скорость распространения рекламы имеет максимальное значение</w:t>
      </w:r>
    </w:p>
    <w:p w14:paraId="474293CD" w14:textId="77777777" w:rsidR="00CB7DEF" w:rsidRDefault="005F6119">
      <w:pPr>
        <w:pStyle w:val="2"/>
      </w:pPr>
      <w:bookmarkStart w:id="19" w:name="уравнение-третье"/>
      <w:bookmarkStart w:id="20" w:name="_Toc99144357"/>
      <w:bookmarkEnd w:id="15"/>
      <w:r>
        <w:t>Уравнение третье</w:t>
      </w:r>
      <w:bookmarkEnd w:id="20"/>
    </w:p>
    <w:p w14:paraId="602D0D3E" w14:textId="77777777" w:rsidR="00CB7DEF" w:rsidRDefault="005F6119">
      <w:pPr>
        <w:pStyle w:val="FirstParagraph"/>
      </w:pPr>
      <w:r>
        <w:t>Написали программу моделирующую распространение информации с помощью рекламы на языке Modelica.</w:t>
      </w:r>
      <w:hyperlink w:anchor="список-литературы">
        <w:r>
          <w:rPr>
            <w:rStyle w:val="ad"/>
          </w:rPr>
          <w:t>[2]</w:t>
        </w:r>
      </w:hyperlink>
    </w:p>
    <w:p w14:paraId="3B61E156" w14:textId="77777777" w:rsidR="00CB7DEF" w:rsidRDefault="005F6119">
      <w:pPr>
        <w:pStyle w:val="SourceCode"/>
      </w:pPr>
      <w:r>
        <w:rPr>
          <w:rStyle w:val="VerbatimChar"/>
        </w:rPr>
        <w:t>model lab07_3</w:t>
      </w:r>
      <w:r>
        <w:br/>
      </w:r>
      <w:r>
        <w:rPr>
          <w:rStyle w:val="VerbatimChar"/>
        </w:rPr>
        <w:t xml:space="preserve">  parameter Real N=3010;</w:t>
      </w:r>
      <w:r>
        <w:br/>
      </w:r>
      <w:r>
        <w:rPr>
          <w:rStyle w:val="VerbatimChar"/>
        </w:rPr>
        <w:t xml:space="preserve">  Real n(start=23);</w:t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 xml:space="preserve">  der(n)=(0.44*time + 0.34*cos(time)*n)*(N - n); </w:t>
      </w:r>
      <w:r>
        <w:br/>
      </w:r>
      <w:r>
        <w:rPr>
          <w:rStyle w:val="VerbatimChar"/>
        </w:rPr>
        <w:t>end lab07_3;</w:t>
      </w:r>
    </w:p>
    <w:p w14:paraId="350E639B" w14:textId="77777777" w:rsidR="00CB7DEF" w:rsidRDefault="005F6119">
      <w:pPr>
        <w:pStyle w:val="FirstParagraph"/>
      </w:pPr>
      <w:r>
        <w:lastRenderedPageBreak/>
        <w:t>Получили график распространения информации с помощью рекламы (рис. [-@fig:004]).</w:t>
      </w:r>
    </w:p>
    <w:p w14:paraId="040FF01A" w14:textId="77777777" w:rsidR="00CB7DEF" w:rsidRDefault="005F6119">
      <w:pPr>
        <w:pStyle w:val="CaptionedFigure"/>
      </w:pPr>
      <w:bookmarkStart w:id="21" w:name="fig:004"/>
      <w:r>
        <w:rPr>
          <w:noProof/>
        </w:rPr>
        <w:drawing>
          <wp:inline distT="0" distB="0" distL="0" distR="0" wp14:anchorId="13711189" wp14:editId="73BA6C67">
            <wp:extent cx="5334000" cy="1665248"/>
            <wp:effectExtent l="0" t="0" r="0" b="0"/>
            <wp:docPr id="40" name="Picture" descr="Распространения информации с помощью рекламы и сарфанного ради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../images/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14:paraId="727AD129" w14:textId="77777777" w:rsidR="00CB7DEF" w:rsidRDefault="005F6119">
      <w:pPr>
        <w:pStyle w:val="ImageCaption"/>
      </w:pPr>
      <w:r>
        <w:t>Распространения информации с помощью рекла</w:t>
      </w:r>
      <w:r>
        <w:t>мы и сарфанного радио</w:t>
      </w:r>
    </w:p>
    <w:p w14:paraId="6CB7092E" w14:textId="77777777" w:rsidR="00CB7DEF" w:rsidRDefault="005F6119">
      <w:pPr>
        <w:pStyle w:val="1"/>
      </w:pPr>
      <w:bookmarkStart w:id="22" w:name="выпросы-к-лабораторной-работе"/>
      <w:bookmarkStart w:id="23" w:name="_Toc99144358"/>
      <w:bookmarkEnd w:id="8"/>
      <w:bookmarkEnd w:id="19"/>
      <w:r>
        <w:t>Выпросы к лабораторной работе</w:t>
      </w:r>
      <w:bookmarkEnd w:id="23"/>
    </w:p>
    <w:p w14:paraId="44E80A25" w14:textId="77777777" w:rsidR="00CB7DEF" w:rsidRDefault="005F6119">
      <w:pPr>
        <w:pStyle w:val="Compact"/>
        <w:numPr>
          <w:ilvl w:val="0"/>
          <w:numId w:val="2"/>
        </w:numPr>
      </w:pPr>
      <w:r>
        <w:t>Записать модель Мальтуса (дать пояснение, где используется данная модель).</w:t>
      </w:r>
      <w:r>
        <w:br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rt</m:t>
            </m:r>
          </m:sup>
        </m:sSup>
      </m:oMath>
      <w:r>
        <w:t xml:space="preserve">, где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— исходная численность населения, </w:t>
      </w:r>
      <m:oMath>
        <m:r>
          <w:rPr>
            <w:rFonts w:ascii="Cambria Math" w:hAnsi="Cambria Math"/>
          </w:rPr>
          <m:t>r</m:t>
        </m:r>
      </m:oMath>
      <w:r>
        <w:t xml:space="preserve"> — темп прироста населения, </w:t>
      </w:r>
      <m:oMath>
        <m:r>
          <w:rPr>
            <w:rFonts w:ascii="Cambria Math" w:hAnsi="Cambria Math"/>
          </w:rPr>
          <m:t>t</m:t>
        </m:r>
      </m:oMath>
      <w:r>
        <w:t xml:space="preserve"> — время. Модель описывает экспонен</w:t>
      </w:r>
      <w:r>
        <w:t>циальный рост с постоянным темпом. Примеры использования:</w:t>
      </w:r>
    </w:p>
    <w:p w14:paraId="14D9FE97" w14:textId="77777777" w:rsidR="00CB7DEF" w:rsidRDefault="005F6119">
      <w:pPr>
        <w:pStyle w:val="Compact"/>
        <w:numPr>
          <w:ilvl w:val="0"/>
          <w:numId w:val="3"/>
        </w:numPr>
      </w:pPr>
      <w:r>
        <w:t>Скорость изменения населенияпропорциональна численностинаселения умноженного на сумму коэффициентов рождения (</w:t>
      </w:r>
      <m:oMath>
        <m:r>
          <w:rPr>
            <w:rFonts w:ascii="Cambria Math" w:hAnsi="Cambria Math"/>
          </w:rPr>
          <m:t>α</m:t>
        </m:r>
      </m:oMath>
      <w:r>
        <w:t>) и смертности (</w:t>
      </w:r>
      <m:oMath>
        <m:r>
          <w:rPr>
            <w:rFonts w:ascii="Cambria Math" w:hAnsi="Cambria Math"/>
          </w:rPr>
          <m:t>β</m:t>
        </m:r>
      </m:oMath>
      <w:r>
        <w:t>).</w:t>
      </w:r>
    </w:p>
    <w:p w14:paraId="0A08B5D5" w14:textId="77777777" w:rsidR="00CB7DEF" w:rsidRDefault="005F6119">
      <w:pPr>
        <w:pStyle w:val="Compact"/>
        <w:numPr>
          <w:ilvl w:val="0"/>
          <w:numId w:val="3"/>
        </w:numPr>
      </w:pPr>
      <w:r>
        <w:t>Скорость распада атомов урана пропорционально числу частиц радиоа</w:t>
      </w:r>
      <w:r>
        <w:t>ктивного материала.</w:t>
      </w:r>
    </w:p>
    <w:p w14:paraId="0B347117" w14:textId="77777777" w:rsidR="00CB7DEF" w:rsidRDefault="005F6119">
      <w:pPr>
        <w:numPr>
          <w:ilvl w:val="0"/>
          <w:numId w:val="4"/>
        </w:numPr>
      </w:pPr>
      <w:r>
        <w:t>Записать уравнение логистической кривой (дать пояснение, что описывает данное уравнение).</w:t>
      </w:r>
      <w:r>
        <w:br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t</m:t>
                </m:r>
              </m:sup>
            </m:sSup>
          </m:den>
        </m:f>
      </m:oMath>
      <w:r>
        <w:t xml:space="preserve">, где переменная </w:t>
      </w:r>
      <m:oMath>
        <m:r>
          <w:rPr>
            <w:rFonts w:ascii="Cambria Math" w:hAnsi="Cambria Math"/>
          </w:rPr>
          <m:t>P</m:t>
        </m:r>
      </m:oMath>
      <w:r>
        <w:t xml:space="preserve"> - численность населения, переменная t – время.</w:t>
      </w:r>
      <w:r>
        <w:br/>
      </w:r>
      <w:r>
        <w:t>Моделирует кривую роста вероятности некоего события, по мере изменения управляющих параметров. Начальная стадия роста логистической кривой приблизительно соответствует экспоненте (показательная функция). Затем, по мере насыщения, рост замедляется, проходит</w:t>
      </w:r>
      <w:r>
        <w:t xml:space="preserve"> линейную фазу и, наконец, и в зрелом периоде практически останавливается.</w:t>
      </w:r>
    </w:p>
    <w:p w14:paraId="75E3487C" w14:textId="77777777" w:rsidR="00CB7DEF" w:rsidRDefault="005F6119">
      <w:pPr>
        <w:numPr>
          <w:ilvl w:val="0"/>
          <w:numId w:val="4"/>
        </w:numPr>
      </w:pPr>
      <w:r>
        <w:t xml:space="preserve">На что влияет коэффициент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в модели распространения рекламы?</w:t>
      </w:r>
    </w:p>
    <w:p w14:paraId="2B60A1AD" w14:textId="77777777" w:rsidR="00CB7DEF" w:rsidRDefault="005F6119">
      <w:pPr>
        <w:pStyle w:val="FirstParagrap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- это интенсивность рекламной кампании,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- это влияние сарафанного радио.</w:t>
      </w:r>
    </w:p>
    <w:p w14:paraId="35274197" w14:textId="77777777" w:rsidR="00CB7DEF" w:rsidRDefault="005F6119">
      <w:pPr>
        <w:pStyle w:val="Compact"/>
        <w:numPr>
          <w:ilvl w:val="0"/>
          <w:numId w:val="5"/>
        </w:numPr>
      </w:pPr>
      <w:r>
        <w:t>Как ведёт себя рассматри</w:t>
      </w:r>
      <w:r>
        <w:t xml:space="preserve">ваемая модель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?</w:t>
      </w:r>
    </w:p>
    <w:p w14:paraId="3E0C0C3B" w14:textId="77777777" w:rsidR="00CB7DEF" w:rsidRDefault="005F6119">
      <w:pPr>
        <w:pStyle w:val="FirstParagraph"/>
      </w:pPr>
      <w:r>
        <w:t>Как логистическая прямая. Довольно плавный рост (по сравнению со вторым случаем) и мягкое затухание.</w:t>
      </w:r>
    </w:p>
    <w:p w14:paraId="6F3E0D1F" w14:textId="77777777" w:rsidR="00CB7DEF" w:rsidRDefault="005F6119">
      <w:pPr>
        <w:pStyle w:val="Compact"/>
        <w:numPr>
          <w:ilvl w:val="0"/>
          <w:numId w:val="6"/>
        </w:numPr>
      </w:pPr>
      <w:r>
        <w:t xml:space="preserve">Как ведёт себя рассматриваемая модель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&lt;&lt;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?</w:t>
      </w:r>
    </w:p>
    <w:p w14:paraId="3A8A485C" w14:textId="77777777" w:rsidR="00CB7DEF" w:rsidRDefault="005F6119">
      <w:pPr>
        <w:pStyle w:val="FirstParagraph"/>
      </w:pPr>
      <w:r>
        <w:t>Как логистическая прямая, но рост резкий, как и затухание.</w:t>
      </w:r>
    </w:p>
    <w:p w14:paraId="6606D30D" w14:textId="77777777" w:rsidR="00CB7DEF" w:rsidRDefault="005F6119">
      <w:pPr>
        <w:pStyle w:val="1"/>
      </w:pPr>
      <w:bookmarkStart w:id="24" w:name="выводы"/>
      <w:bookmarkStart w:id="25" w:name="_Toc99144359"/>
      <w:bookmarkEnd w:id="22"/>
      <w:r>
        <w:lastRenderedPageBreak/>
        <w:t>Выводы</w:t>
      </w:r>
      <w:bookmarkEnd w:id="25"/>
    </w:p>
    <w:p w14:paraId="2EDB8D90" w14:textId="77777777" w:rsidR="00CB7DEF" w:rsidRDefault="005F6119">
      <w:pPr>
        <w:pStyle w:val="FirstParagraph"/>
      </w:pPr>
      <w:r>
        <w:t>Р</w:t>
      </w:r>
      <w:r>
        <w:t>ассмотрели модель рекламной кампании.</w:t>
      </w:r>
      <w:r>
        <w:br/>
        <w:t>Сравнивая первый и второй случаи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&lt;&lt;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) можно заметить, что рост распространения информации происходит намного быстрее во втором случае, что говорит о большей эффективности сарафанного радио в на</w:t>
      </w:r>
      <w:r>
        <w:t>шей модели.</w:t>
      </w:r>
    </w:p>
    <w:p w14:paraId="37D2A01C" w14:textId="77777777" w:rsidR="00CB7DEF" w:rsidRDefault="005F6119">
      <w:pPr>
        <w:pStyle w:val="1"/>
      </w:pPr>
      <w:bookmarkStart w:id="26" w:name="список-литературы"/>
      <w:bookmarkStart w:id="27" w:name="_Toc99144360"/>
      <w:bookmarkEnd w:id="24"/>
      <w:r>
        <w:t>Список литературы</w:t>
      </w:r>
      <w:bookmarkEnd w:id="27"/>
    </w:p>
    <w:p w14:paraId="26552100" w14:textId="77777777" w:rsidR="00CB7DEF" w:rsidRDefault="005F6119">
      <w:pPr>
        <w:pStyle w:val="Compact"/>
        <w:numPr>
          <w:ilvl w:val="0"/>
          <w:numId w:val="7"/>
        </w:numPr>
      </w:pPr>
      <w:hyperlink r:id="rId11">
        <w:r>
          <w:rPr>
            <w:rStyle w:val="ad"/>
          </w:rPr>
          <w:t>Родионов, Ю.В. Основы математического моделирования: учебное электронное издание / Ю.В. Родионов, А.Д. Нахман ; Тамбовский госуда</w:t>
        </w:r>
        <w:r>
          <w:rPr>
            <w:rStyle w:val="ad"/>
          </w:rPr>
          <w:t>рственный технический университет. – Тамбов : Тамбовский государственный технический университет (ТГТУ), 2018. – 111 с.</w:t>
        </w:r>
      </w:hyperlink>
      <w:r>
        <w:t>.</w:t>
      </w:r>
    </w:p>
    <w:p w14:paraId="2ADFB3C6" w14:textId="77777777" w:rsidR="00CB7DEF" w:rsidRDefault="005F6119">
      <w:pPr>
        <w:pStyle w:val="Compact"/>
        <w:numPr>
          <w:ilvl w:val="0"/>
          <w:numId w:val="7"/>
        </w:numPr>
      </w:pPr>
      <w:hyperlink r:id="rId12">
        <w:r>
          <w:rPr>
            <w:rStyle w:val="ad"/>
          </w:rPr>
          <w:t>Документация по системе Modelica</w:t>
        </w:r>
      </w:hyperlink>
      <w:r>
        <w:t>.</w:t>
      </w:r>
      <w:bookmarkEnd w:id="26"/>
    </w:p>
    <w:sectPr w:rsidR="00CB7DE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D3825" w14:textId="77777777" w:rsidR="005F6119" w:rsidRDefault="005F6119">
      <w:pPr>
        <w:spacing w:after="0"/>
      </w:pPr>
      <w:r>
        <w:separator/>
      </w:r>
    </w:p>
  </w:endnote>
  <w:endnote w:type="continuationSeparator" w:id="0">
    <w:p w14:paraId="14777489" w14:textId="77777777" w:rsidR="005F6119" w:rsidRDefault="005F61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544A3" w14:textId="77777777" w:rsidR="005F6119" w:rsidRDefault="005F6119">
      <w:r>
        <w:separator/>
      </w:r>
    </w:p>
  </w:footnote>
  <w:footnote w:type="continuationSeparator" w:id="0">
    <w:p w14:paraId="5D84D665" w14:textId="77777777" w:rsidR="005F6119" w:rsidRDefault="005F6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94A984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A14C7F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8716F98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076633C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D118012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4B70893C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7DEF"/>
    <w:rsid w:val="005F6119"/>
    <w:rsid w:val="008657EE"/>
    <w:rsid w:val="00CB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88E1"/>
  <w15:docId w15:val="{C257ADDB-37D8-4DAA-89F0-AA77F24F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8657E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657E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modelic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blioclub.ru/index.php?page=book&amp;id=570456.%20&#8211;%20&#1041;&#1080;&#1073;&#1083;&#1080;&#1086;&#1075;&#1088;.%20&#1074;%20&#1082;&#1085;.%20&#8211;%20ISBN%20978-5-8265-1886-1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1168</Words>
  <Characters>6659</Characters>
  <Application>Microsoft Office Word</Application>
  <DocSecurity>0</DocSecurity>
  <Lines>55</Lines>
  <Paragraphs>15</Paragraphs>
  <ScaleCrop>false</ScaleCrop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Пономарева Лилия НПИбд-02-19</dc:creator>
  <cp:keywords/>
  <cp:lastModifiedBy>Liliya Ponomareva</cp:lastModifiedBy>
  <cp:revision>2</cp:revision>
  <dcterms:created xsi:type="dcterms:W3CDTF">2022-03-25T20:44:00Z</dcterms:created>
  <dcterms:modified xsi:type="dcterms:W3CDTF">2022-03-25T20:45:00Z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</vt:lpwstr>
  </property>
  <property fmtid="{D5CDD505-2E9C-101B-9397-08002B2CF9AE}" pid="17" name="papersize">
    <vt:lpwstr>a4paper</vt:lpwstr>
  </property>
  <property fmtid="{D5CDD505-2E9C-101B-9397-08002B2CF9AE}" pid="18" name="pdf-engine">
    <vt:lpwstr>xelatex</vt:lpwstr>
  </property>
  <property fmtid="{D5CDD505-2E9C-101B-9397-08002B2CF9AE}" pid="19" name="polyglossia-lang">
    <vt:lpwstr>russian</vt:lpwstr>
  </property>
  <property fmtid="{D5CDD505-2E9C-101B-9397-08002B2CF9AE}" pid="20" name="polyglossia-otherlangs">
    <vt:lpwstr>english</vt:lpwstr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Эффективность рекламы - вариант 44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