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фирм.</w:t>
      </w:r>
    </w:p>
    <w:bookmarkStart w:id="20" w:name="объект-исследования"/>
    <w:p>
      <w:pPr>
        <w:pStyle w:val="Heading2"/>
      </w:pPr>
      <w:r>
        <w:t xml:space="preserve">Объект исследования</w:t>
      </w:r>
    </w:p>
    <w:p>
      <w:pPr>
        <w:pStyle w:val="FirstParagraph"/>
      </w:pPr>
      <w:r>
        <w:t xml:space="preserve">Модель конкуренции двух фирм.</w:t>
      </w:r>
    </w:p>
    <w:bookmarkEnd w:id="20"/>
    <w:bookmarkStart w:id="21" w:name="предмет-исследования"/>
    <w:p>
      <w:pPr>
        <w:pStyle w:val="Heading2"/>
      </w:pPr>
      <w:r>
        <w:t xml:space="preserve">Предмет исследования</w:t>
      </w:r>
    </w:p>
    <w:p>
      <w:pPr>
        <w:pStyle w:val="FirstParagraph"/>
      </w:pPr>
      <w:r>
        <w:t xml:space="preserve">Уравнение динамики оборотных средств двух конкурирующих фирм.</w:t>
      </w:r>
    </w:p>
    <w:bookmarkEnd w:id="21"/>
    <w:bookmarkEnd w:id="22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3" w:name="модель-одной-фирмы"/>
    <w:p>
      <w:pPr>
        <w:pStyle w:val="Heading3"/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hyperlink w:anchor="список-литературы">
        <w:r>
          <w:rPr>
            <w:rStyle w:val="Hyperlink"/>
          </w:rPr>
          <w:t xml:space="preserve">[1]</w:t>
        </w:r>
      </w:hyperlink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r>
                        <m:t>δ</m:t>
                      </m:r>
                      <m:r>
                        <m:t>p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3"/>
    <w:bookmarkStart w:id="24" w:name="конкуренция-двух-фирм"/>
    <w:p>
      <w:pPr>
        <w:pStyle w:val="Heading3"/>
      </w:pPr>
      <w:r>
        <w:t xml:space="preserve">Конкуренция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c</m:t>
                                </m:r>
                                <m: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acc>
                                  <m:accPr>
                                    <m:chr m:val="̃"/>
                                  </m:accPr>
                                  <m:e>
                                    <m: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p</m:t>
                            </m:r>
                          </m:num>
                          <m:den>
                            <m:sSub>
                              <m:e>
                                <m:acc>
                                  <m:accPr>
                                    <m:chr m:val="̃"/>
                                  </m:accPr>
                                  <m:e>
                                    <m: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q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4"/>
    <w:bookmarkEnd w:id="25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44</w:t>
      </w:r>
      <w:r>
        <w:br/>
      </w: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0.00025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</w:t>
      </w:r>
      <w:r>
        <w:t xml:space="preserve"> </w:t>
      </w:r>
      <w:r>
        <w:t xml:space="preserve">параметрами: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6"/>
    <w:bookmarkStart w:id="31" w:name="случай-первый"/>
    <w:p>
      <w:pPr>
        <w:pStyle w:val="Heading2"/>
      </w:pPr>
      <w:r>
        <w:t xml:space="preserve">Случай первый</w:t>
      </w:r>
    </w:p>
    <w:p>
      <w:pPr>
        <w:pStyle w:val="FirstParagraph"/>
      </w:pPr>
      <w:r>
        <w:t xml:space="preserve">Написали программу, моделирующую динамику изменения объемов продаж фирмы 1 и 2 (конкурентная борьба ведётся только рыночными методами) на языке Modelica.</w:t>
      </w:r>
      <w:hyperlink w:anchor="список-литературы">
        <w:r>
          <w:rPr>
            <w:rStyle w:val="Hyperlink"/>
          </w:rPr>
          <w:t xml:space="preserve">[2]</w:t>
        </w:r>
      </w:hyperlink>
    </w:p>
    <w:p>
      <w:pPr>
        <w:pStyle w:val="SourceCode"/>
      </w:pPr>
      <w:r>
        <w:rPr>
          <w:rStyle w:val="VerbatimChar"/>
        </w:rPr>
        <w:t xml:space="preserve">model lab08</w:t>
      </w:r>
      <w:r>
        <w:br/>
      </w:r>
      <w:r>
        <w:rPr>
          <w:rStyle w:val="VerbatimChar"/>
        </w:rPr>
        <w:t xml:space="preserve">  parameter Real a1 = p_cr/(t1^2 * p1^2*N*q);</w:t>
      </w:r>
      <w:r>
        <w:br/>
      </w:r>
      <w:r>
        <w:rPr>
          <w:rStyle w:val="VerbatimChar"/>
        </w:rPr>
        <w:t xml:space="preserve">  parameter Real a2 = p_cr/(t2^2 * p2^2 * N*q);</w:t>
      </w:r>
      <w:r>
        <w:br/>
      </w:r>
      <w:r>
        <w:rPr>
          <w:rStyle w:val="VerbatimChar"/>
        </w:rPr>
        <w:t xml:space="preserve">  parameter Real b = p_cr/(t1^2*p1^2 * t2^2*p2^2 * N*q);</w:t>
      </w:r>
      <w:r>
        <w:br/>
      </w:r>
      <w:r>
        <w:rPr>
          <w:rStyle w:val="VerbatimChar"/>
        </w:rPr>
        <w:t xml:space="preserve">  parameter Real c1 = (p_cr - p1)/(t1 * p1);</w:t>
      </w:r>
      <w:r>
        <w:br/>
      </w:r>
      <w:r>
        <w:rPr>
          <w:rStyle w:val="VerbatimChar"/>
        </w:rPr>
        <w:t xml:space="preserve">  parameter Real c2 = (p_cr - p2)/(t2 * 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Real p_cr = 35;</w:t>
      </w:r>
      <w:r>
        <w:br/>
      </w:r>
      <w:r>
        <w:rPr>
          <w:rStyle w:val="VerbatimChar"/>
        </w:rPr>
        <w:t xml:space="preserve">  parameter Real N = 44;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t1 = 21;</w:t>
      </w:r>
      <w:r>
        <w:br/>
      </w:r>
      <w:r>
        <w:rPr>
          <w:rStyle w:val="VerbatimChar"/>
        </w:rPr>
        <w:t xml:space="preserve">  parameter Real t2 = 20;</w:t>
      </w:r>
      <w:r>
        <w:br/>
      </w:r>
      <w:r>
        <w:rPr>
          <w:rStyle w:val="VerbatimChar"/>
        </w:rPr>
        <w:t xml:space="preserve">  parameter Real p1 = 13;</w:t>
      </w:r>
      <w:r>
        <w:br/>
      </w:r>
      <w:r>
        <w:rPr>
          <w:rStyle w:val="VerbatimChar"/>
        </w:rPr>
        <w:t xml:space="preserve">  parameter Real p2 = 10;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 = 9.1);</w:t>
      </w:r>
      <w:r>
        <w:br/>
      </w:r>
      <w:r>
        <w:rPr>
          <w:rStyle w:val="VerbatimChar"/>
        </w:rPr>
        <w:t xml:space="preserve">  Real M2(start = 7.7);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der(M1) = M1 - b/c1 * M1 * M2 - a1/c1 * M1^2;</w:t>
      </w:r>
      <w:r>
        <w:br/>
      </w:r>
      <w:r>
        <w:rPr>
          <w:rStyle w:val="VerbatimChar"/>
        </w:rPr>
        <w:t xml:space="preserve">    der(M2) = c2/c1 * M2 - b/c1 * M1 * M2 - a2/c1 * M2^2;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end lab08;</w:t>
      </w:r>
    </w:p>
    <w:p>
      <w:pPr>
        <w:pStyle w:val="FirstParagraph"/>
      </w:pPr>
      <w:r>
        <w:t xml:space="preserve">Получили график изменения объемов продаж фирм (см.</w:t>
      </w:r>
      <w:r>
        <w:t xml:space="preserve"> </w:t>
      </w:r>
      <w:r>
        <w:t xml:space="preserve">[@fig:fig1]</w:t>
      </w:r>
      <w:r>
        <w:t xml:space="preserve">).</w:t>
      </w:r>
    </w:p>
    <w:p>
      <w:pPr>
        <w:pStyle w:val="CaptionedFigure"/>
      </w:pPr>
      <w:bookmarkStart w:id="30" w:name="fig:fig1"/>
      <w:r>
        <w:drawing>
          <wp:inline>
            <wp:extent cx="5334000" cy="1665248"/>
            <wp:effectExtent b="0" l="0" r="0" t="0"/>
            <wp:docPr descr="Изменение объемов продаж фирм, конкурентная борьба которых ведется только рыночными методами" title="" id="28" name="Picture"/>
            <a:graphic>
              <a:graphicData uri="http://schemas.openxmlformats.org/drawingml/2006/picture">
                <pic:pic>
                  <pic:nvPicPr>
                    <pic:cNvPr descr="../images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Изменение объемов продаж фирм, конкурентная борьба которых ведется только рыночными методами</w:t>
      </w:r>
    </w:p>
    <w:bookmarkEnd w:id="31"/>
    <w:bookmarkStart w:id="36" w:name="случай-второй"/>
    <w:p>
      <w:pPr>
        <w:pStyle w:val="Heading2"/>
      </w:pPr>
      <w:r>
        <w:t xml:space="preserve">Случай второй</w:t>
      </w:r>
    </w:p>
    <w:p>
      <w:pPr>
        <w:pStyle w:val="FirstParagraph"/>
      </w:pPr>
      <w:r>
        <w:t xml:space="preserve">Написали программу, моделирующую динамику изменения объемов продаж фирмы 1 и 2 (с учетом социально-психологических факторов) на языке Modelica.</w:t>
      </w:r>
      <w:hyperlink w:anchor="список-литературы">
        <w:r>
          <w:rPr>
            <w:rStyle w:val="Hyperlink"/>
          </w:rPr>
          <w:t xml:space="preserve">[2]</w:t>
        </w:r>
      </w:hyperlink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  parameter Real a1 = p_cr/(t1^2 * p1^2*N*q);</w:t>
      </w:r>
      <w:r>
        <w:br/>
      </w:r>
      <w:r>
        <w:rPr>
          <w:rStyle w:val="VerbatimChar"/>
        </w:rPr>
        <w:t xml:space="preserve">  parameter Real a2 = p_cr/(t2^2 * p2^2 * N*q);</w:t>
      </w:r>
      <w:r>
        <w:br/>
      </w:r>
      <w:r>
        <w:rPr>
          <w:rStyle w:val="VerbatimChar"/>
        </w:rPr>
        <w:t xml:space="preserve">  parameter Real b = p_cr/(t1^2*p1^2 * t2^2*p2^2 * N*q);</w:t>
      </w:r>
      <w:r>
        <w:br/>
      </w:r>
      <w:r>
        <w:rPr>
          <w:rStyle w:val="VerbatimChar"/>
        </w:rPr>
        <w:t xml:space="preserve">  parameter Real c1 = (p_cr - p1)/(t1 * p1);</w:t>
      </w:r>
      <w:r>
        <w:br/>
      </w:r>
      <w:r>
        <w:rPr>
          <w:rStyle w:val="VerbatimChar"/>
        </w:rPr>
        <w:t xml:space="preserve">  parameter Real c2 = (p_cr - p2)/(t2 * 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Real p_cr = 35;</w:t>
      </w:r>
      <w:r>
        <w:br/>
      </w:r>
      <w:r>
        <w:rPr>
          <w:rStyle w:val="VerbatimChar"/>
        </w:rPr>
        <w:t xml:space="preserve">  parameter Real N = 44;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t1 = 21;</w:t>
      </w:r>
      <w:r>
        <w:br/>
      </w:r>
      <w:r>
        <w:rPr>
          <w:rStyle w:val="VerbatimChar"/>
        </w:rPr>
        <w:t xml:space="preserve">  parameter Real t2 = 20;</w:t>
      </w:r>
      <w:r>
        <w:br/>
      </w:r>
      <w:r>
        <w:rPr>
          <w:rStyle w:val="VerbatimChar"/>
        </w:rPr>
        <w:t xml:space="preserve">  parameter Real p1 = 13;</w:t>
      </w:r>
      <w:r>
        <w:br/>
      </w:r>
      <w:r>
        <w:rPr>
          <w:rStyle w:val="VerbatimChar"/>
        </w:rPr>
        <w:t xml:space="preserve">  parameter Real p2 = 10;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 = 9.1);</w:t>
      </w:r>
      <w:r>
        <w:br/>
      </w:r>
      <w:r>
        <w:rPr>
          <w:rStyle w:val="VerbatimChar"/>
        </w:rPr>
        <w:t xml:space="preserve">  Real M2(start = 7.7);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der(M1) = M1 - b/c1 * M1 * M2 - a1/c1 * M1^2;</w:t>
      </w:r>
      <w:r>
        <w:br/>
      </w:r>
      <w:r>
        <w:rPr>
          <w:rStyle w:val="VerbatimChar"/>
        </w:rPr>
        <w:t xml:space="preserve">    der(M2) = c2/c1 * M2 - (b/c1 + 0.00025) * M1 * M2 - a2/c1 * M2^2;</w:t>
      </w:r>
      <w:r>
        <w:br/>
      </w:r>
      <w:r>
        <w:br/>
      </w:r>
      <w:r>
        <w:rPr>
          <w:rStyle w:val="VerbatimChar"/>
        </w:rPr>
        <w:t xml:space="preserve">end lab08_2;</w:t>
      </w:r>
    </w:p>
    <w:p>
      <w:pPr>
        <w:pStyle w:val="FirstParagraph"/>
      </w:pPr>
      <w:r>
        <w:t xml:space="preserve">Получили график изменения объемов продаж фирм (см.</w:t>
      </w:r>
      <w:r>
        <w:t xml:space="preserve"> </w:t>
      </w:r>
      <w:r>
        <w:t xml:space="preserve">[@fig:fig2]</w:t>
      </w:r>
      <w:r>
        <w:t xml:space="preserve">).</w:t>
      </w:r>
    </w:p>
    <w:p>
      <w:pPr>
        <w:pStyle w:val="CaptionedFigure"/>
      </w:pPr>
      <w:bookmarkStart w:id="35" w:name="fig:fig2"/>
      <w:r>
        <w:drawing>
          <wp:inline>
            <wp:extent cx="5334000" cy="1665248"/>
            <wp:effectExtent b="0" l="0" r="0" t="0"/>
            <wp:docPr descr="Изменение объемов продаж фирм, среди которых первая обладает лучшей репутацией" title="" id="33" name="Picture"/>
            <a:graphic>
              <a:graphicData uri="http://schemas.openxmlformats.org/drawingml/2006/picture">
                <pic:pic>
                  <pic:nvPicPr>
                    <pic:cNvPr descr="../images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Изменение объемов продаж фирм, среди которых первая обладает лучшей репутацией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модель конкуренции двух фирм в двух случаях: без учета социально-психологического фактора и с ним.</w:t>
      </w:r>
      <w:r>
        <w:br/>
      </w:r>
      <w:r>
        <w:t xml:space="preserve">В первом случае (см.</w:t>
      </w:r>
      <w:r>
        <w:t xml:space="preserve"> </w:t>
      </w:r>
      <w:r>
        <w:t xml:space="preserve">[@fig:fig1]</w:t>
      </w:r>
      <w:r>
        <w:t xml:space="preserve">) можем заметить, что рост оборотных средств предприятий идет независимо друг от друга.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 Для первой фирмы это значение состовляет 7550.24 млн. единиц, для второй - 6285.61 млн. единиц.</w:t>
      </w:r>
      <w:r>
        <w:br/>
      </w:r>
      <w:r>
        <w:t xml:space="preserve">Во втором случае (см.</w:t>
      </w:r>
      <w:r>
        <w:t xml:space="preserve"> </w:t>
      </w:r>
      <w:r>
        <w:t xml:space="preserve">[@fig:fig2]</w:t>
      </w:r>
      <w:r>
        <w:t xml:space="preserve">) можем заметить, что вторая фирма, несмотря на начальный рост, начитает нести убытки и, в итоге, терпит банкротство. Динамика роста объёмов оборотных средств второй фирмы остается без изменения: достигнув максимального значения, остаётся на этом уровне.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Родионов, Ю.В. Основы математического моделирования: учебное электронное издание / Ю.В. Родионов, А.Д. Нахман ; Тамбовский государственный технический университет. – Тамбов : Тамбовский государственный технический университет (ТГТУ), 2018. – 111 с.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hyperlink r:id="rId40">
        <w:r>
          <w:rPr>
            <w:rStyle w:val="Hyperlink"/>
          </w:rPr>
          <w:t xml:space="preserve">Документация по системе Modelica</w:t>
        </w:r>
      </w:hyperlink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9" Target="https://biblioclub.ru/index.php?page=book&amp;id=570456.%20&#8211;%20&#1041;&#1080;&#1073;&#1083;&#1080;&#1086;&#1075;&#1088;.%20&#1074;%20&#1082;&#1085;.%20&#8211;%20ISBN%20978-5-8265-1886-1" TargetMode="External" /><Relationship Type="http://schemas.openxmlformats.org/officeDocument/2006/relationships/hyperlink" Id="rId40" Target="https://www.modelic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iblioclub.ru/index.php?page=book&amp;id=570456.%20&#8211;%20&#1041;&#1080;&#1073;&#1083;&#1080;&#1086;&#1075;&#1088;.%20&#1074;%20&#1082;&#1085;.%20&#8211;%20ISBN%20978-5-8265-1886-1" TargetMode="External" /><Relationship Type="http://schemas.openxmlformats.org/officeDocument/2006/relationships/hyperlink" Id="rId40" Target="https://www.modelic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Пономарева Лилия НПИбд-02-19</dc:creator>
  <dc:language>ru-RU</dc:language>
  <cp:keywords/>
  <dcterms:created xsi:type="dcterms:W3CDTF">2022-04-02T15:37:32Z</dcterms:created>
  <dcterms:modified xsi:type="dcterms:W3CDTF">2022-04-02T15:37:32Z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</vt:lpwstr>
  </property>
  <property fmtid="{D5CDD505-2E9C-101B-9397-08002B2CF9AE}" pid="17" name="papersize">
    <vt:lpwstr>a4paper</vt:lpwstr>
  </property>
  <property fmtid="{D5CDD505-2E9C-101B-9397-08002B2CF9AE}" pid="18" name="pdf-engine">
    <vt:lpwstr>xelatex</vt:lpwstr>
  </property>
  <property fmtid="{D5CDD505-2E9C-101B-9397-08002B2CF9AE}" pid="19" name="polyglossia-lang">
    <vt:lpwstr>russian</vt:lpwstr>
  </property>
  <property fmtid="{D5CDD505-2E9C-101B-9397-08002B2CF9AE}" pid="20" name="polyglossia-otherlangs">
    <vt:lpwstr>english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конкуренции двух фирм - вариант 44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