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Georgia" w:cs="Georgia" w:eastAsia="Georgia" w:hAnsi="Georgia"/>
          <w:b/>
          <w:bCs/>
          <w:color w:val="0F2040"/>
          <w:sz w:val="72"/>
          <w:szCs w:val="72"/>
        </w:rPr>
        <w:t xml:space="preserve">EduAssist</w:t>
      </w:r>
    </w:p>
    <w:p>
      <w:pPr>
        <w:spacing w:after="200"/>
        <w:jc w:val="center"/>
      </w:pPr>
      <w:r>
        <w:rPr>
          <w:rFonts w:ascii="Georgia" w:cs="Georgia" w:eastAsia="Georgia" w:hAnsi="Georgia"/>
          <w:i/>
          <w:iCs/>
          <w:color w:val="C8993A"/>
          <w:sz w:val="32"/>
          <w:szCs w:val="32"/>
        </w:rPr>
        <w:t xml:space="preserve">Academic &amp; Professional Support Platform</w:t>
      </w:r>
    </w:p>
    <w:p>
      <w:pPr>
        <w:spacing w:after="600"/>
        <w:jc w:val="center"/>
      </w:pPr>
      <w:r>
        <w:rPr>
          <w:rFonts w:ascii="Calibri" w:cs="Calibri" w:eastAsia="Calibri" w:hAnsi="Calibri"/>
          <w:color w:val="5A5248"/>
          <w:sz w:val="24"/>
          <w:szCs w:val="24"/>
        </w:rPr>
        <w:t xml:space="preserve">Business Plan 2026</w:t>
      </w:r>
    </w:p>
    <w:p>
      <w:pPr>
        <w:pBdr>
          <w:top w:val="single" w:color="C8993A" w:sz="6" w:space="8"/>
          <w:bottom w:val="single" w:color="C8993A" w:sz="6" w:space="8"/>
        </w:pBdr>
        <w:spacing w:after="100" w:before="100"/>
        <w:jc w:val="center"/>
      </w:pPr>
      <w:r>
        <w:rPr>
          <w:rFonts w:ascii="Calibri" w:cs="Calibri" w:eastAsia="Calibri" w:hAnsi="Calibri"/>
          <w:i/>
          <w:iCs/>
          <w:color w:val="5A5248"/>
          <w:sz w:val="18"/>
          <w:szCs w:val="18"/>
        </w:rPr>
        <w:t xml:space="preserve">Confidential — For Review Purposes Only</w:t>
      </w:r>
    </w:p>
    <w:p>
      <w:pPr>
        <w:spacing w:after="100"/>
      </w:pPr>
    </w:p>
    <w:p>
      <w:pPr>
        <w:spacing w:after="100"/>
      </w:pPr>
    </w:p>
    <w:p>
      <w:pPr>
        <w:pStyle w:val="Heading1"/>
        <w:pBdr>
          <w:bottom w:val="single" w:color="C8993A" w:sz="6" w:space="4"/>
        </w:pBdr>
        <w:spacing w:after="150" w:before="400"/>
      </w:pPr>
      <w:r>
        <w:t xml:space="preserve">1. Executive Summary</w:t>
      </w:r>
      <w:r>
        <w:rPr>
          <w:rFonts w:ascii="Georgia" w:cs="Georgia" w:eastAsia="Georgia" w:hAnsi="Georgia"/>
          <w:b/>
          <w:bCs/>
          <w:color w:val="0F2040"/>
          <w:sz w:val="32"/>
          <w:szCs w:val="32"/>
        </w:rPr>
        <w:t xml:space="preserve">1. Executive Summary</w:t>
      </w:r>
    </w:p>
    <w:p>
      <w:pPr>
        <w:spacing w:after="160"/>
      </w:pPr>
      <w:r>
        <w:rPr>
          <w:rFonts w:ascii="Calibri" w:cs="Calibri" w:eastAsia="Calibri" w:hAnsi="Calibri"/>
          <w:b w:val="false"/>
          <w:bCs w:val="false"/>
          <w:color w:val="5A5248"/>
          <w:sz w:val="22"/>
          <w:szCs w:val="22"/>
        </w:rPr>
        <w:t xml:space="preserve">EduAssist is a web-based platform designed to provide fast, reliable, and affordable academic, career, and digital support services to students and professionals across multiple disciplines and education levels. The platform serves clients from high school through postgraduate levels, as well as working professionals seeking career advancement.</w:t>
      </w:r>
    </w:p>
    <w:p>
      <w:pPr>
        <w:spacing w:after="200"/>
      </w:pPr>
      <w:r>
        <w:rPr>
          <w:rFonts w:ascii="Calibri" w:cs="Calibri" w:eastAsia="Calibri" w:hAnsi="Calibri"/>
          <w:b w:val="false"/>
          <w:bCs w:val="false"/>
          <w:color w:val="5A5248"/>
          <w:sz w:val="22"/>
          <w:szCs w:val="22"/>
        </w:rPr>
        <w:t xml:space="preserve">The project objective is to design and deploy a centralized online platform that connects users with structured support — enabling efficient access to assistance while creating a scalable income-generating system that can evolve into a full-service digital agency.</w:t>
      </w:r>
    </w:p>
    <w:p>
      <w:pPr>
        <w:spacing w:after="100" w:before="300"/>
      </w:pPr>
      <w:r>
        <w:rPr>
          <w:rFonts w:ascii="Calibri" w:cs="Calibri" w:eastAsia="Calibri" w:hAnsi="Calibri"/>
          <w:b/>
          <w:bCs/>
          <w:color w:val="0F2040"/>
          <w:sz w:val="24"/>
          <w:szCs w:val="24"/>
        </w:rPr>
        <w:t xml:space="preserve">Key Highlights</w:t>
      </w:r>
    </w:p>
    <w:p>
      <w:pPr>
        <w:pStyle w:val="ListParagraph"/>
        <w:numPr>
          <w:ilvl w:val="0"/>
          <w:numId w:val="1"/>
        </w:numPr>
        <w:spacing w:after="80"/>
      </w:pPr>
      <w:r>
        <w:rPr>
          <w:rFonts w:ascii="Calibri" w:cs="Calibri" w:eastAsia="Calibri" w:hAnsi="Calibri"/>
          <w:color w:val="5A5248"/>
          <w:sz w:val="22"/>
          <w:szCs w:val="22"/>
        </w:rPr>
        <w:t xml:space="preserve">Three core service pillars: Academic, Career, and Digital Support</w:t>
      </w:r>
    </w:p>
    <w:p>
      <w:pPr>
        <w:pStyle w:val="ListParagraph"/>
        <w:numPr>
          <w:ilvl w:val="0"/>
          <w:numId w:val="1"/>
        </w:numPr>
        <w:spacing w:after="80"/>
      </w:pPr>
      <w:r>
        <w:rPr>
          <w:rFonts w:ascii="Calibri" w:cs="Calibri" w:eastAsia="Calibri" w:hAnsi="Calibri"/>
          <w:color w:val="5A5248"/>
          <w:sz w:val="22"/>
          <w:szCs w:val="22"/>
        </w:rPr>
        <w:t xml:space="preserve">Target market: Students (HS, UG, PG) and professionals globally</w:t>
      </w:r>
    </w:p>
    <w:p>
      <w:pPr>
        <w:pStyle w:val="ListParagraph"/>
        <w:numPr>
          <w:ilvl w:val="0"/>
          <w:numId w:val="1"/>
        </w:numPr>
        <w:spacing w:after="80"/>
      </w:pPr>
      <w:r>
        <w:rPr>
          <w:rFonts w:ascii="Calibri" w:cs="Calibri" w:eastAsia="Calibri" w:hAnsi="Calibri"/>
          <w:color w:val="5A5248"/>
          <w:sz w:val="22"/>
          <w:szCs w:val="22"/>
        </w:rPr>
        <w:t xml:space="preserve">Simple client communication via WhatsApp and email</w:t>
      </w:r>
    </w:p>
    <w:p>
      <w:pPr>
        <w:pStyle w:val="ListParagraph"/>
        <w:numPr>
          <w:ilvl w:val="0"/>
          <w:numId w:val="1"/>
        </w:numPr>
        <w:spacing w:after="80"/>
      </w:pPr>
      <w:r>
        <w:rPr>
          <w:rFonts w:ascii="Calibri" w:cs="Calibri" w:eastAsia="Calibri" w:hAnsi="Calibri"/>
          <w:color w:val="5A5248"/>
          <w:sz w:val="22"/>
          <w:szCs w:val="22"/>
        </w:rPr>
        <w:t xml:space="preserve">Scalable model with tiered pricing from $10 to $60+ per task</w:t>
      </w:r>
    </w:p>
    <w:p>
      <w:pPr>
        <w:pStyle w:val="ListParagraph"/>
        <w:numPr>
          <w:ilvl w:val="0"/>
          <w:numId w:val="1"/>
        </w:numPr>
        <w:spacing w:after="80"/>
      </w:pPr>
      <w:r>
        <w:rPr>
          <w:rFonts w:ascii="Calibri" w:cs="Calibri" w:eastAsia="Calibri" w:hAnsi="Calibri"/>
          <w:color w:val="5A5248"/>
          <w:sz w:val="22"/>
          <w:szCs w:val="22"/>
        </w:rPr>
        <w:t xml:space="preserve">Sustainable income stream through service delivery</w:t>
      </w:r>
    </w:p>
    <w:p>
      <w:pPr>
        <w:spacing w:after="100"/>
      </w:pPr>
    </w:p>
    <w:p>
      <w:pPr>
        <w:pStyle w:val="Heading1"/>
        <w:pBdr>
          <w:bottom w:val="single" w:color="C8993A" w:sz="6" w:space="4"/>
        </w:pBdr>
        <w:spacing w:after="150" w:before="400"/>
      </w:pPr>
      <w:r>
        <w:t xml:space="preserve">2. Business Overview</w:t>
      </w:r>
      <w:r>
        <w:rPr>
          <w:rFonts w:ascii="Georgia" w:cs="Georgia" w:eastAsia="Georgia" w:hAnsi="Georgia"/>
          <w:b/>
          <w:bCs/>
          <w:color w:val="0F2040"/>
          <w:sz w:val="32"/>
          <w:szCs w:val="32"/>
        </w:rPr>
        <w:t xml:space="preserve">2. Business Overview</w:t>
      </w:r>
    </w:p>
    <w:p>
      <w:pPr>
        <w:spacing w:after="100" w:before="300"/>
      </w:pPr>
      <w:r>
        <w:rPr>
          <w:rFonts w:ascii="Calibri" w:cs="Calibri" w:eastAsia="Calibri" w:hAnsi="Calibri"/>
          <w:b/>
          <w:bCs/>
          <w:color w:val="0F2040"/>
          <w:sz w:val="24"/>
          <w:szCs w:val="24"/>
        </w:rPr>
        <w:t xml:space="preserve">Mission Statement</w:t>
      </w:r>
    </w:p>
    <w:p>
      <w:pPr>
        <w:spacing w:after="180"/>
      </w:pPr>
      <w:r>
        <w:rPr>
          <w:rFonts w:ascii="Calibri" w:cs="Calibri" w:eastAsia="Calibri" w:hAnsi="Calibri"/>
          <w:b w:val="false"/>
          <w:bCs w:val="false"/>
          <w:color w:val="5A5248"/>
          <w:sz w:val="22"/>
          <w:szCs w:val="22"/>
        </w:rPr>
        <w:t xml:space="preserve">To provide every student and professional with fast, affordable, and expert support — making academic excellence and career success accessible to all.</w:t>
      </w:r>
    </w:p>
    <w:p>
      <w:pPr>
        <w:spacing w:after="100" w:before="300"/>
      </w:pPr>
      <w:r>
        <w:rPr>
          <w:rFonts w:ascii="Calibri" w:cs="Calibri" w:eastAsia="Calibri" w:hAnsi="Calibri"/>
          <w:b/>
          <w:bCs/>
          <w:color w:val="0F2040"/>
          <w:sz w:val="24"/>
          <w:szCs w:val="24"/>
        </w:rPr>
        <w:t xml:space="preserve">Vision</w:t>
      </w:r>
    </w:p>
    <w:p>
      <w:pPr>
        <w:spacing w:after="180"/>
      </w:pPr>
      <w:r>
        <w:rPr>
          <w:rFonts w:ascii="Calibri" w:cs="Calibri" w:eastAsia="Calibri" w:hAnsi="Calibri"/>
          <w:b w:val="false"/>
          <w:bCs w:val="false"/>
          <w:color w:val="5A5248"/>
          <w:sz w:val="22"/>
          <w:szCs w:val="22"/>
        </w:rPr>
        <w:t xml:space="preserve">To become the most trusted global platform for academic and professional support services, recognized for quality, reliability, and client satisfaction.</w:t>
      </w:r>
    </w:p>
    <w:p>
      <w:pPr>
        <w:spacing w:after="100" w:before="300"/>
      </w:pPr>
      <w:r>
        <w:rPr>
          <w:rFonts w:ascii="Calibri" w:cs="Calibri" w:eastAsia="Calibri" w:hAnsi="Calibri"/>
          <w:b/>
          <w:bCs/>
          <w:color w:val="0F2040"/>
          <w:sz w:val="24"/>
          <w:szCs w:val="24"/>
        </w:rPr>
        <w:t xml:space="preserve">Business Model</w:t>
      </w:r>
    </w:p>
    <w:p>
      <w:pPr>
        <w:spacing w:after="180"/>
      </w:pPr>
      <w:r>
        <w:rPr>
          <w:rFonts w:ascii="Calibri" w:cs="Calibri" w:eastAsia="Calibri" w:hAnsi="Calibri"/>
          <w:b w:val="false"/>
          <w:bCs w:val="false"/>
          <w:color w:val="5A5248"/>
          <w:sz w:val="22"/>
          <w:szCs w:val="22"/>
        </w:rPr>
        <w:t xml:space="preserve">EduAssist operates as a service-on-demand platform. Clients contact us via WhatsApp or email, receive a quote, and receive completed work within agreed timelines. Revenue is generated directly through service fees with tiered pricing based on complexity and turnaround 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0F2040" w:color="0F204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Tier</w:t>
            </w:r>
          </w:p>
        </w:tc>
        <w:tc>
          <w:tcPr>
            <w:tcW w:type="dxa" w:w="2250"/>
            <w:shd w:fill="0F2040" w:color="0F204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Scope</w:t>
            </w:r>
          </w:p>
        </w:tc>
        <w:tc>
          <w:tcPr>
            <w:tcW w:type="dxa" w:w="2250"/>
            <w:shd w:fill="0F2040" w:color="0F204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Starting Price</w:t>
            </w:r>
          </w:p>
        </w:tc>
        <w:tc>
          <w:tcPr>
            <w:tcW w:type="dxa" w:w="2250"/>
            <w:shd w:fill="0F2040" w:color="0F204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Turnaround</w:t>
            </w:r>
          </w:p>
        </w:tc>
      </w:tr>
      <w:tr>
        <w:tc>
          <w:tcPr>
            <w:tcW w:type="dxa" w:w="2250"/>
            <w:shd w:fill="F4F2EE" w:color="F4F2EE" w:val="clear"/>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Basic</w:t>
            </w:r>
          </w:p>
        </w:tc>
        <w:tc>
          <w:tcPr>
            <w:tcW w:type="dxa" w:w="225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Short tasks, proofreading, simple assignments</w:t>
            </w:r>
          </w:p>
        </w:tc>
        <w:tc>
          <w:tcPr>
            <w:tcW w:type="dxa" w:w="225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From $10</w:t>
            </w:r>
          </w:p>
        </w:tc>
        <w:tc>
          <w:tcPr>
            <w:tcW w:type="dxa" w:w="225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48 hours</w:t>
            </w:r>
          </w:p>
        </w:tc>
      </w:tr>
      <w:tr>
        <w:tc>
          <w:tcPr>
            <w:tcW w:type="dxa" w:w="2250"/>
            <w:shd w:fill="F4F2EE" w:color="F4F2EE" w:val="clear"/>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Standard</w:t>
            </w:r>
          </w:p>
        </w:tc>
        <w:tc>
          <w:tcPr>
            <w:tcW w:type="dxa" w:w="225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Research papers, CVs, social content</w:t>
            </w:r>
          </w:p>
        </w:tc>
        <w:tc>
          <w:tcPr>
            <w:tcW w:type="dxa" w:w="225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From $25</w:t>
            </w:r>
          </w:p>
        </w:tc>
        <w:tc>
          <w:tcPr>
            <w:tcW w:type="dxa" w:w="225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24 hours</w:t>
            </w:r>
          </w:p>
        </w:tc>
      </w:tr>
      <w:tr>
        <w:tc>
          <w:tcPr>
            <w:tcW w:type="dxa" w:w="2250"/>
            <w:shd w:fill="F4F2EE" w:color="F4F2EE" w:val="clear"/>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Premium</w:t>
            </w:r>
          </w:p>
        </w:tc>
        <w:tc>
          <w:tcPr>
            <w:tcW w:type="dxa" w:w="225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Dissertations, websites, coaching</w:t>
            </w:r>
          </w:p>
        </w:tc>
        <w:tc>
          <w:tcPr>
            <w:tcW w:type="dxa" w:w="225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From $60</w:t>
            </w:r>
          </w:p>
        </w:tc>
        <w:tc>
          <w:tcPr>
            <w:tcW w:type="dxa" w:w="225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Priority</w:t>
            </w:r>
          </w:p>
        </w:tc>
      </w:tr>
    </w:tbl>
    <w:p>
      <w:pPr>
        <w:spacing w:after="100"/>
      </w:pPr>
    </w:p>
    <w:p>
      <w:pPr>
        <w:pStyle w:val="Heading1"/>
        <w:pBdr>
          <w:bottom w:val="single" w:color="C8993A" w:sz="6" w:space="4"/>
        </w:pBdr>
        <w:spacing w:after="150" w:before="400"/>
      </w:pPr>
      <w:r>
        <w:t xml:space="preserve">3. Services Offered</w:t>
      </w:r>
      <w:r>
        <w:rPr>
          <w:rFonts w:ascii="Georgia" w:cs="Georgia" w:eastAsia="Georgia" w:hAnsi="Georgia"/>
          <w:b/>
          <w:bCs/>
          <w:color w:val="0F2040"/>
          <w:sz w:val="32"/>
          <w:szCs w:val="32"/>
        </w:rPr>
        <w:t xml:space="preserve">3. Services Offered</w:t>
      </w:r>
    </w:p>
    <w:p>
      <w:pPr>
        <w:spacing w:after="100" w:before="300"/>
      </w:pPr>
      <w:r>
        <w:rPr>
          <w:rFonts w:ascii="Calibri" w:cs="Calibri" w:eastAsia="Calibri" w:hAnsi="Calibri"/>
          <w:b/>
          <w:bCs/>
          <w:color w:val="0F2040"/>
          <w:sz w:val="24"/>
          <w:szCs w:val="24"/>
        </w:rPr>
        <w:t xml:space="preserve">3.1 Academic Support</w:t>
      </w:r>
    </w:p>
    <w:p>
      <w:pPr>
        <w:spacing w:after="80"/>
      </w:pPr>
      <w:r>
        <w:rPr>
          <w:rFonts w:ascii="Calibri" w:cs="Calibri" w:eastAsia="Calibri" w:hAnsi="Calibri"/>
          <w:b w:val="false"/>
          <w:bCs w:val="false"/>
          <w:color w:val="5A5248"/>
          <w:sz w:val="22"/>
          <w:szCs w:val="22"/>
        </w:rPr>
        <w:t xml:space="preserve">Comprehensive academic assistance across all levels and disciplines:</w:t>
      </w:r>
    </w:p>
    <w:p>
      <w:pPr>
        <w:pStyle w:val="ListParagraph"/>
        <w:numPr>
          <w:ilvl w:val="0"/>
          <w:numId w:val="1"/>
        </w:numPr>
        <w:spacing w:after="80"/>
      </w:pPr>
      <w:r>
        <w:rPr>
          <w:rFonts w:ascii="Calibri" w:cs="Calibri" w:eastAsia="Calibri" w:hAnsi="Calibri"/>
          <w:color w:val="5A5248"/>
          <w:sz w:val="22"/>
          <w:szCs w:val="22"/>
        </w:rPr>
        <w:t xml:space="preserve">Essays, reports, and structured academic writing</w:t>
      </w:r>
    </w:p>
    <w:p>
      <w:pPr>
        <w:pStyle w:val="ListParagraph"/>
        <w:numPr>
          <w:ilvl w:val="0"/>
          <w:numId w:val="1"/>
        </w:numPr>
        <w:spacing w:after="80"/>
      </w:pPr>
      <w:r>
        <w:rPr>
          <w:rFonts w:ascii="Calibri" w:cs="Calibri" w:eastAsia="Calibri" w:hAnsi="Calibri"/>
          <w:color w:val="5A5248"/>
          <w:sz w:val="22"/>
          <w:szCs w:val="22"/>
        </w:rPr>
        <w:t xml:space="preserve">Research papers and literature reviews</w:t>
      </w:r>
    </w:p>
    <w:p>
      <w:pPr>
        <w:pStyle w:val="ListParagraph"/>
        <w:numPr>
          <w:ilvl w:val="0"/>
          <w:numId w:val="1"/>
        </w:numPr>
        <w:spacing w:after="80"/>
      </w:pPr>
      <w:r>
        <w:rPr>
          <w:rFonts w:ascii="Calibri" w:cs="Calibri" w:eastAsia="Calibri" w:hAnsi="Calibri"/>
          <w:color w:val="5A5248"/>
          <w:sz w:val="22"/>
          <w:szCs w:val="22"/>
        </w:rPr>
        <w:t xml:space="preserve">Dissertations and theses (Masters and PhD level)</w:t>
      </w:r>
    </w:p>
    <w:p>
      <w:pPr>
        <w:pStyle w:val="ListParagraph"/>
        <w:numPr>
          <w:ilvl w:val="0"/>
          <w:numId w:val="1"/>
        </w:numPr>
        <w:spacing w:after="80"/>
      </w:pPr>
      <w:r>
        <w:rPr>
          <w:rFonts w:ascii="Calibri" w:cs="Calibri" w:eastAsia="Calibri" w:hAnsi="Calibri"/>
          <w:color w:val="5A5248"/>
          <w:sz w:val="22"/>
          <w:szCs w:val="22"/>
        </w:rPr>
        <w:t xml:space="preserve">Coursework, assignments, and problem sets</w:t>
      </w:r>
    </w:p>
    <w:p>
      <w:pPr>
        <w:pStyle w:val="ListParagraph"/>
        <w:numPr>
          <w:ilvl w:val="0"/>
          <w:numId w:val="1"/>
        </w:numPr>
        <w:spacing w:after="80"/>
      </w:pPr>
      <w:r>
        <w:rPr>
          <w:rFonts w:ascii="Calibri" w:cs="Calibri" w:eastAsia="Calibri" w:hAnsi="Calibri"/>
          <w:color w:val="5A5248"/>
          <w:sz w:val="22"/>
          <w:szCs w:val="22"/>
        </w:rPr>
        <w:t xml:space="preserve">Proofreading, editing, and formatting</w:t>
      </w:r>
    </w:p>
    <w:p>
      <w:pPr>
        <w:pStyle w:val="ListParagraph"/>
        <w:numPr>
          <w:ilvl w:val="0"/>
          <w:numId w:val="1"/>
        </w:numPr>
        <w:spacing w:after="80"/>
      </w:pPr>
      <w:r>
        <w:rPr>
          <w:rFonts w:ascii="Calibri" w:cs="Calibri" w:eastAsia="Calibri" w:hAnsi="Calibri"/>
          <w:color w:val="5A5248"/>
          <w:sz w:val="22"/>
          <w:szCs w:val="22"/>
        </w:rPr>
        <w:t xml:space="preserve">Subject-specific tutoring and guidance</w:t>
      </w:r>
    </w:p>
    <w:p>
      <w:pPr>
        <w:spacing w:after="100"/>
      </w:pPr>
    </w:p>
    <w:p>
      <w:pPr>
        <w:spacing w:after="100" w:before="300"/>
      </w:pPr>
      <w:r>
        <w:rPr>
          <w:rFonts w:ascii="Calibri" w:cs="Calibri" w:eastAsia="Calibri" w:hAnsi="Calibri"/>
          <w:b/>
          <w:bCs/>
          <w:color w:val="0F2040"/>
          <w:sz w:val="24"/>
          <w:szCs w:val="24"/>
        </w:rPr>
        <w:t xml:space="preserve">3.2 Career Development</w:t>
      </w:r>
    </w:p>
    <w:p>
      <w:pPr>
        <w:spacing w:after="80"/>
      </w:pPr>
      <w:r>
        <w:rPr>
          <w:rFonts w:ascii="Calibri" w:cs="Calibri" w:eastAsia="Calibri" w:hAnsi="Calibri"/>
          <w:b w:val="false"/>
          <w:bCs w:val="false"/>
          <w:color w:val="5A5248"/>
          <w:sz w:val="22"/>
          <w:szCs w:val="22"/>
        </w:rPr>
        <w:t xml:space="preserve">Professional support to help clients compete in the job market:</w:t>
      </w:r>
    </w:p>
    <w:p>
      <w:pPr>
        <w:pStyle w:val="ListParagraph"/>
        <w:numPr>
          <w:ilvl w:val="0"/>
          <w:numId w:val="1"/>
        </w:numPr>
        <w:spacing w:after="80"/>
      </w:pPr>
      <w:r>
        <w:rPr>
          <w:rFonts w:ascii="Calibri" w:cs="Calibri" w:eastAsia="Calibri" w:hAnsi="Calibri"/>
          <w:color w:val="5A5248"/>
          <w:sz w:val="22"/>
          <w:szCs w:val="22"/>
        </w:rPr>
        <w:t xml:space="preserve">CV and resume writing tailored to industry and role</w:t>
      </w:r>
    </w:p>
    <w:p>
      <w:pPr>
        <w:pStyle w:val="ListParagraph"/>
        <w:numPr>
          <w:ilvl w:val="0"/>
          <w:numId w:val="1"/>
        </w:numPr>
        <w:spacing w:after="80"/>
      </w:pPr>
      <w:r>
        <w:rPr>
          <w:rFonts w:ascii="Calibri" w:cs="Calibri" w:eastAsia="Calibri" w:hAnsi="Calibri"/>
          <w:color w:val="5A5248"/>
          <w:sz w:val="22"/>
          <w:szCs w:val="22"/>
        </w:rPr>
        <w:t xml:space="preserve">Cover letter drafting and customization</w:t>
      </w:r>
    </w:p>
    <w:p>
      <w:pPr>
        <w:pStyle w:val="ListParagraph"/>
        <w:numPr>
          <w:ilvl w:val="0"/>
          <w:numId w:val="1"/>
        </w:numPr>
        <w:spacing w:after="80"/>
      </w:pPr>
      <w:r>
        <w:rPr>
          <w:rFonts w:ascii="Calibri" w:cs="Calibri" w:eastAsia="Calibri" w:hAnsi="Calibri"/>
          <w:color w:val="5A5248"/>
          <w:sz w:val="22"/>
          <w:szCs w:val="22"/>
        </w:rPr>
        <w:t xml:space="preserve">LinkedIn profile optimization for visibility</w:t>
      </w:r>
    </w:p>
    <w:p>
      <w:pPr>
        <w:pStyle w:val="ListParagraph"/>
        <w:numPr>
          <w:ilvl w:val="0"/>
          <w:numId w:val="1"/>
        </w:numPr>
        <w:spacing w:after="80"/>
      </w:pPr>
      <w:r>
        <w:rPr>
          <w:rFonts w:ascii="Calibri" w:cs="Calibri" w:eastAsia="Calibri" w:hAnsi="Calibri"/>
          <w:color w:val="5A5248"/>
          <w:sz w:val="22"/>
          <w:szCs w:val="22"/>
        </w:rPr>
        <w:t xml:space="preserve">Interview preparation and mock sessions</w:t>
      </w:r>
    </w:p>
    <w:p>
      <w:pPr>
        <w:pStyle w:val="ListParagraph"/>
        <w:numPr>
          <w:ilvl w:val="0"/>
          <w:numId w:val="1"/>
        </w:numPr>
        <w:spacing w:after="80"/>
      </w:pPr>
      <w:r>
        <w:rPr>
          <w:rFonts w:ascii="Calibri" w:cs="Calibri" w:eastAsia="Calibri" w:hAnsi="Calibri"/>
          <w:color w:val="5A5248"/>
          <w:sz w:val="22"/>
          <w:szCs w:val="22"/>
        </w:rPr>
        <w:t xml:space="preserve">Job application strategy and guidance</w:t>
      </w:r>
    </w:p>
    <w:p>
      <w:pPr>
        <w:pStyle w:val="ListParagraph"/>
        <w:numPr>
          <w:ilvl w:val="0"/>
          <w:numId w:val="1"/>
        </w:numPr>
        <w:spacing w:after="80"/>
      </w:pPr>
      <w:r>
        <w:rPr>
          <w:rFonts w:ascii="Calibri" w:cs="Calibri" w:eastAsia="Calibri" w:hAnsi="Calibri"/>
          <w:color w:val="5A5248"/>
          <w:sz w:val="22"/>
          <w:szCs w:val="22"/>
        </w:rPr>
        <w:t xml:space="preserve">Professional biography and portfolio writing</w:t>
      </w:r>
    </w:p>
    <w:p>
      <w:pPr>
        <w:spacing w:after="100"/>
      </w:pPr>
    </w:p>
    <w:p>
      <w:pPr>
        <w:spacing w:after="100" w:before="300"/>
      </w:pPr>
      <w:r>
        <w:rPr>
          <w:rFonts w:ascii="Calibri" w:cs="Calibri" w:eastAsia="Calibri" w:hAnsi="Calibri"/>
          <w:b/>
          <w:bCs/>
          <w:color w:val="0F2040"/>
          <w:sz w:val="24"/>
          <w:szCs w:val="24"/>
        </w:rPr>
        <w:t xml:space="preserve">3.3 Digital Services</w:t>
      </w:r>
    </w:p>
    <w:p>
      <w:pPr>
        <w:spacing w:after="80"/>
      </w:pPr>
      <w:r>
        <w:rPr>
          <w:rFonts w:ascii="Calibri" w:cs="Calibri" w:eastAsia="Calibri" w:hAnsi="Calibri"/>
          <w:b w:val="false"/>
          <w:bCs w:val="false"/>
          <w:color w:val="5A5248"/>
          <w:sz w:val="22"/>
          <w:szCs w:val="22"/>
        </w:rPr>
        <w:t xml:space="preserve">End-to-end digital support for online presence and operations:</w:t>
      </w:r>
    </w:p>
    <w:p>
      <w:pPr>
        <w:pStyle w:val="ListParagraph"/>
        <w:numPr>
          <w:ilvl w:val="0"/>
          <w:numId w:val="1"/>
        </w:numPr>
        <w:spacing w:after="80"/>
      </w:pPr>
      <w:r>
        <w:rPr>
          <w:rFonts w:ascii="Calibri" w:cs="Calibri" w:eastAsia="Calibri" w:hAnsi="Calibri"/>
          <w:color w:val="5A5248"/>
          <w:sz w:val="22"/>
          <w:szCs w:val="22"/>
        </w:rPr>
        <w:t xml:space="preserve">Website creation and basic web development</w:t>
      </w:r>
    </w:p>
    <w:p>
      <w:pPr>
        <w:pStyle w:val="ListParagraph"/>
        <w:numPr>
          <w:ilvl w:val="0"/>
          <w:numId w:val="1"/>
        </w:numPr>
        <w:spacing w:after="80"/>
      </w:pPr>
      <w:r>
        <w:rPr>
          <w:rFonts w:ascii="Calibri" w:cs="Calibri" w:eastAsia="Calibri" w:hAnsi="Calibri"/>
          <w:color w:val="5A5248"/>
          <w:sz w:val="22"/>
          <w:szCs w:val="22"/>
        </w:rPr>
        <w:t xml:space="preserve">Social media content creation and scheduling</w:t>
      </w:r>
    </w:p>
    <w:p>
      <w:pPr>
        <w:pStyle w:val="ListParagraph"/>
        <w:numPr>
          <w:ilvl w:val="0"/>
          <w:numId w:val="1"/>
        </w:numPr>
        <w:spacing w:after="80"/>
      </w:pPr>
      <w:r>
        <w:rPr>
          <w:rFonts w:ascii="Calibri" w:cs="Calibri" w:eastAsia="Calibri" w:hAnsi="Calibri"/>
          <w:color w:val="5A5248"/>
          <w:sz w:val="22"/>
          <w:szCs w:val="22"/>
        </w:rPr>
        <w:t xml:space="preserve">Graphic design for presentations, banners, and branding</w:t>
      </w:r>
    </w:p>
    <w:p>
      <w:pPr>
        <w:pStyle w:val="ListParagraph"/>
        <w:numPr>
          <w:ilvl w:val="0"/>
          <w:numId w:val="1"/>
        </w:numPr>
        <w:spacing w:after="80"/>
      </w:pPr>
      <w:r>
        <w:rPr>
          <w:rFonts w:ascii="Calibri" w:cs="Calibri" w:eastAsia="Calibri" w:hAnsi="Calibri"/>
          <w:color w:val="5A5248"/>
          <w:sz w:val="22"/>
          <w:szCs w:val="22"/>
        </w:rPr>
        <w:t xml:space="preserve">Data entry, research, and virtual assistant tasks</w:t>
      </w:r>
    </w:p>
    <w:p>
      <w:pPr>
        <w:pStyle w:val="ListParagraph"/>
        <w:numPr>
          <w:ilvl w:val="0"/>
          <w:numId w:val="1"/>
        </w:numPr>
        <w:spacing w:after="80"/>
      </w:pPr>
      <w:r>
        <w:rPr>
          <w:rFonts w:ascii="Calibri" w:cs="Calibri" w:eastAsia="Calibri" w:hAnsi="Calibri"/>
          <w:color w:val="5A5248"/>
          <w:sz w:val="22"/>
          <w:szCs w:val="22"/>
        </w:rPr>
        <w:t xml:space="preserve">Email newsletter creation and management</w:t>
      </w:r>
    </w:p>
    <w:p>
      <w:pPr>
        <w:spacing w:after="100"/>
      </w:pPr>
    </w:p>
    <w:p>
      <w:pPr>
        <w:pStyle w:val="Heading1"/>
        <w:pBdr>
          <w:bottom w:val="single" w:color="C8993A" w:sz="6" w:space="4"/>
        </w:pBdr>
        <w:spacing w:after="150" w:before="400"/>
      </w:pPr>
      <w:r>
        <w:t xml:space="preserve">4. Target Market</w:t>
      </w:r>
      <w:r>
        <w:rPr>
          <w:rFonts w:ascii="Georgia" w:cs="Georgia" w:eastAsia="Georgia" w:hAnsi="Georgia"/>
          <w:b/>
          <w:bCs/>
          <w:color w:val="0F2040"/>
          <w:sz w:val="32"/>
          <w:szCs w:val="32"/>
        </w:rPr>
        <w:t xml:space="preserve">4. Target Market</w:t>
      </w:r>
    </w:p>
    <w:p>
      <w:pPr>
        <w:spacing w:after="120"/>
      </w:pPr>
      <w:r>
        <w:rPr>
          <w:rFonts w:ascii="Calibri" w:cs="Calibri" w:eastAsia="Calibri" w:hAnsi="Calibri"/>
          <w:b w:val="false"/>
          <w:bCs w:val="false"/>
          <w:color w:val="5A5248"/>
          <w:sz w:val="22"/>
          <w:szCs w:val="22"/>
        </w:rPr>
        <w:t xml:space="preserve">EduAssist serves a broad, globally distributed client base unified by a need for expert, accessible support: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0F2040" w:color="0F204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Segment</w:t>
            </w:r>
          </w:p>
        </w:tc>
        <w:tc>
          <w:tcPr>
            <w:tcW w:type="dxa" w:w="3000"/>
            <w:shd w:fill="0F2040" w:color="0F204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Profile</w:t>
            </w:r>
          </w:p>
        </w:tc>
        <w:tc>
          <w:tcPr>
            <w:tcW w:type="dxa" w:w="3000"/>
            <w:shd w:fill="0F2040" w:color="0F204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Primary Need</w:t>
            </w:r>
          </w:p>
        </w:tc>
      </w:tr>
      <w:tr>
        <w:tc>
          <w:tcPr>
            <w:tcW w:type="dxa" w:w="3000"/>
            <w:shd w:fill="F4F2EE" w:color="F4F2EE" w:val="clear"/>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High School Students</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O-Level &amp; A-Level, ages 14–18</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Assignment help, exam prep, essays</w:t>
            </w:r>
          </w:p>
        </w:tc>
      </w:tr>
      <w:tr>
        <w:tc>
          <w:tcPr>
            <w:tcW w:type="dxa" w:w="3000"/>
            <w:shd w:fill="F4F2EE" w:color="F4F2EE" w:val="clear"/>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Undergraduates</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Degree students, ages 18–25</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Research papers, coursework, projects</w:t>
            </w:r>
          </w:p>
        </w:tc>
      </w:tr>
      <w:tr>
        <w:tc>
          <w:tcPr>
            <w:tcW w:type="dxa" w:w="3000"/>
            <w:shd w:fill="F4F2EE" w:color="F4F2EE" w:val="clear"/>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Postgraduates</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Masters/PhD students, ages 23–35</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Dissertations, advanced research, theses</w:t>
            </w:r>
          </w:p>
        </w:tc>
      </w:tr>
      <w:tr>
        <w:tc>
          <w:tcPr>
            <w:tcW w:type="dxa" w:w="3000"/>
            <w:shd w:fill="F4F2EE" w:color="F4F2EE" w:val="clear"/>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Professionals</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Working adults, ages 25–45</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CV/career docs, digital presence, business writing</w:t>
            </w:r>
          </w:p>
        </w:tc>
      </w:tr>
    </w:tbl>
    <w:p>
      <w:pPr>
        <w:spacing w:after="100"/>
      </w:pPr>
    </w:p>
    <w:p>
      <w:pPr>
        <w:pStyle w:val="Heading1"/>
        <w:pBdr>
          <w:bottom w:val="single" w:color="C8993A" w:sz="6" w:space="4"/>
        </w:pBdr>
        <w:spacing w:after="150" w:before="400"/>
      </w:pPr>
      <w:r>
        <w:t xml:space="preserve">5. Competitive Advantage</w:t>
      </w:r>
      <w:r>
        <w:rPr>
          <w:rFonts w:ascii="Georgia" w:cs="Georgia" w:eastAsia="Georgia" w:hAnsi="Georgia"/>
          <w:b/>
          <w:bCs/>
          <w:color w:val="0F2040"/>
          <w:sz w:val="32"/>
          <w:szCs w:val="32"/>
        </w:rPr>
        <w:t xml:space="preserve">5. Competitive Advantage</w:t>
      </w:r>
    </w:p>
    <w:p>
      <w:pPr>
        <w:spacing w:after="120"/>
      </w:pPr>
      <w:r>
        <w:rPr>
          <w:rFonts w:ascii="Calibri" w:cs="Calibri" w:eastAsia="Calibri" w:hAnsi="Calibri"/>
          <w:b w:val="false"/>
          <w:bCs w:val="false"/>
          <w:color w:val="5A5248"/>
          <w:sz w:val="22"/>
          <w:szCs w:val="22"/>
        </w:rPr>
        <w:t xml:space="preserve">EduAssist differentiates itself through a combination of accessibility, quality, and personal communication:</w:t>
      </w:r>
    </w:p>
    <w:p>
      <w:pPr>
        <w:pStyle w:val="ListParagraph"/>
        <w:numPr>
          <w:ilvl w:val="0"/>
          <w:numId w:val="1"/>
        </w:numPr>
        <w:spacing w:after="80"/>
      </w:pPr>
      <w:r>
        <w:rPr>
          <w:rFonts w:ascii="Calibri" w:cs="Calibri" w:eastAsia="Calibri" w:hAnsi="Calibri"/>
          <w:color w:val="5A5248"/>
          <w:sz w:val="22"/>
          <w:szCs w:val="22"/>
        </w:rPr>
        <w:t xml:space="preserve">Direct WhatsApp/email communication — no complex portals or slow ticketing systems</w:t>
      </w:r>
    </w:p>
    <w:p>
      <w:pPr>
        <w:pStyle w:val="ListParagraph"/>
        <w:numPr>
          <w:ilvl w:val="0"/>
          <w:numId w:val="1"/>
        </w:numPr>
        <w:spacing w:after="80"/>
      </w:pPr>
      <w:r>
        <w:rPr>
          <w:rFonts w:ascii="Calibri" w:cs="Calibri" w:eastAsia="Calibri" w:hAnsi="Calibri"/>
          <w:color w:val="5A5248"/>
          <w:sz w:val="22"/>
          <w:szCs w:val="22"/>
        </w:rPr>
        <w:t xml:space="preserve">Affordable pricing accessible to students on tight budgets</w:t>
      </w:r>
    </w:p>
    <w:p>
      <w:pPr>
        <w:pStyle w:val="ListParagraph"/>
        <w:numPr>
          <w:ilvl w:val="0"/>
          <w:numId w:val="1"/>
        </w:numPr>
        <w:spacing w:after="80"/>
      </w:pPr>
      <w:r>
        <w:rPr>
          <w:rFonts w:ascii="Calibri" w:cs="Calibri" w:eastAsia="Calibri" w:hAnsi="Calibri"/>
          <w:color w:val="5A5248"/>
          <w:sz w:val="22"/>
          <w:szCs w:val="22"/>
        </w:rPr>
        <w:t xml:space="preserve">Fast turnaround with a clear revision policy</w:t>
      </w:r>
    </w:p>
    <w:p>
      <w:pPr>
        <w:pStyle w:val="ListParagraph"/>
        <w:numPr>
          <w:ilvl w:val="0"/>
          <w:numId w:val="1"/>
        </w:numPr>
        <w:spacing w:after="80"/>
      </w:pPr>
      <w:r>
        <w:rPr>
          <w:rFonts w:ascii="Calibri" w:cs="Calibri" w:eastAsia="Calibri" w:hAnsi="Calibri"/>
          <w:color w:val="5A5248"/>
          <w:sz w:val="22"/>
          <w:szCs w:val="22"/>
        </w:rPr>
        <w:t xml:space="preserve">Multi-service platform covering academic, career, and digital needs under one roof</w:t>
      </w:r>
    </w:p>
    <w:p>
      <w:pPr>
        <w:pStyle w:val="ListParagraph"/>
        <w:numPr>
          <w:ilvl w:val="0"/>
          <w:numId w:val="1"/>
        </w:numPr>
        <w:spacing w:after="80"/>
      </w:pPr>
      <w:r>
        <w:rPr>
          <w:rFonts w:ascii="Calibri" w:cs="Calibri" w:eastAsia="Calibri" w:hAnsi="Calibri"/>
          <w:color w:val="5A5248"/>
          <w:sz w:val="22"/>
          <w:szCs w:val="22"/>
        </w:rPr>
        <w:t xml:space="preserve">Personalized approach — each project is handled individually, not templated</w:t>
      </w:r>
    </w:p>
    <w:p>
      <w:pPr>
        <w:pStyle w:val="ListParagraph"/>
        <w:numPr>
          <w:ilvl w:val="0"/>
          <w:numId w:val="1"/>
        </w:numPr>
        <w:spacing w:after="80"/>
      </w:pPr>
      <w:r>
        <w:rPr>
          <w:rFonts w:ascii="Calibri" w:cs="Calibri" w:eastAsia="Calibri" w:hAnsi="Calibri"/>
          <w:color w:val="5A5248"/>
          <w:sz w:val="22"/>
          <w:szCs w:val="22"/>
        </w:rPr>
        <w:t xml:space="preserve">Confidential service with no personal data resale</w:t>
      </w:r>
    </w:p>
    <w:p>
      <w:pPr>
        <w:spacing w:after="100"/>
      </w:pPr>
    </w:p>
    <w:p>
      <w:pPr>
        <w:pStyle w:val="Heading1"/>
        <w:pBdr>
          <w:bottom w:val="single" w:color="C8993A" w:sz="6" w:space="4"/>
        </w:pBdr>
        <w:spacing w:after="150" w:before="400"/>
      </w:pPr>
      <w:r>
        <w:t xml:space="preserve">6. Revenue Projections</w:t>
      </w:r>
      <w:r>
        <w:rPr>
          <w:rFonts w:ascii="Georgia" w:cs="Georgia" w:eastAsia="Georgia" w:hAnsi="Georgia"/>
          <w:b/>
          <w:bCs/>
          <w:color w:val="0F2040"/>
          <w:sz w:val="32"/>
          <w:szCs w:val="32"/>
        </w:rPr>
        <w:t xml:space="preserve">6. Revenue Projections</w:t>
      </w:r>
    </w:p>
    <w:p>
      <w:pPr>
        <w:spacing w:after="120"/>
      </w:pPr>
      <w:r>
        <w:rPr>
          <w:rFonts w:ascii="Calibri" w:cs="Calibri" w:eastAsia="Calibri" w:hAnsi="Calibri"/>
          <w:b w:val="false"/>
          <w:bCs w:val="false"/>
          <w:color w:val="5A5248"/>
          <w:sz w:val="22"/>
          <w:szCs w:val="22"/>
        </w:rPr>
        <w:t xml:space="preserve">Projected monthly revenue based on conservative client acquisition estimates: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0F2040" w:color="0F204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Phase</w:t>
            </w:r>
          </w:p>
        </w:tc>
        <w:tc>
          <w:tcPr>
            <w:tcW w:type="dxa" w:w="1800"/>
            <w:shd w:fill="0F2040" w:color="0F204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Timeline</w:t>
            </w:r>
          </w:p>
        </w:tc>
        <w:tc>
          <w:tcPr>
            <w:tcW w:type="dxa" w:w="1800"/>
            <w:shd w:fill="0F2040" w:color="0F204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Monthly Clients</w:t>
            </w:r>
          </w:p>
        </w:tc>
        <w:tc>
          <w:tcPr>
            <w:tcW w:type="dxa" w:w="1800"/>
            <w:shd w:fill="0F2040" w:color="0F204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Avg. Order Value</w:t>
            </w:r>
          </w:p>
        </w:tc>
        <w:tc>
          <w:tcPr>
            <w:tcW w:type="dxa" w:w="1800"/>
            <w:shd w:fill="0F2040" w:color="0F204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Est. Revenue</w:t>
            </w:r>
          </w:p>
        </w:tc>
      </w:tr>
      <w:tr>
        <w:tc>
          <w:tcPr>
            <w:tcW w:type="dxa" w:w="1800"/>
            <w:shd w:fill="F4F2EE" w:color="F4F2EE" w:val="clear"/>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Launch</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Month 1–3</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10–20</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$25</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$250–$500</w:t>
            </w:r>
          </w:p>
        </w:tc>
      </w:tr>
      <w:tr>
        <w:tc>
          <w:tcPr>
            <w:tcW w:type="dxa" w:w="1800"/>
            <w:shd w:fill="F4F2EE" w:color="F4F2EE" w:val="clear"/>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Growth</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Month 4–8</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30–50</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$30</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$900–$1,500</w:t>
            </w:r>
          </w:p>
        </w:tc>
      </w:tr>
      <w:tr>
        <w:tc>
          <w:tcPr>
            <w:tcW w:type="dxa" w:w="1800"/>
            <w:shd w:fill="F4F2EE" w:color="F4F2EE" w:val="clear"/>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Scale</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Month 9–12</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60–100</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$35</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$2,100–$3,500</w:t>
            </w:r>
          </w:p>
        </w:tc>
      </w:tr>
      <w:tr>
        <w:tc>
          <w:tcPr>
            <w:tcW w:type="dxa" w:w="1800"/>
            <w:shd w:fill="F4F2EE" w:color="F4F2EE" w:val="clear"/>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Agency</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Year 2+</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100+</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$40+</w:t>
            </w:r>
          </w:p>
        </w:tc>
        <w:tc>
          <w:tcPr>
            <w:tcW w:type="dxa" w:w="18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$4,000+</w:t>
            </w:r>
          </w:p>
        </w:tc>
      </w:tr>
    </w:tbl>
    <w:p>
      <w:pPr>
        <w:spacing w:after="100"/>
      </w:pPr>
    </w:p>
    <w:p>
      <w:pPr>
        <w:pStyle w:val="Heading1"/>
        <w:pBdr>
          <w:bottom w:val="single" w:color="C8993A" w:sz="6" w:space="4"/>
        </w:pBdr>
        <w:spacing w:after="150" w:before="400"/>
      </w:pPr>
      <w:r>
        <w:t xml:space="preserve">7. Marketing Strategy</w:t>
      </w:r>
      <w:r>
        <w:rPr>
          <w:rFonts w:ascii="Georgia" w:cs="Georgia" w:eastAsia="Georgia" w:hAnsi="Georgia"/>
          <w:b/>
          <w:bCs/>
          <w:color w:val="0F2040"/>
          <w:sz w:val="32"/>
          <w:szCs w:val="32"/>
        </w:rPr>
        <w:t xml:space="preserve">7. Marketing Strategy</w:t>
      </w:r>
    </w:p>
    <w:p>
      <w:pPr>
        <w:spacing w:after="100" w:before="300"/>
      </w:pPr>
      <w:r>
        <w:rPr>
          <w:rFonts w:ascii="Calibri" w:cs="Calibri" w:eastAsia="Calibri" w:hAnsi="Calibri"/>
          <w:b/>
          <w:bCs/>
          <w:color w:val="0F2040"/>
          <w:sz w:val="24"/>
          <w:szCs w:val="24"/>
        </w:rPr>
        <w:t xml:space="preserve">Digital Channels</w:t>
      </w:r>
    </w:p>
    <w:p>
      <w:pPr>
        <w:pStyle w:val="ListParagraph"/>
        <w:numPr>
          <w:ilvl w:val="0"/>
          <w:numId w:val="1"/>
        </w:numPr>
        <w:spacing w:after="80"/>
      </w:pPr>
      <w:r>
        <w:rPr>
          <w:rFonts w:ascii="Calibri" w:cs="Calibri" w:eastAsia="Calibri" w:hAnsi="Calibri"/>
          <w:color w:val="5A5248"/>
          <w:sz w:val="22"/>
          <w:szCs w:val="22"/>
        </w:rPr>
        <w:t xml:space="preserve">WhatsApp Business profile with service catalogue and automated responses</w:t>
      </w:r>
    </w:p>
    <w:p>
      <w:pPr>
        <w:pStyle w:val="ListParagraph"/>
        <w:numPr>
          <w:ilvl w:val="0"/>
          <w:numId w:val="1"/>
        </w:numPr>
        <w:spacing w:after="80"/>
      </w:pPr>
      <w:r>
        <w:rPr>
          <w:rFonts w:ascii="Calibri" w:cs="Calibri" w:eastAsia="Calibri" w:hAnsi="Calibri"/>
          <w:color w:val="5A5248"/>
          <w:sz w:val="22"/>
          <w:szCs w:val="22"/>
        </w:rPr>
        <w:t xml:space="preserve">Instagram and TikTok content marketing targeting students</w:t>
      </w:r>
    </w:p>
    <w:p>
      <w:pPr>
        <w:pStyle w:val="ListParagraph"/>
        <w:numPr>
          <w:ilvl w:val="0"/>
          <w:numId w:val="1"/>
        </w:numPr>
        <w:spacing w:after="80"/>
      </w:pPr>
      <w:r>
        <w:rPr>
          <w:rFonts w:ascii="Calibri" w:cs="Calibri" w:eastAsia="Calibri" w:hAnsi="Calibri"/>
          <w:color w:val="5A5248"/>
          <w:sz w:val="22"/>
          <w:szCs w:val="22"/>
        </w:rPr>
        <w:t xml:space="preserve">LinkedIn presence for professional services clientele</w:t>
      </w:r>
    </w:p>
    <w:p>
      <w:pPr>
        <w:pStyle w:val="ListParagraph"/>
        <w:numPr>
          <w:ilvl w:val="0"/>
          <w:numId w:val="1"/>
        </w:numPr>
        <w:spacing w:after="80"/>
      </w:pPr>
      <w:r>
        <w:rPr>
          <w:rFonts w:ascii="Calibri" w:cs="Calibri" w:eastAsia="Calibri" w:hAnsi="Calibri"/>
          <w:color w:val="5A5248"/>
          <w:sz w:val="22"/>
          <w:szCs w:val="22"/>
        </w:rPr>
        <w:t xml:space="preserve">Word-of-mouth referral incentive program</w:t>
      </w:r>
    </w:p>
    <w:p>
      <w:pPr>
        <w:pStyle w:val="ListParagraph"/>
        <w:numPr>
          <w:ilvl w:val="0"/>
          <w:numId w:val="1"/>
        </w:numPr>
        <w:spacing w:after="80"/>
      </w:pPr>
      <w:r>
        <w:rPr>
          <w:rFonts w:ascii="Calibri" w:cs="Calibri" w:eastAsia="Calibri" w:hAnsi="Calibri"/>
          <w:color w:val="5A5248"/>
          <w:sz w:val="22"/>
          <w:szCs w:val="22"/>
        </w:rPr>
        <w:t xml:space="preserve">University and college community engagement</w:t>
      </w:r>
    </w:p>
    <w:p>
      <w:pPr>
        <w:spacing w:after="100" w:before="300"/>
      </w:pPr>
      <w:r>
        <w:rPr>
          <w:rFonts w:ascii="Calibri" w:cs="Calibri" w:eastAsia="Calibri" w:hAnsi="Calibri"/>
          <w:b/>
          <w:bCs/>
          <w:color w:val="0F2040"/>
          <w:sz w:val="24"/>
          <w:szCs w:val="24"/>
        </w:rPr>
        <w:t xml:space="preserve">Positioning</w:t>
      </w:r>
    </w:p>
    <w:p>
      <w:pPr>
        <w:spacing w:after="160"/>
      </w:pPr>
      <w:r>
        <w:rPr>
          <w:rFonts w:ascii="Calibri" w:cs="Calibri" w:eastAsia="Calibri" w:hAnsi="Calibri"/>
          <w:b w:val="false"/>
          <w:bCs w:val="false"/>
          <w:color w:val="5A5248"/>
          <w:sz w:val="22"/>
          <w:szCs w:val="22"/>
        </w:rPr>
        <w:t xml:space="preserve">EduAssist is positioned as the approachable, reliable, affordable choice for students who need real help — not just templates or automated tools. Our human-first approach is the key brand differentiator.</w:t>
      </w:r>
    </w:p>
    <w:p>
      <w:pPr>
        <w:pStyle w:val="Heading1"/>
        <w:pBdr>
          <w:bottom w:val="single" w:color="C8993A" w:sz="6" w:space="4"/>
        </w:pBdr>
        <w:spacing w:after="150" w:before="400"/>
      </w:pPr>
      <w:r>
        <w:t xml:space="preserve">8. Operations Plan</w:t>
      </w:r>
      <w:r>
        <w:rPr>
          <w:rFonts w:ascii="Georgia" w:cs="Georgia" w:eastAsia="Georgia" w:hAnsi="Georgia"/>
          <w:b/>
          <w:bCs/>
          <w:color w:val="0F2040"/>
          <w:sz w:val="32"/>
          <w:szCs w:val="32"/>
        </w:rPr>
        <w:t xml:space="preserve">8. Operations Plan</w:t>
      </w:r>
    </w:p>
    <w:p>
      <w:pPr>
        <w:spacing w:after="100" w:before="300"/>
      </w:pPr>
      <w:r>
        <w:rPr>
          <w:rFonts w:ascii="Calibri" w:cs="Calibri" w:eastAsia="Calibri" w:hAnsi="Calibri"/>
          <w:b/>
          <w:bCs/>
          <w:color w:val="0F2040"/>
          <w:sz w:val="24"/>
          <w:szCs w:val="24"/>
        </w:rPr>
        <w:t xml:space="preserve">Communication</w:t>
      </w:r>
    </w:p>
    <w:p>
      <w:pPr>
        <w:spacing w:after="160"/>
      </w:pPr>
      <w:r>
        <w:rPr>
          <w:rFonts w:ascii="Calibri" w:cs="Calibri" w:eastAsia="Calibri" w:hAnsi="Calibri"/>
          <w:b w:val="false"/>
          <w:bCs w:val="false"/>
          <w:color w:val="5A5248"/>
          <w:sz w:val="22"/>
          <w:szCs w:val="22"/>
        </w:rPr>
        <w:t xml:space="preserve">All client communication is handled through WhatsApp Business and email. Orders are confirmed, delivered, and revised through these channels. Response time target: within 4 hours for quotes, 24–48 hours for standard delivery.</w:t>
      </w:r>
    </w:p>
    <w:p>
      <w:pPr>
        <w:spacing w:after="100" w:before="300"/>
      </w:pPr>
      <w:r>
        <w:rPr>
          <w:rFonts w:ascii="Calibri" w:cs="Calibri" w:eastAsia="Calibri" w:hAnsi="Calibri"/>
          <w:b/>
          <w:bCs/>
          <w:color w:val="0F2040"/>
          <w:sz w:val="24"/>
          <w:szCs w:val="24"/>
        </w:rPr>
        <w:t xml:space="preserve">Quality Control</w:t>
      </w:r>
    </w:p>
    <w:p>
      <w:pPr>
        <w:pStyle w:val="ListParagraph"/>
        <w:numPr>
          <w:ilvl w:val="0"/>
          <w:numId w:val="1"/>
        </w:numPr>
        <w:spacing w:after="80"/>
      </w:pPr>
      <w:r>
        <w:rPr>
          <w:rFonts w:ascii="Calibri" w:cs="Calibri" w:eastAsia="Calibri" w:hAnsi="Calibri"/>
          <w:color w:val="5A5248"/>
          <w:sz w:val="22"/>
          <w:szCs w:val="22"/>
        </w:rPr>
        <w:t xml:space="preserve">All work reviewed before delivery against a quality checklist</w:t>
      </w:r>
    </w:p>
    <w:p>
      <w:pPr>
        <w:pStyle w:val="ListParagraph"/>
        <w:numPr>
          <w:ilvl w:val="0"/>
          <w:numId w:val="1"/>
        </w:numPr>
        <w:spacing w:after="80"/>
      </w:pPr>
      <w:r>
        <w:rPr>
          <w:rFonts w:ascii="Calibri" w:cs="Calibri" w:eastAsia="Calibri" w:hAnsi="Calibri"/>
          <w:color w:val="5A5248"/>
          <w:sz w:val="22"/>
          <w:szCs w:val="22"/>
        </w:rPr>
        <w:t xml:space="preserve">Plagiarism check for all academic documents</w:t>
      </w:r>
    </w:p>
    <w:p>
      <w:pPr>
        <w:pStyle w:val="ListParagraph"/>
        <w:numPr>
          <w:ilvl w:val="0"/>
          <w:numId w:val="1"/>
        </w:numPr>
        <w:spacing w:after="80"/>
      </w:pPr>
      <w:r>
        <w:rPr>
          <w:rFonts w:ascii="Calibri" w:cs="Calibri" w:eastAsia="Calibri" w:hAnsi="Calibri"/>
          <w:color w:val="5A5248"/>
          <w:sz w:val="22"/>
          <w:szCs w:val="22"/>
        </w:rPr>
        <w:t xml:space="preserve">Client satisfaction follow-up after every order</w:t>
      </w:r>
    </w:p>
    <w:p>
      <w:pPr>
        <w:pStyle w:val="ListParagraph"/>
        <w:numPr>
          <w:ilvl w:val="0"/>
          <w:numId w:val="1"/>
        </w:numPr>
        <w:spacing w:after="80"/>
      </w:pPr>
      <w:r>
        <w:rPr>
          <w:rFonts w:ascii="Calibri" w:cs="Calibri" w:eastAsia="Calibri" w:hAnsi="Calibri"/>
          <w:color w:val="5A5248"/>
          <w:sz w:val="22"/>
          <w:szCs w:val="22"/>
        </w:rPr>
        <w:t xml:space="preserve">Unlimited revisions for Premium tier; 1 revision for Standard</w:t>
      </w:r>
    </w:p>
    <w:p>
      <w:pPr>
        <w:spacing w:after="100" w:before="300"/>
      </w:pPr>
      <w:r>
        <w:rPr>
          <w:rFonts w:ascii="Calibri" w:cs="Calibri" w:eastAsia="Calibri" w:hAnsi="Calibri"/>
          <w:b/>
          <w:bCs/>
          <w:color w:val="0F2040"/>
          <w:sz w:val="24"/>
          <w:szCs w:val="24"/>
        </w:rPr>
        <w:t xml:space="preserve">Technology Stack</w:t>
      </w:r>
    </w:p>
    <w:p>
      <w:pPr>
        <w:pStyle w:val="ListParagraph"/>
        <w:numPr>
          <w:ilvl w:val="0"/>
          <w:numId w:val="1"/>
        </w:numPr>
        <w:spacing w:after="80"/>
      </w:pPr>
      <w:r>
        <w:rPr>
          <w:rFonts w:ascii="Calibri" w:cs="Calibri" w:eastAsia="Calibri" w:hAnsi="Calibri"/>
          <w:color w:val="5A5248"/>
          <w:sz w:val="22"/>
          <w:szCs w:val="22"/>
        </w:rPr>
        <w:t xml:space="preserve">Platform: Single-page HTML website (fast to deploy, no hosting complexity)</w:t>
      </w:r>
    </w:p>
    <w:p>
      <w:pPr>
        <w:pStyle w:val="ListParagraph"/>
        <w:numPr>
          <w:ilvl w:val="0"/>
          <w:numId w:val="1"/>
        </w:numPr>
        <w:spacing w:after="80"/>
      </w:pPr>
      <w:r>
        <w:rPr>
          <w:rFonts w:ascii="Calibri" w:cs="Calibri" w:eastAsia="Calibri" w:hAnsi="Calibri"/>
          <w:color w:val="5A5248"/>
          <w:sz w:val="22"/>
          <w:szCs w:val="22"/>
        </w:rPr>
        <w:t xml:space="preserve">Payments: Mobile money (M-Pesa), PayPal, or direct bank transfer</w:t>
      </w:r>
    </w:p>
    <w:p>
      <w:pPr>
        <w:pStyle w:val="ListParagraph"/>
        <w:numPr>
          <w:ilvl w:val="0"/>
          <w:numId w:val="1"/>
        </w:numPr>
        <w:spacing w:after="80"/>
      </w:pPr>
      <w:r>
        <w:rPr>
          <w:rFonts w:ascii="Calibri" w:cs="Calibri" w:eastAsia="Calibri" w:hAnsi="Calibri"/>
          <w:color w:val="5A5248"/>
          <w:sz w:val="22"/>
          <w:szCs w:val="22"/>
        </w:rPr>
        <w:t xml:space="preserve">File sharing: WhatsApp, email, or Google Drive links</w:t>
      </w:r>
    </w:p>
    <w:p>
      <w:pPr>
        <w:spacing w:after="100"/>
      </w:pPr>
    </w:p>
    <w:p>
      <w:pPr>
        <w:pStyle w:val="Heading1"/>
        <w:pBdr>
          <w:bottom w:val="single" w:color="C8993A" w:sz="6" w:space="4"/>
        </w:pBdr>
        <w:spacing w:after="150" w:before="400"/>
      </w:pPr>
      <w:r>
        <w:t xml:space="preserve">9. Risk Assessment</w:t>
      </w:r>
      <w:r>
        <w:rPr>
          <w:rFonts w:ascii="Georgia" w:cs="Georgia" w:eastAsia="Georgia" w:hAnsi="Georgia"/>
          <w:b/>
          <w:bCs/>
          <w:color w:val="0F2040"/>
          <w:sz w:val="32"/>
          <w:szCs w:val="32"/>
        </w:rPr>
        <w:t xml:space="preserve">9. Risk Assessment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0F2040" w:color="0F204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Risk</w:t>
            </w:r>
          </w:p>
        </w:tc>
        <w:tc>
          <w:tcPr>
            <w:tcW w:type="dxa" w:w="3000"/>
            <w:shd w:fill="0F2040" w:color="0F204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Likelihood</w:t>
            </w:r>
          </w:p>
        </w:tc>
        <w:tc>
          <w:tcPr>
            <w:tcW w:type="dxa" w:w="3000"/>
            <w:shd w:fill="0F2040" w:color="0F2040"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Mitigation</w:t>
            </w:r>
          </w:p>
        </w:tc>
      </w:tr>
      <w:tr>
        <w:tc>
          <w:tcPr>
            <w:tcW w:type="dxa" w:w="3000"/>
            <w:shd w:fill="F4F2EE" w:color="F4F2EE" w:val="clear"/>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Low initial client volume</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Medium</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Active social media marketing and student community outreach</w:t>
            </w:r>
          </w:p>
        </w:tc>
      </w:tr>
      <w:tr>
        <w:tc>
          <w:tcPr>
            <w:tcW w:type="dxa" w:w="3000"/>
            <w:shd w:fill="F4F2EE" w:color="F4F2EE" w:val="clear"/>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Quality inconsistency</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Low</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Checklist-based QA and revision policy for every order</w:t>
            </w:r>
          </w:p>
        </w:tc>
      </w:tr>
      <w:tr>
        <w:tc>
          <w:tcPr>
            <w:tcW w:type="dxa" w:w="3000"/>
            <w:shd w:fill="F4F2EE" w:color="F4F2EE" w:val="clear"/>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Payment delays/disputes</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Medium</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Require 50% upfront for new clients, clear terms of service</w:t>
            </w:r>
          </w:p>
        </w:tc>
      </w:tr>
      <w:tr>
        <w:tc>
          <w:tcPr>
            <w:tcW w:type="dxa" w:w="3000"/>
            <w:shd w:fill="F4F2EE" w:color="F4F2EE" w:val="clear"/>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Competitor undercutting</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Medium</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5A5248"/>
                <w:sz w:val="20"/>
                <w:szCs w:val="20"/>
              </w:rPr>
              <w:t xml:space="preserve">Compete on quality, speed, and personal communication — not just price</w:t>
            </w:r>
          </w:p>
        </w:tc>
      </w:tr>
    </w:tbl>
    <w:p>
      <w:pPr>
        <w:spacing w:after="100"/>
      </w:pPr>
    </w:p>
    <w:p>
      <w:pPr>
        <w:pStyle w:val="Heading1"/>
        <w:pBdr>
          <w:bottom w:val="single" w:color="C8993A" w:sz="6" w:space="4"/>
        </w:pBdr>
        <w:spacing w:after="150" w:before="400"/>
      </w:pPr>
      <w:r>
        <w:t xml:space="preserve">10. Conclusion</w:t>
      </w:r>
      <w:r>
        <w:rPr>
          <w:rFonts w:ascii="Georgia" w:cs="Georgia" w:eastAsia="Georgia" w:hAnsi="Georgia"/>
          <w:b/>
          <w:bCs/>
          <w:color w:val="0F2040"/>
          <w:sz w:val="32"/>
          <w:szCs w:val="32"/>
        </w:rPr>
        <w:t xml:space="preserve">10. Conclusion</w:t>
      </w:r>
    </w:p>
    <w:p>
      <w:pPr>
        <w:spacing w:after="160"/>
      </w:pPr>
      <w:r>
        <w:rPr>
          <w:rFonts w:ascii="Calibri" w:cs="Calibri" w:eastAsia="Calibri" w:hAnsi="Calibri"/>
          <w:b w:val="false"/>
          <w:bCs w:val="false"/>
          <w:color w:val="5A5248"/>
          <w:sz w:val="22"/>
          <w:szCs w:val="22"/>
        </w:rPr>
        <w:t xml:space="preserve">EduAssist is positioned at the intersection of a high-demand market (student and professional support services) and a low-barrier delivery model (chat-based, remote, digital). With minimal startup costs, a clear value proposition, and a scalable service structure, the platform offers a realistic pathway from freelance service delivery to a fully established multi-service digital agency.</w:t>
      </w:r>
    </w:p>
    <w:p>
      <w:pPr>
        <w:spacing w:after="200"/>
      </w:pPr>
      <w:r>
        <w:rPr>
          <w:rFonts w:ascii="Calibri" w:cs="Calibri" w:eastAsia="Calibri" w:hAnsi="Calibri"/>
          <w:b w:val="false"/>
          <w:bCs w:val="false"/>
          <w:color w:val="5A5248"/>
          <w:sz w:val="22"/>
          <w:szCs w:val="22"/>
        </w:rPr>
        <w:t xml:space="preserve">The next step is platform launch, active outreach in student communities, and building a track record through excellent delivery and client satisfaction.</w:t>
      </w:r>
    </w:p>
    <w:p>
      <w:pPr>
        <w:pBdr>
          <w:top w:val="single" w:color="C8993A" w:sz="4" w:space="10"/>
        </w:pBdr>
        <w:spacing w:before="300"/>
        <w:jc w:val="center"/>
      </w:pPr>
      <w:r>
        <w:rPr>
          <w:rFonts w:ascii="Calibri" w:cs="Calibri" w:eastAsia="Calibri" w:hAnsi="Calibri"/>
          <w:i/>
          <w:iCs/>
          <w:color w:val="5A5248"/>
          <w:sz w:val="18"/>
          <w:szCs w:val="18"/>
        </w:rPr>
        <w:t xml:space="preserve">EduAssist  ·  Academic &amp; Professional Support Platform  ·  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AAAAAA"/>
        <w:sz w:val="18"/>
        <w:szCs w:val="18"/>
      </w:rPr>
      <w:t xml:space="preserve">EduAssist Business Plan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AAAAAA"/>
        <w:sz w:val="18"/>
        <w:szCs w:val="18"/>
      </w:rPr>
      <w:t xml:space="preserve">EduAssist — Business Plan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A52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2026-04-01T06:20:48.585Z</dcterms:created>
  <dcterms:modified xsi:type="dcterms:W3CDTF">2026-04-01T06:20:48.586Z</dcterms:modified>
</cp:coreProperties>
</file>

<file path=docProps/custom.xml><?xml version="1.0" encoding="utf-8"?>
<Properties xmlns="http://schemas.openxmlformats.org/officeDocument/2006/custom-properties" xmlns:vt="http://schemas.openxmlformats.org/officeDocument/2006/docPropsVTypes"/>
</file>