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Introduction to Data Analysis with Python</w:t>
      </w:r>
    </w:p>
    <w:p>
      <w:pPr>
        <w:spacing w:after="400"/>
      </w:pPr>
      <w:r>
        <w:rPr>
          <w:i/>
          <w:iCs/>
          <w:color w:val="595959"/>
          <w:sz w:val="24"/>
          <w:szCs w:val="24"/>
        </w:rPr>
        <w:t xml:space="preserve">Learning Objectives</w:t>
      </w:r>
    </w:p>
    <w:p>
      <w:pPr>
        <w:spacing w:after="160"/>
      </w:pPr>
      <w:r>
        <w:t xml:space="preserve">Eight measurable objectives define what a learner can demonstrably do by the end of the program. Each is written with an action verb and is directly assessed by at least one activity or assignment in the Curriculum 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700"/>
      </w:tblGrid>
      <w:tr>
        <w:trPr>
          <w:tblHeader/>
        </w:trPr>
        <w:tc>
          <w:tcPr>
            <w:tcW w:type="dxa" w:w="500"/>
            <w:shd w:fill="1F3864" w:val="clear"/>
            <w:tcMar>
              <w:top w:type="dxa" w:w="100"/>
              <w:left w:type="dxa" w:w="120"/>
              <w:bottom w:type="dxa" w:w="100"/>
              <w:right w:type="dxa" w:w="120"/>
            </w:tcMar>
          </w:tcPr>
          <w:p>
            <w:r>
              <w:rPr>
                <w:b/>
                <w:bCs/>
                <w:color w:val="FFFFFF"/>
              </w:rPr>
              <w:t xml:space="preserve">#</w:t>
            </w:r>
          </w:p>
        </w:tc>
        <w:tc>
          <w:tcPr>
            <w:tcW w:type="dxa" w:w="1400"/>
            <w:shd w:fill="1F3864" w:val="clear"/>
            <w:tcMar>
              <w:top w:type="dxa" w:w="100"/>
              <w:left w:type="dxa" w:w="120"/>
              <w:bottom w:type="dxa" w:w="100"/>
              <w:right w:type="dxa" w:w="120"/>
            </w:tcMar>
          </w:tcPr>
          <w:p>
            <w:r>
              <w:rPr>
                <w:b/>
                <w:bCs/>
                <w:color w:val="FFFFFF"/>
              </w:rPr>
              <w:t xml:space="preserve">Verb</w:t>
            </w:r>
          </w:p>
        </w:tc>
        <w:tc>
          <w:tcPr>
            <w:tcW w:type="dxa" w:w="7700"/>
            <w:shd w:fill="1F3864" w:val="clear"/>
            <w:tcMar>
              <w:top w:type="dxa" w:w="100"/>
              <w:left w:type="dxa" w:w="120"/>
              <w:bottom w:type="dxa" w:w="100"/>
              <w:right w:type="dxa" w:w="120"/>
            </w:tcMar>
          </w:tcPr>
          <w:p>
            <w:r>
              <w:rPr>
                <w:b/>
                <w:bCs/>
                <w:color w:val="FFFFFF"/>
              </w:rPr>
              <w:t xml:space="preserve">By the end of the program, learners will be able to…</w:t>
            </w:r>
          </w:p>
        </w:tc>
      </w:tr>
      <w:tr>
        <w:tc>
          <w:tcPr>
            <w:tcW w:type="dxa" w:w="500"/>
            <w:tcMar>
              <w:top w:type="dxa" w:w="100"/>
              <w:left w:type="dxa" w:w="120"/>
              <w:bottom w:type="dxa" w:w="100"/>
              <w:right w:type="dxa" w:w="120"/>
            </w:tcMar>
          </w:tcPr>
          <w:p>
            <w:r>
              <w:rPr>
                <w:b w:val="false"/>
                <w:bCs w:val="false"/>
              </w:rPr>
              <w:t xml:space="preserve">1</w:t>
            </w:r>
          </w:p>
        </w:tc>
        <w:tc>
          <w:tcPr>
            <w:tcW w:type="dxa" w:w="1400"/>
            <w:tcMar>
              <w:top w:type="dxa" w:w="100"/>
              <w:left w:type="dxa" w:w="120"/>
              <w:bottom w:type="dxa" w:w="100"/>
              <w:right w:type="dxa" w:w="120"/>
            </w:tcMar>
          </w:tcPr>
          <w:p>
            <w:r>
              <w:rPr>
                <w:b w:val="false"/>
                <w:bCs w:val="false"/>
              </w:rPr>
              <w:t xml:space="preserve">Apply</w:t>
            </w:r>
          </w:p>
        </w:tc>
        <w:tc>
          <w:tcPr>
            <w:tcW w:type="dxa" w:w="7700"/>
            <w:tcMar>
              <w:top w:type="dxa" w:w="100"/>
              <w:left w:type="dxa" w:w="120"/>
              <w:bottom w:type="dxa" w:w="100"/>
              <w:right w:type="dxa" w:w="120"/>
            </w:tcMar>
          </w:tcPr>
          <w:p>
            <w:r>
              <w:rPr>
                <w:b w:val="false"/>
                <w:bCs w:val="false"/>
              </w:rPr>
              <w:t xml:space="preserve">Write and execute Python code using variables, data types, conditionals, and loops to solve small data-related problems.</w:t>
            </w:r>
          </w:p>
        </w:tc>
      </w:tr>
      <w:tr>
        <w:tc>
          <w:tcPr>
            <w:tcW w:type="dxa" w:w="500"/>
            <w:shd w:fill="F2F2F2" w:val="clear"/>
            <w:tcMar>
              <w:top w:type="dxa" w:w="100"/>
              <w:left w:type="dxa" w:w="120"/>
              <w:bottom w:type="dxa" w:w="100"/>
              <w:right w:type="dxa" w:w="120"/>
            </w:tcMar>
          </w:tcPr>
          <w:p>
            <w:r>
              <w:rPr>
                <w:b w:val="false"/>
                <w:bCs w:val="false"/>
              </w:rPr>
              <w:t xml:space="preserve">2</w:t>
            </w:r>
          </w:p>
        </w:tc>
        <w:tc>
          <w:tcPr>
            <w:tcW w:type="dxa" w:w="1400"/>
            <w:shd w:fill="F2F2F2" w:val="clear"/>
            <w:tcMar>
              <w:top w:type="dxa" w:w="100"/>
              <w:left w:type="dxa" w:w="120"/>
              <w:bottom w:type="dxa" w:w="100"/>
              <w:right w:type="dxa" w:w="120"/>
            </w:tcMar>
          </w:tcPr>
          <w:p>
            <w:r>
              <w:rPr>
                <w:b w:val="false"/>
                <w:bCs w:val="false"/>
              </w:rPr>
              <w:t xml:space="preserve">Build</w:t>
            </w:r>
          </w:p>
        </w:tc>
        <w:tc>
          <w:tcPr>
            <w:tcW w:type="dxa" w:w="7700"/>
            <w:shd w:fill="F2F2F2" w:val="clear"/>
            <w:tcMar>
              <w:top w:type="dxa" w:w="100"/>
              <w:left w:type="dxa" w:w="120"/>
              <w:bottom w:type="dxa" w:w="100"/>
              <w:right w:type="dxa" w:w="120"/>
            </w:tcMar>
          </w:tcPr>
          <w:p>
            <w:r>
              <w:rPr>
                <w:b w:val="false"/>
                <w:bCs w:val="false"/>
              </w:rPr>
              <w:t xml:space="preserve">Build and manipulate core Python data structures (lists, dictionaries, tuples) and reusable functions.</w:t>
            </w:r>
          </w:p>
        </w:tc>
      </w:tr>
      <w:tr>
        <w:tc>
          <w:tcPr>
            <w:tcW w:type="dxa" w:w="500"/>
            <w:tcMar>
              <w:top w:type="dxa" w:w="100"/>
              <w:left w:type="dxa" w:w="120"/>
              <w:bottom w:type="dxa" w:w="100"/>
              <w:right w:type="dxa" w:w="120"/>
            </w:tcMar>
          </w:tcPr>
          <w:p>
            <w:r>
              <w:rPr>
                <w:b w:val="false"/>
                <w:bCs w:val="false"/>
              </w:rPr>
              <w:t xml:space="preserve">3</w:t>
            </w:r>
          </w:p>
        </w:tc>
        <w:tc>
          <w:tcPr>
            <w:tcW w:type="dxa" w:w="1400"/>
            <w:tcMar>
              <w:top w:type="dxa" w:w="100"/>
              <w:left w:type="dxa" w:w="120"/>
              <w:bottom w:type="dxa" w:w="100"/>
              <w:right w:type="dxa" w:w="120"/>
            </w:tcMar>
          </w:tcPr>
          <w:p>
            <w:r>
              <w:rPr>
                <w:b w:val="false"/>
                <w:bCs w:val="false"/>
              </w:rPr>
              <w:t xml:space="preserve">Apply</w:t>
            </w:r>
          </w:p>
        </w:tc>
        <w:tc>
          <w:tcPr>
            <w:tcW w:type="dxa" w:w="7700"/>
            <w:tcMar>
              <w:top w:type="dxa" w:w="100"/>
              <w:left w:type="dxa" w:w="120"/>
              <w:bottom w:type="dxa" w:w="100"/>
              <w:right w:type="dxa" w:w="120"/>
            </w:tcMar>
          </w:tcPr>
          <w:p>
            <w:r>
              <w:rPr>
                <w:b w:val="false"/>
                <w:bCs w:val="false"/>
              </w:rPr>
              <w:t xml:space="preserve">Use pandas to import a structured dataset (CSV) into a DataFrame and inspect its structure.</w:t>
            </w:r>
          </w:p>
        </w:tc>
      </w:tr>
      <w:tr>
        <w:tc>
          <w:tcPr>
            <w:tcW w:type="dxa" w:w="500"/>
            <w:shd w:fill="F2F2F2" w:val="clear"/>
            <w:tcMar>
              <w:top w:type="dxa" w:w="100"/>
              <w:left w:type="dxa" w:w="120"/>
              <w:bottom w:type="dxa" w:w="100"/>
              <w:right w:type="dxa" w:w="120"/>
            </w:tcMar>
          </w:tcPr>
          <w:p>
            <w:r>
              <w:rPr>
                <w:b w:val="false"/>
                <w:bCs w:val="false"/>
              </w:rPr>
              <w:t xml:space="preserve">4</w:t>
            </w:r>
          </w:p>
        </w:tc>
        <w:tc>
          <w:tcPr>
            <w:tcW w:type="dxa" w:w="1400"/>
            <w:shd w:fill="F2F2F2" w:val="clear"/>
            <w:tcMar>
              <w:top w:type="dxa" w:w="100"/>
              <w:left w:type="dxa" w:w="120"/>
              <w:bottom w:type="dxa" w:w="100"/>
              <w:right w:type="dxa" w:w="120"/>
            </w:tcMar>
          </w:tcPr>
          <w:p>
            <w:r>
              <w:rPr>
                <w:b w:val="false"/>
                <w:bCs w:val="false"/>
              </w:rPr>
              <w:t xml:space="preserve">Analyze</w:t>
            </w:r>
          </w:p>
        </w:tc>
        <w:tc>
          <w:tcPr>
            <w:tcW w:type="dxa" w:w="7700"/>
            <w:shd w:fill="F2F2F2" w:val="clear"/>
            <w:tcMar>
              <w:top w:type="dxa" w:w="100"/>
              <w:left w:type="dxa" w:w="120"/>
              <w:bottom w:type="dxa" w:w="100"/>
              <w:right w:type="dxa" w:w="120"/>
            </w:tcMar>
          </w:tcPr>
          <w:p>
            <w:r>
              <w:rPr>
                <w:b w:val="false"/>
                <w:bCs w:val="false"/>
              </w:rPr>
              <w:t xml:space="preserve">Analyze a dataset to identify data quality issues (missing values, duplicates, inconsistent formatting) and apply appropriate cleaning techniques.</w:t>
            </w:r>
          </w:p>
        </w:tc>
      </w:tr>
      <w:tr>
        <w:tc>
          <w:tcPr>
            <w:tcW w:type="dxa" w:w="500"/>
            <w:tcMar>
              <w:top w:type="dxa" w:w="100"/>
              <w:left w:type="dxa" w:w="120"/>
              <w:bottom w:type="dxa" w:w="100"/>
              <w:right w:type="dxa" w:w="120"/>
            </w:tcMar>
          </w:tcPr>
          <w:p>
            <w:r>
              <w:rPr>
                <w:b w:val="false"/>
                <w:bCs w:val="false"/>
              </w:rPr>
              <w:t xml:space="preserve">5</w:t>
            </w:r>
          </w:p>
        </w:tc>
        <w:tc>
          <w:tcPr>
            <w:tcW w:type="dxa" w:w="1400"/>
            <w:tcMar>
              <w:top w:type="dxa" w:w="100"/>
              <w:left w:type="dxa" w:w="120"/>
              <w:bottom w:type="dxa" w:w="100"/>
              <w:right w:type="dxa" w:w="120"/>
            </w:tcMar>
          </w:tcPr>
          <w:p>
            <w:r>
              <w:rPr>
                <w:b w:val="false"/>
                <w:bCs w:val="false"/>
              </w:rPr>
              <w:t xml:space="preserve">Create</w:t>
            </w:r>
          </w:p>
        </w:tc>
        <w:tc>
          <w:tcPr>
            <w:tcW w:type="dxa" w:w="7700"/>
            <w:tcMar>
              <w:top w:type="dxa" w:w="100"/>
              <w:left w:type="dxa" w:w="120"/>
              <w:bottom w:type="dxa" w:w="100"/>
              <w:right w:type="dxa" w:w="120"/>
            </w:tcMar>
          </w:tcPr>
          <w:p>
            <w:r>
              <w:rPr>
                <w:b w:val="false"/>
                <w:bCs w:val="false"/>
              </w:rPr>
              <w:t xml:space="preserve">Create summary statistics and grouped aggregations to answer specific business questions about a dataset.</w:t>
            </w:r>
          </w:p>
        </w:tc>
      </w:tr>
      <w:tr>
        <w:tc>
          <w:tcPr>
            <w:tcW w:type="dxa" w:w="500"/>
            <w:shd w:fill="F2F2F2" w:val="clear"/>
            <w:tcMar>
              <w:top w:type="dxa" w:w="100"/>
              <w:left w:type="dxa" w:w="120"/>
              <w:bottom w:type="dxa" w:w="100"/>
              <w:right w:type="dxa" w:w="120"/>
            </w:tcMar>
          </w:tcPr>
          <w:p>
            <w:r>
              <w:rPr>
                <w:b w:val="false"/>
                <w:bCs w:val="false"/>
              </w:rPr>
              <w:t xml:space="preserve">6</w:t>
            </w:r>
          </w:p>
        </w:tc>
        <w:tc>
          <w:tcPr>
            <w:tcW w:type="dxa" w:w="1400"/>
            <w:shd w:fill="F2F2F2" w:val="clear"/>
            <w:tcMar>
              <w:top w:type="dxa" w:w="100"/>
              <w:left w:type="dxa" w:w="120"/>
              <w:bottom w:type="dxa" w:w="100"/>
              <w:right w:type="dxa" w:w="120"/>
            </w:tcMar>
          </w:tcPr>
          <w:p>
            <w:r>
              <w:rPr>
                <w:b w:val="false"/>
                <w:bCs w:val="false"/>
              </w:rPr>
              <w:t xml:space="preserve">Create</w:t>
            </w:r>
          </w:p>
        </w:tc>
        <w:tc>
          <w:tcPr>
            <w:tcW w:type="dxa" w:w="7700"/>
            <w:shd w:fill="F2F2F2" w:val="clear"/>
            <w:tcMar>
              <w:top w:type="dxa" w:w="100"/>
              <w:left w:type="dxa" w:w="120"/>
              <w:bottom w:type="dxa" w:w="100"/>
              <w:right w:type="dxa" w:w="120"/>
            </w:tcMar>
          </w:tcPr>
          <w:p>
            <w:r>
              <w:rPr>
                <w:b w:val="false"/>
                <w:bCs w:val="false"/>
              </w:rPr>
              <w:t xml:space="preserve">Create clear, appropriately-chosen visualizations (bar, line, scatter, histogram) using Matplotlib.</w:t>
            </w:r>
          </w:p>
        </w:tc>
      </w:tr>
      <w:tr>
        <w:tc>
          <w:tcPr>
            <w:tcW w:type="dxa" w:w="500"/>
            <w:tcMar>
              <w:top w:type="dxa" w:w="100"/>
              <w:left w:type="dxa" w:w="120"/>
              <w:bottom w:type="dxa" w:w="100"/>
              <w:right w:type="dxa" w:w="120"/>
            </w:tcMar>
          </w:tcPr>
          <w:p>
            <w:r>
              <w:rPr>
                <w:b w:val="false"/>
                <w:bCs w:val="false"/>
              </w:rPr>
              <w:t xml:space="preserve">7</w:t>
            </w:r>
          </w:p>
        </w:tc>
        <w:tc>
          <w:tcPr>
            <w:tcW w:type="dxa" w:w="1400"/>
            <w:tcMar>
              <w:top w:type="dxa" w:w="100"/>
              <w:left w:type="dxa" w:w="120"/>
              <w:bottom w:type="dxa" w:w="100"/>
              <w:right w:type="dxa" w:w="120"/>
            </w:tcMar>
          </w:tcPr>
          <w:p>
            <w:r>
              <w:rPr>
                <w:b w:val="false"/>
                <w:bCs w:val="false"/>
              </w:rPr>
              <w:t xml:space="preserve">Interpret</w:t>
            </w:r>
          </w:p>
        </w:tc>
        <w:tc>
          <w:tcPr>
            <w:tcW w:type="dxa" w:w="7700"/>
            <w:tcMar>
              <w:top w:type="dxa" w:w="100"/>
              <w:left w:type="dxa" w:w="120"/>
              <w:bottom w:type="dxa" w:w="100"/>
              <w:right w:type="dxa" w:w="120"/>
            </w:tcMar>
          </w:tcPr>
          <w:p>
            <w:r>
              <w:rPr>
                <w:b w:val="false"/>
                <w:bCs w:val="false"/>
              </w:rPr>
              <w:t xml:space="preserve">Interpret patterns and relationships in visualized data and distinguish a supported insight from a coincidental one.</w:t>
            </w:r>
          </w:p>
        </w:tc>
      </w:tr>
      <w:tr>
        <w:tc>
          <w:tcPr>
            <w:tcW w:type="dxa" w:w="500"/>
            <w:shd w:fill="F2F2F2" w:val="clear"/>
            <w:tcMar>
              <w:top w:type="dxa" w:w="100"/>
              <w:left w:type="dxa" w:w="120"/>
              <w:bottom w:type="dxa" w:w="100"/>
              <w:right w:type="dxa" w:w="120"/>
            </w:tcMar>
          </w:tcPr>
          <w:p>
            <w:r>
              <w:rPr>
                <w:b w:val="false"/>
                <w:bCs w:val="false"/>
              </w:rPr>
              <w:t xml:space="preserve">8</w:t>
            </w:r>
          </w:p>
        </w:tc>
        <w:tc>
          <w:tcPr>
            <w:tcW w:type="dxa" w:w="1400"/>
            <w:shd w:fill="F2F2F2" w:val="clear"/>
            <w:tcMar>
              <w:top w:type="dxa" w:w="100"/>
              <w:left w:type="dxa" w:w="120"/>
              <w:bottom w:type="dxa" w:w="100"/>
              <w:right w:type="dxa" w:w="120"/>
            </w:tcMar>
          </w:tcPr>
          <w:p>
            <w:r>
              <w:rPr>
                <w:b w:val="false"/>
                <w:bCs w:val="false"/>
              </w:rPr>
              <w:t xml:space="preserve">Evaluate</w:t>
            </w:r>
          </w:p>
        </w:tc>
        <w:tc>
          <w:tcPr>
            <w:tcW w:type="dxa" w:w="7700"/>
            <w:shd w:fill="F2F2F2" w:val="clear"/>
            <w:tcMar>
              <w:top w:type="dxa" w:w="100"/>
              <w:left w:type="dxa" w:w="120"/>
              <w:bottom w:type="dxa" w:w="100"/>
              <w:right w:type="dxa" w:w="120"/>
            </w:tcMar>
          </w:tcPr>
          <w:p>
            <w:r>
              <w:rPr>
                <w:b w:val="false"/>
                <w:bCs w:val="false"/>
              </w:rPr>
              <w:t xml:space="preserve">Evaluate a complete dataset end-to-end and present findings and recommendations in a short written report.</w:t>
            </w:r>
          </w:p>
        </w:tc>
      </w:tr>
    </w:tbl>
    <w:p>
      <w:pPr>
        <w:pStyle w:val="Heading2"/>
        <w:spacing w:after="120" w:before="200"/>
      </w:pPr>
      <w:r>
        <w:t xml:space="preserve">Design Note</w:t>
      </w:r>
    </w:p>
    <w:p>
      <w:pPr>
        <w:spacing w:after="160"/>
      </w:pPr>
      <w:r>
        <w:t xml:space="preserve">Objectives were deliberately written to avoid passive verbs like “understand” or “know about,” which cannot be observed or graded. Every objective maps to a specific deliverable a learner produces – code, a chart, a cleaned dataset, or a report – so achievement is verifiable rather than assumed.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2026-08-13T18:00:50.390Z</dcterms:created>
  <dcterms:modified xsi:type="dcterms:W3CDTF">2026-08-13T18:00:50.390Z</dcterms:modified>
</cp:coreProperties>
</file>

<file path=docProps/custom.xml><?xml version="1.0" encoding="utf-8"?>
<Properties xmlns="http://schemas.openxmlformats.org/officeDocument/2006/custom-properties" xmlns:vt="http://schemas.openxmlformats.org/officeDocument/2006/docPropsVTypes"/>
</file>