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Introduction to Data Analysis with Python</w:t>
      </w:r>
    </w:p>
    <w:p>
      <w:pPr>
        <w:spacing w:after="400"/>
      </w:pPr>
      <w:r>
        <w:rPr>
          <w:i/>
          <w:iCs/>
          <w:color w:val="595959"/>
          <w:sz w:val="24"/>
          <w:szCs w:val="24"/>
        </w:rPr>
        <w:t xml:space="preserve">Program Overview</w:t>
      </w:r>
    </w:p>
    <w:p>
      <w:pPr>
        <w:spacing w:after="160"/>
      </w:pPr>
      <w:r>
        <w:t xml:space="preserve">This document summarizes the purpose, audience, and structure of the training program, and serves as the entry point to the full curriculum package.</w:t>
      </w:r>
    </w:p>
    <w:p>
      <w:pPr>
        <w:pStyle w:val="Heading2"/>
        <w:spacing w:after="120" w:before="200"/>
      </w:pPr>
      <w:r>
        <w:t xml:space="preserve">Program Details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1F3864" w:val="clear"/>
            <w:tcMar>
              <w:top w:type="dxa" w:w="100"/>
              <w:left w:type="dxa" w:w="120"/>
              <w:bottom w:type="dxa" w:w="100"/>
              <w:right w:type="dxa" w:w="120"/>
            </w:tcMar>
          </w:tcPr>
          <w:p>
            <w:r>
              <w:rPr>
                <w:b/>
                <w:bCs/>
                <w:color w:val="FFFFFF"/>
              </w:rPr>
              <w:t xml:space="preserve">Field</w:t>
            </w:r>
          </w:p>
        </w:tc>
        <w:tc>
          <w:tcPr>
            <w:tcW w:type="dxa" w:w="6800"/>
            <w:shd w:fill="1F3864" w:val="clear"/>
            <w:tcMar>
              <w:top w:type="dxa" w:w="100"/>
              <w:left w:type="dxa" w:w="120"/>
              <w:bottom w:type="dxa" w:w="100"/>
              <w:right w:type="dxa" w:w="120"/>
            </w:tcMar>
          </w:tcPr>
          <w:p>
            <w:r>
              <w:rPr>
                <w:b/>
                <w:bCs/>
                <w:color w:val="FFFFFF"/>
              </w:rPr>
              <w:t xml:space="preserve">Description</w:t>
            </w:r>
          </w:p>
        </w:tc>
      </w:tr>
      <w:tr>
        <w:tc>
          <w:tcPr>
            <w:tcW w:type="dxa" w:w="2800"/>
            <w:tcMar>
              <w:top w:type="dxa" w:w="100"/>
              <w:left w:type="dxa" w:w="120"/>
              <w:bottom w:type="dxa" w:w="100"/>
              <w:right w:type="dxa" w:w="120"/>
            </w:tcMar>
          </w:tcPr>
          <w:p>
            <w:r>
              <w:rPr>
                <w:b w:val="false"/>
                <w:bCs w:val="false"/>
              </w:rPr>
              <w:t xml:space="preserve">Program Title</w:t>
            </w:r>
          </w:p>
        </w:tc>
        <w:tc>
          <w:tcPr>
            <w:tcW w:type="dxa" w:w="6800"/>
            <w:tcMar>
              <w:top w:type="dxa" w:w="100"/>
              <w:left w:type="dxa" w:w="120"/>
              <w:bottom w:type="dxa" w:w="100"/>
              <w:right w:type="dxa" w:w="120"/>
            </w:tcMar>
          </w:tcPr>
          <w:p>
            <w:r>
              <w:rPr>
                <w:b w:val="false"/>
                <w:bCs w:val="false"/>
              </w:rPr>
              <w:t xml:space="preserve">Introduction to Data Analysis with Python</w:t>
            </w:r>
          </w:p>
        </w:tc>
      </w:tr>
      <w:tr>
        <w:tc>
          <w:tcPr>
            <w:tcW w:type="dxa" w:w="2800"/>
            <w:shd w:fill="F2F2F2" w:val="clear"/>
            <w:tcMar>
              <w:top w:type="dxa" w:w="100"/>
              <w:left w:type="dxa" w:w="120"/>
              <w:bottom w:type="dxa" w:w="100"/>
              <w:right w:type="dxa" w:w="120"/>
            </w:tcMar>
          </w:tcPr>
          <w:p>
            <w:r>
              <w:rPr>
                <w:b w:val="false"/>
                <w:bCs w:val="false"/>
              </w:rPr>
              <w:t xml:space="preserve">Target Audience</w:t>
            </w:r>
          </w:p>
        </w:tc>
        <w:tc>
          <w:tcPr>
            <w:tcW w:type="dxa" w:w="6800"/>
            <w:shd w:fill="F2F2F2" w:val="clear"/>
            <w:tcMar>
              <w:top w:type="dxa" w:w="100"/>
              <w:left w:type="dxa" w:w="120"/>
              <w:bottom w:type="dxa" w:w="100"/>
              <w:right w:type="dxa" w:w="120"/>
            </w:tcMar>
          </w:tcPr>
          <w:p>
            <w:r>
              <w:rPr>
                <w:b w:val="false"/>
                <w:bCs w:val="false"/>
              </w:rPr>
              <w:t xml:space="preserve">Beginners with little to no prior programming experience (career changers, analysts moving into data roles, undergraduate students)</w:t>
            </w:r>
          </w:p>
        </w:tc>
      </w:tr>
      <w:tr>
        <w:tc>
          <w:tcPr>
            <w:tcW w:type="dxa" w:w="2800"/>
            <w:tcMar>
              <w:top w:type="dxa" w:w="100"/>
              <w:left w:type="dxa" w:w="120"/>
              <w:bottom w:type="dxa" w:w="100"/>
              <w:right w:type="dxa" w:w="120"/>
            </w:tcMar>
          </w:tcPr>
          <w:p>
            <w:r>
              <w:rPr>
                <w:b w:val="false"/>
                <w:bCs w:val="false"/>
              </w:rPr>
              <w:t xml:space="preserve">Duration</w:t>
            </w:r>
          </w:p>
        </w:tc>
        <w:tc>
          <w:tcPr>
            <w:tcW w:type="dxa" w:w="6800"/>
            <w:tcMar>
              <w:top w:type="dxa" w:w="100"/>
              <w:left w:type="dxa" w:w="120"/>
              <w:bottom w:type="dxa" w:w="100"/>
              <w:right w:type="dxa" w:w="120"/>
            </w:tcMar>
          </w:tcPr>
          <w:p>
            <w:r>
              <w:rPr>
                <w:b w:val="false"/>
                <w:bCs w:val="false"/>
              </w:rPr>
              <w:t xml:space="preserve">5 weeks (10 sessions, 2 sessions/week, ~2.5 hours each, plus self-paced practice)</w:t>
            </w:r>
          </w:p>
        </w:tc>
      </w:tr>
      <w:tr>
        <w:tc>
          <w:tcPr>
            <w:tcW w:type="dxa" w:w="2800"/>
            <w:shd w:fill="F2F2F2" w:val="clear"/>
            <w:tcMar>
              <w:top w:type="dxa" w:w="100"/>
              <w:left w:type="dxa" w:w="120"/>
              <w:bottom w:type="dxa" w:w="100"/>
              <w:right w:type="dxa" w:w="120"/>
            </w:tcMar>
          </w:tcPr>
          <w:p>
            <w:r>
              <w:rPr>
                <w:b w:val="false"/>
                <w:bCs w:val="false"/>
              </w:rPr>
              <w:t xml:space="preserve">Delivery Method</w:t>
            </w:r>
          </w:p>
        </w:tc>
        <w:tc>
          <w:tcPr>
            <w:tcW w:type="dxa" w:w="6800"/>
            <w:shd w:fill="F2F2F2" w:val="clear"/>
            <w:tcMar>
              <w:top w:type="dxa" w:w="100"/>
              <w:left w:type="dxa" w:w="120"/>
              <w:bottom w:type="dxa" w:w="100"/>
              <w:right w:type="dxa" w:w="120"/>
            </w:tcMar>
          </w:tcPr>
          <w:p>
            <w:r>
              <w:rPr>
                <w:b w:val="false"/>
                <w:bCs w:val="false"/>
              </w:rPr>
              <w:t xml:space="preserve">Blended – self-paced video/reading modules with live weekly Q&amp;A and a facilitated final project review</w:t>
            </w:r>
          </w:p>
        </w:tc>
      </w:tr>
      <w:tr>
        <w:tc>
          <w:tcPr>
            <w:tcW w:type="dxa" w:w="2800"/>
            <w:tcMar>
              <w:top w:type="dxa" w:w="100"/>
              <w:left w:type="dxa" w:w="120"/>
              <w:bottom w:type="dxa" w:w="100"/>
              <w:right w:type="dxa" w:w="120"/>
            </w:tcMar>
          </w:tcPr>
          <w:p>
            <w:r>
              <w:rPr>
                <w:b w:val="false"/>
                <w:bCs w:val="false"/>
              </w:rPr>
              <w:t xml:space="preserve">Prerequisites</w:t>
            </w:r>
          </w:p>
        </w:tc>
        <w:tc>
          <w:tcPr>
            <w:tcW w:type="dxa" w:w="6800"/>
            <w:tcMar>
              <w:top w:type="dxa" w:w="100"/>
              <w:left w:type="dxa" w:w="120"/>
              <w:bottom w:type="dxa" w:w="100"/>
              <w:right w:type="dxa" w:w="120"/>
            </w:tcMar>
          </w:tcPr>
          <w:p>
            <w:r>
              <w:rPr>
                <w:b w:val="false"/>
                <w:bCs w:val="false"/>
              </w:rPr>
              <w:t xml:space="preserve">Basic computer literacy. No prior coding experience required.</w:t>
            </w:r>
          </w:p>
        </w:tc>
      </w:tr>
      <w:tr>
        <w:tc>
          <w:tcPr>
            <w:tcW w:type="dxa" w:w="2800"/>
            <w:shd w:fill="F2F2F2" w:val="clear"/>
            <w:tcMar>
              <w:top w:type="dxa" w:w="100"/>
              <w:left w:type="dxa" w:w="120"/>
              <w:bottom w:type="dxa" w:w="100"/>
              <w:right w:type="dxa" w:w="120"/>
            </w:tcMar>
          </w:tcPr>
          <w:p>
            <w:r>
              <w:rPr>
                <w:b w:val="false"/>
                <w:bCs w:val="false"/>
              </w:rPr>
              <w:t xml:space="preserve">Class Size</w:t>
            </w:r>
          </w:p>
        </w:tc>
        <w:tc>
          <w:tcPr>
            <w:tcW w:type="dxa" w:w="6800"/>
            <w:shd w:fill="F2F2F2" w:val="clear"/>
            <w:tcMar>
              <w:top w:type="dxa" w:w="100"/>
              <w:left w:type="dxa" w:w="120"/>
              <w:bottom w:type="dxa" w:w="100"/>
              <w:right w:type="dxa" w:w="120"/>
            </w:tcMar>
          </w:tcPr>
          <w:p>
            <w:r>
              <w:rPr>
                <w:b w:val="false"/>
                <w:bCs w:val="false"/>
              </w:rPr>
              <w:t xml:space="preserve">Designed for cohorts of 15–25 learners; scalable to self-paced individual delivery</w:t>
            </w:r>
          </w:p>
        </w:tc>
      </w:tr>
      <w:tr>
        <w:tc>
          <w:tcPr>
            <w:tcW w:type="dxa" w:w="2800"/>
            <w:tcMar>
              <w:top w:type="dxa" w:w="100"/>
              <w:left w:type="dxa" w:w="120"/>
              <w:bottom w:type="dxa" w:w="100"/>
              <w:right w:type="dxa" w:w="120"/>
            </w:tcMar>
          </w:tcPr>
          <w:p>
            <w:r>
              <w:rPr>
                <w:b w:val="false"/>
                <w:bCs w:val="false"/>
              </w:rPr>
              <w:t xml:space="preserve">Tools Used</w:t>
            </w:r>
          </w:p>
        </w:tc>
        <w:tc>
          <w:tcPr>
            <w:tcW w:type="dxa" w:w="6800"/>
            <w:tcMar>
              <w:top w:type="dxa" w:w="100"/>
              <w:left w:type="dxa" w:w="120"/>
              <w:bottom w:type="dxa" w:w="100"/>
              <w:right w:type="dxa" w:w="120"/>
            </w:tcMar>
          </w:tcPr>
          <w:p>
            <w:r>
              <w:rPr>
                <w:b w:val="false"/>
                <w:bCs w:val="false"/>
              </w:rPr>
              <w:t xml:space="preserve">Python 3, Jupyter Notebook, pandas, Matplotlib</w:t>
            </w:r>
          </w:p>
        </w:tc>
      </w:tr>
    </w:tbl>
    <w:p>
      <w:pPr>
        <w:pStyle w:val="Heading2"/>
        <w:spacing w:after="120" w:before="200"/>
      </w:pPr>
      <w:r>
        <w:t xml:space="preserve">Program Purpose</w:t>
      </w:r>
    </w:p>
    <w:p>
      <w:pPr>
        <w:spacing w:after="160"/>
      </w:pPr>
      <w:r>
        <w:t xml:space="preserve">Many learners can describe what data analysis is, but struggle to translate raw, messy data into decisions. This program closes that gap. It teaches Python and pandas not as abstract programming skills, but as tools for a repeatable workflow: import data, clean it, explore it, visualize it, and communicate what it shows. By the end, learners will have built and presented one complete analysis from a real (deliberately messy) dataset, mirroring the kind of work expected in an entry-level data analyst role.</w:t>
      </w:r>
    </w:p>
    <w:p>
      <w:pPr>
        <w:pStyle w:val="Heading2"/>
        <w:spacing w:after="120" w:before="200"/>
      </w:pPr>
      <w:r>
        <w:t xml:space="preserve">Target Audience – Who This Is For</w:t>
      </w:r>
    </w:p>
    <w:p>
      <w:pPr>
        <w:pStyle w:val="ListParagraph"/>
        <w:numPr>
          <w:ilvl w:val="0"/>
          <w:numId w:val="2"/>
        </w:numPr>
        <w:spacing w:after="80"/>
      </w:pPr>
      <w:r>
        <w:rPr>
          <w:b w:val="false"/>
          <w:bCs w:val="false"/>
        </w:rPr>
        <w:t xml:space="preserve">Career changers with no coding background who need a practical, portfolio-ready introduction to Python for data work</w:t>
      </w:r>
    </w:p>
    <w:p>
      <w:pPr>
        <w:pStyle w:val="ListParagraph"/>
        <w:numPr>
          <w:ilvl w:val="0"/>
          <w:numId w:val="2"/>
        </w:numPr>
        <w:spacing w:after="80"/>
      </w:pPr>
      <w:r>
        <w:rPr>
          <w:b w:val="false"/>
          <w:bCs w:val="false"/>
        </w:rPr>
        <w:t xml:space="preserve">Early-career professionals (marketing, operations, finance) who want to move into analytics</w:t>
      </w:r>
    </w:p>
    <w:p>
      <w:pPr>
        <w:pStyle w:val="ListParagraph"/>
        <w:numPr>
          <w:ilvl w:val="0"/>
          <w:numId w:val="2"/>
        </w:numPr>
        <w:spacing w:after="80"/>
      </w:pPr>
      <w:r>
        <w:rPr>
          <w:b w:val="false"/>
          <w:bCs w:val="false"/>
        </w:rPr>
        <w:t xml:space="preserve">Students who have covered data science theory but have limited hands-on tooling experience</w:t>
      </w:r>
    </w:p>
    <w:p>
      <w:pPr>
        <w:pStyle w:val="Heading2"/>
        <w:spacing w:after="120" w:before="200"/>
      </w:pPr>
      <w:r>
        <w:t xml:space="preserve">Expected Outcomes</w:t>
      </w:r>
    </w:p>
    <w:p>
      <w:pPr>
        <w:spacing w:after="160"/>
      </w:pPr>
      <w:r>
        <w:t xml:space="preserve">By the end of the program, learners will be able to independently load, clean, analyze, and visualize a real dataset in Python, and communicate their findings in a short report – the core cycle of applied data analysis.</w:t>
      </w:r>
    </w:p>
    <w:p>
      <w:pPr>
        <w:pStyle w:val="Heading2"/>
        <w:spacing w:after="120" w:before="200"/>
      </w:pPr>
      <w:r>
        <w:t xml:space="preserve">How This Program Is Structured</w:t>
      </w:r>
    </w:p>
    <w:p>
      <w:pPr>
        <w:spacing w:after="160"/>
      </w:pPr>
      <w:r>
        <w:t xml:space="preserve">The program is organized into 4 modules building from fundamentals to an applied final project. Each module pairs a short conceptual explanation with a hands-on notebook exercise using the same running dataset (retail sales data), so skills compound rather than reset each week. Full detail is in the Curriculum Map and Learning Objectives documents.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2026-08-13T18:00:50.186Z</dcterms:created>
  <dcterms:modified xsi:type="dcterms:W3CDTF">2026-08-13T18:00:50.199Z</dcterms:modified>
</cp:coreProperties>
</file>

<file path=docProps/custom.xml><?xml version="1.0" encoding="utf-8"?>
<Properties xmlns="http://schemas.openxmlformats.org/officeDocument/2006/custom-properties" xmlns:vt="http://schemas.openxmlformats.org/officeDocument/2006/docPropsVTypes"/>
</file>