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Times New Roman" w:cs="Times New Roman" w:hAnsi="Times New Roman" w:eastAsia="Times New Roman"/>
          <w:sz w:val="24"/>
          <w:szCs w:val="24"/>
        </w:rPr>
      </w:pPr>
      <w:r>
        <w:rPr>
          <w:rFonts w:ascii="Times New Roman"/>
          <w:sz w:val="24"/>
          <w:szCs w:val="24"/>
          <w:rtl w:val="0"/>
          <w:lang w:val="en-US"/>
        </w:rPr>
        <w:t>Problem Definition</w:t>
      </w:r>
    </w:p>
    <w:p>
      <w:pPr>
        <w:pStyle w:val="Body A"/>
        <w:rPr>
          <w:rFonts w:ascii="Times New Roman" w:cs="Times New Roman" w:hAnsi="Times New Roman" w:eastAsia="Times New Roman"/>
        </w:rPr>
      </w:pPr>
    </w:p>
    <w:p>
      <w:pPr>
        <w:pStyle w:val="Body A"/>
        <w:rPr>
          <w:rFonts w:ascii="Times New Roman" w:cs="Times New Roman" w:hAnsi="Times New Roman" w:eastAsia="Times New Roman"/>
          <w:sz w:val="24"/>
          <w:szCs w:val="24"/>
          <w:u w:color="000000"/>
          <w:rtl w:val="0"/>
        </w:rPr>
      </w:pPr>
      <w:r>
        <w:rPr>
          <w:rFonts w:ascii="Times New Roman"/>
          <w:sz w:val="24"/>
          <w:szCs w:val="24"/>
          <w:u w:color="000000"/>
          <w:rtl w:val="0"/>
          <w:lang w:val="en-US"/>
        </w:rPr>
        <w:t>Globally, skilled health workers and medical resources are critical in delivering effective treatment to improve the health of individuals and populations. However, health providers in developing countries often have limited or non-existing access to medical services, as physician-to-patient ratios average 0.2 physicians per 1,000 people (2010)</w:t>
      </w:r>
      <w:r>
        <w:rPr>
          <w:rFonts w:ascii="Times New Roman" w:cs="Times New Roman" w:hAnsi="Times New Roman" w:eastAsia="Times New Roman"/>
          <w:sz w:val="24"/>
          <w:szCs w:val="24"/>
          <w:u w:color="000000"/>
          <w:vertAlign w:val="superscript"/>
          <w:rtl w:val="0"/>
        </w:rPr>
        <w:endnoteReference w:id="1"/>
      </w:r>
      <w:r>
        <w:rPr>
          <w:rFonts w:ascii="Times New Roman"/>
          <w:sz w:val="24"/>
          <w:szCs w:val="24"/>
          <w:u w:color="000000"/>
          <w:rtl w:val="0"/>
          <w:lang w:val="en-US"/>
        </w:rPr>
        <w:t xml:space="preserve"> and estimates of out of service medical equipment range from 70-96%.</w:t>
      </w:r>
      <w:r>
        <w:rPr>
          <w:rFonts w:ascii="Times New Roman" w:cs="Times New Roman" w:hAnsi="Times New Roman" w:eastAsia="Times New Roman"/>
          <w:sz w:val="24"/>
          <w:szCs w:val="24"/>
          <w:u w:color="000000"/>
          <w:vertAlign w:val="superscript"/>
          <w:rtl w:val="0"/>
        </w:rPr>
        <w:endnoteReference w:id="2"/>
      </w:r>
      <w:r>
        <w:rPr>
          <w:rFonts w:ascii="Times New Roman"/>
          <w:sz w:val="24"/>
          <w:szCs w:val="24"/>
          <w:u w:color="000000"/>
          <w:rtl w:val="0"/>
          <w:lang w:val="en-US"/>
        </w:rPr>
        <w:t xml:space="preserve"> </w:t>
      </w:r>
      <w:r>
        <w:rPr>
          <w:rFonts w:ascii="Times New Roman"/>
          <w:sz w:val="24"/>
          <w:szCs w:val="24"/>
          <w:rtl w:val="0"/>
          <w:lang w:val="en-US"/>
        </w:rPr>
        <w:t xml:space="preserve">Further, the gap between the life expectancy of developed and high-mortality developing countries has continued to widen since the 1950s, largely </w:t>
      </w:r>
      <w:r>
        <w:rPr>
          <w:rFonts w:ascii="Times New Roman"/>
          <w:sz w:val="24"/>
          <w:szCs w:val="24"/>
          <w:rtl w:val="0"/>
          <w:lang w:val="en-US"/>
        </w:rPr>
        <w:t>due to the increase</w:t>
      </w:r>
      <w:r>
        <w:rPr>
          <w:rFonts w:ascii="Times New Roman"/>
          <w:sz w:val="24"/>
          <w:szCs w:val="24"/>
          <w:rtl w:val="0"/>
          <w:lang w:val="en-US"/>
        </w:rPr>
        <w:t xml:space="preserve"> of medical innovation targeted towards the </w:t>
      </w:r>
      <w:r>
        <w:rPr>
          <w:rFonts w:ascii="Times New Roman"/>
          <w:sz w:val="24"/>
          <w:szCs w:val="24"/>
          <w:rtl w:val="0"/>
          <w:lang w:val="en-US"/>
        </w:rPr>
        <w:t>developed</w:t>
      </w:r>
      <w:r>
        <w:rPr>
          <w:rFonts w:ascii="Times New Roman"/>
          <w:sz w:val="24"/>
          <w:szCs w:val="24"/>
          <w:rtl w:val="0"/>
          <w:lang w:val="en-US"/>
        </w:rPr>
        <w:t xml:space="preserve"> world.</w:t>
      </w:r>
      <w:r>
        <w:rPr>
          <w:rFonts w:ascii="Times New Roman" w:cs="Times New Roman" w:hAnsi="Times New Roman" w:eastAsia="Times New Roman"/>
          <w:sz w:val="24"/>
          <w:szCs w:val="24"/>
          <w:vertAlign w:val="superscript"/>
        </w:rPr>
        <w:endnoteReference w:id="3"/>
      </w:r>
      <w:r>
        <w:rPr>
          <w:rFonts w:ascii="Times New Roman"/>
          <w:sz w:val="24"/>
          <w:szCs w:val="24"/>
          <w:rtl w:val="0"/>
          <w:lang w:val="en-US"/>
        </w:rPr>
        <w:t xml:space="preserve"> </w:t>
      </w:r>
      <w:r>
        <w:rPr>
          <w:rFonts w:ascii="Times New Roman" w:cs="Times New Roman" w:hAnsi="Times New Roman" w:eastAsia="Times New Roman"/>
          <w:sz w:val="24"/>
          <w:szCs w:val="24"/>
          <w:vertAlign w:val="superscript"/>
        </w:rPr>
        <w:endnoteReference w:id="4"/>
      </w:r>
    </w:p>
    <w:p>
      <w:pPr>
        <w:pStyle w:val="Body A"/>
        <w:rPr>
          <w:rFonts w:ascii="Times New Roman" w:cs="Times New Roman" w:hAnsi="Times New Roman" w:eastAsia="Times New Roman"/>
          <w:sz w:val="24"/>
          <w:szCs w:val="24"/>
          <w:u w:color="000000"/>
          <w:rtl w:val="0"/>
        </w:rPr>
      </w:pPr>
    </w:p>
    <w:p>
      <w:pPr>
        <w:pStyle w:val="Body A"/>
        <w:rPr>
          <w:rFonts w:ascii="Times New Roman" w:cs="Times New Roman" w:hAnsi="Times New Roman" w:eastAsia="Times New Roman"/>
          <w:sz w:val="24"/>
          <w:szCs w:val="24"/>
          <w:u w:color="000000"/>
          <w:rtl w:val="0"/>
        </w:rPr>
      </w:pPr>
      <w:r>
        <w:rPr>
          <w:rFonts w:ascii="Times New Roman"/>
          <w:sz w:val="24"/>
          <w:szCs w:val="24"/>
          <w:u w:color="000000"/>
          <w:rtl w:val="0"/>
          <w:lang w:val="en-US"/>
        </w:rPr>
        <w:t>As an immense volume of patients seek treatment from an minute number of health workers, dwindling access to functional medical devices only compound the health crises in developing countries. Health workers are left overwhelmed, with essential practices</w:t>
      </w:r>
      <w:r>
        <w:rPr>
          <w:rFonts w:hAnsi="Times New Roman" w:hint="default"/>
          <w:sz w:val="24"/>
          <w:szCs w:val="24"/>
          <w:u w:color="000000"/>
          <w:rtl w:val="0"/>
          <w:lang w:val="en-US"/>
        </w:rPr>
        <w:t xml:space="preserve">– </w:t>
      </w:r>
      <w:r>
        <w:rPr>
          <w:rFonts w:ascii="Times New Roman"/>
          <w:sz w:val="24"/>
          <w:szCs w:val="24"/>
          <w:u w:color="000000"/>
          <w:rtl w:val="0"/>
          <w:lang w:val="en-US"/>
        </w:rPr>
        <w:t>such as making consistent rounds to check on each patient</w:t>
      </w:r>
      <w:r>
        <w:rPr>
          <w:rFonts w:hAnsi="Times New Roman" w:hint="default"/>
          <w:sz w:val="24"/>
          <w:szCs w:val="24"/>
          <w:u w:color="000000"/>
          <w:rtl w:val="0"/>
          <w:lang w:val="en-US"/>
        </w:rPr>
        <w:t xml:space="preserve">– </w:t>
      </w:r>
      <w:r>
        <w:rPr>
          <w:rFonts w:ascii="Times New Roman"/>
          <w:sz w:val="24"/>
          <w:szCs w:val="24"/>
          <w:u w:color="000000"/>
          <w:rtl w:val="0"/>
          <w:lang w:val="en-US"/>
        </w:rPr>
        <w:t>near impossible. In these low-resource settings, hiring more personnel is impractical.</w:t>
      </w:r>
    </w:p>
    <w:p>
      <w:pPr>
        <w:pStyle w:val="Body A"/>
        <w:rPr>
          <w:rFonts w:ascii="Times New Roman" w:cs="Times New Roman" w:hAnsi="Times New Roman" w:eastAsia="Times New Roman"/>
          <w:sz w:val="24"/>
          <w:szCs w:val="24"/>
          <w:u w:color="000000"/>
          <w:rtl w:val="0"/>
        </w:rPr>
      </w:pPr>
    </w:p>
    <w:p>
      <w:pPr>
        <w:pStyle w:val="Body A"/>
        <w:rPr>
          <w:rFonts w:ascii="Times New Roman" w:cs="Times New Roman" w:hAnsi="Times New Roman" w:eastAsia="Times New Roman"/>
          <w:sz w:val="24"/>
          <w:szCs w:val="24"/>
          <w:u w:color="000000"/>
          <w:rtl w:val="0"/>
        </w:rPr>
      </w:pPr>
      <w:r>
        <w:rPr>
          <w:rFonts w:ascii="Times New Roman"/>
          <w:sz w:val="24"/>
          <w:szCs w:val="24"/>
          <w:rtl w:val="0"/>
          <w:lang w:val="en-US"/>
        </w:rPr>
        <w:t>Vital signs monitors have enabl</w:t>
      </w:r>
      <w:r>
        <w:rPr>
          <w:rFonts w:ascii="Times New Roman"/>
          <w:sz w:val="24"/>
          <w:szCs w:val="24"/>
          <w:rtl w:val="0"/>
          <w:lang w:val="en-US"/>
        </w:rPr>
        <w:t xml:space="preserve">ed </w:t>
      </w:r>
      <w:r>
        <w:rPr>
          <w:rFonts w:ascii="Times New Roman"/>
          <w:sz w:val="24"/>
          <w:szCs w:val="24"/>
          <w:rtl w:val="0"/>
          <w:lang w:val="en-US"/>
        </w:rPr>
        <w:t>workers to give basic treatment to a broader span of patients and have become standard equipment in health care settings.</w:t>
      </w:r>
      <w:r>
        <w:rPr>
          <w:rFonts w:ascii="Times New Roman"/>
          <w:sz w:val="24"/>
          <w:szCs w:val="24"/>
          <w:u w:color="000000"/>
          <w:rtl w:val="0"/>
          <w:lang w:val="en-US"/>
        </w:rPr>
        <w:t xml:space="preserve"> However, reliable devices often range from $2,000 to $10,000, which is difficult for low- and middle- resource settings to afford. Additionally, majority of these devices are catered towards high-resource countries and are unable to tolerate common problems in developing environments</w:t>
      </w:r>
      <w:r>
        <w:rPr>
          <w:rFonts w:hAnsi="Times New Roman" w:hint="default"/>
          <w:sz w:val="24"/>
          <w:szCs w:val="24"/>
          <w:u w:color="000000"/>
          <w:rtl w:val="0"/>
          <w:lang w:val="en-US"/>
        </w:rPr>
        <w:t>–</w:t>
      </w:r>
      <w:r>
        <w:rPr>
          <w:rFonts w:ascii="Times New Roman"/>
          <w:sz w:val="24"/>
          <w:szCs w:val="24"/>
          <w:u w:color="000000"/>
          <w:rtl w:val="0"/>
          <w:lang w:val="en-US"/>
        </w:rPr>
        <w:t>such as erratic power supplies, limited training capacity, difficulties in getting spare parts, and poor or inadequate maintenance.</w:t>
      </w:r>
      <w:r>
        <w:rPr>
          <w:rFonts w:ascii="Times New Roman" w:cs="Times New Roman" w:hAnsi="Times New Roman" w:eastAsia="Times New Roman"/>
          <w:sz w:val="24"/>
          <w:szCs w:val="24"/>
          <w:u w:color="000000"/>
          <w:vertAlign w:val="superscript"/>
          <w:rtl w:val="0"/>
        </w:rPr>
        <w:endnoteReference w:id="5"/>
      </w:r>
      <w:r>
        <w:rPr>
          <w:rFonts w:ascii="Times New Roman"/>
          <w:sz w:val="24"/>
          <w:szCs w:val="24"/>
          <w:u w:color="000000"/>
          <w:rtl w:val="0"/>
          <w:lang w:val="en-US"/>
        </w:rPr>
        <w:t xml:space="preserve"> As the lack of focus on low-resource medical devices continues, the disparity between developed developing health care quality only increases.</w:t>
      </w:r>
    </w:p>
    <w:p>
      <w:pPr>
        <w:pStyle w:val="Body A"/>
        <w:rPr>
          <w:rFonts w:ascii="Times New Roman" w:cs="Times New Roman" w:hAnsi="Times New Roman" w:eastAsia="Times New Roman"/>
          <w:sz w:val="24"/>
          <w:szCs w:val="24"/>
          <w:u w:color="000000"/>
          <w:rtl w:val="0"/>
        </w:rPr>
      </w:pPr>
    </w:p>
    <w:p>
      <w:pPr>
        <w:pStyle w:val="Body A"/>
        <w:rPr>
          <w:rFonts w:ascii="Times New Roman" w:cs="Times New Roman" w:hAnsi="Times New Roman" w:eastAsia="Times New Roman"/>
          <w:sz w:val="24"/>
          <w:szCs w:val="24"/>
          <w:u w:color="000000"/>
          <w:rtl w:val="0"/>
        </w:rPr>
      </w:pPr>
      <w:r>
        <w:rPr>
          <w:rFonts w:ascii="Times New Roman"/>
          <w:sz w:val="24"/>
          <w:szCs w:val="24"/>
          <w:u w:color="000000"/>
          <w:rtl w:val="0"/>
          <w:lang w:val="en-US"/>
        </w:rPr>
        <w:t>Problem Solution</w:t>
      </w:r>
    </w:p>
    <w:p>
      <w:pPr>
        <w:pStyle w:val="Body A"/>
        <w:rPr>
          <w:rFonts w:ascii="Times New Roman" w:cs="Times New Roman" w:hAnsi="Times New Roman" w:eastAsia="Times New Roman"/>
          <w:sz w:val="24"/>
          <w:szCs w:val="24"/>
          <w:u w:color="000000"/>
          <w:rtl w:val="0"/>
        </w:rPr>
      </w:pPr>
    </w:p>
    <w:p>
      <w:pPr>
        <w:pStyle w:val="Body A"/>
        <w:sectPr>
          <w:headerReference w:type="default" r:id="rId4"/>
          <w:footerReference w:type="default" r:id="rId5"/>
          <w:pgSz w:w="12240" w:h="15840" w:orient="portrait"/>
          <w:pgMar w:top="1440" w:right="1440" w:bottom="1440" w:left="1440" w:header="720" w:footer="864"/>
          <w:bidi w:val="0"/>
        </w:sectPr>
      </w:pPr>
      <w:r>
        <w:rPr>
          <w:rFonts w:ascii="Times New Roman"/>
          <w:sz w:val="24"/>
          <w:szCs w:val="24"/>
          <w:u w:color="000000"/>
          <w:rtl w:val="0"/>
          <w:lang w:val="en-US"/>
        </w:rPr>
        <w:t>To combat the above problems, EWH Cornell has designed a low-cost vitals signs monitor targeted towards low-resource settings. The device</w:t>
      </w:r>
      <w:r>
        <w:rPr>
          <w:rFonts w:hAnsi="Times New Roman" w:hint="default"/>
          <w:sz w:val="24"/>
          <w:szCs w:val="24"/>
          <w:u w:color="000000"/>
          <w:rtl w:val="0"/>
          <w:lang w:val="en-US"/>
        </w:rPr>
        <w:t>’</w:t>
      </w:r>
      <w:r>
        <w:rPr>
          <w:rFonts w:ascii="Times New Roman"/>
          <w:sz w:val="24"/>
          <w:szCs w:val="24"/>
          <w:u w:color="000000"/>
          <w:rtl w:val="0"/>
          <w:lang w:val="en-US"/>
        </w:rPr>
        <w:t>s SMS capability sends real time updates of the patient</w:t>
      </w:r>
      <w:r>
        <w:rPr>
          <w:rFonts w:hAnsi="Times New Roman" w:hint="default"/>
          <w:sz w:val="24"/>
          <w:szCs w:val="24"/>
          <w:u w:color="000000"/>
          <w:rtl w:val="0"/>
          <w:lang w:val="en-US"/>
        </w:rPr>
        <w:t>’</w:t>
      </w:r>
      <w:r>
        <w:rPr>
          <w:rFonts w:ascii="Times New Roman"/>
          <w:sz w:val="24"/>
          <w:szCs w:val="24"/>
          <w:u w:color="000000"/>
          <w:rtl w:val="0"/>
          <w:lang w:val="en-US"/>
        </w:rPr>
        <w:t>s vitals to his/her associated nurse as well as alerts nurses if the patient</w:t>
      </w:r>
      <w:r>
        <w:rPr>
          <w:rFonts w:hAnsi="Times New Roman" w:hint="default"/>
          <w:sz w:val="24"/>
          <w:szCs w:val="24"/>
          <w:u w:color="000000"/>
          <w:rtl w:val="0"/>
          <w:lang w:val="en-US"/>
        </w:rPr>
        <w:t>’</w:t>
      </w:r>
      <w:r>
        <w:rPr>
          <w:rFonts w:ascii="Times New Roman"/>
          <w:sz w:val="24"/>
          <w:szCs w:val="24"/>
          <w:u w:color="000000"/>
          <w:rtl w:val="0"/>
          <w:lang w:val="en-US"/>
        </w:rPr>
        <w:t xml:space="preserve">s vitals </w:t>
      </w:r>
      <w:r>
        <w:rPr>
          <w:rFonts w:ascii="Times New Roman"/>
          <w:sz w:val="24"/>
          <w:szCs w:val="24"/>
          <w:u w:color="000000"/>
          <w:rtl w:val="0"/>
          <w:lang w:val="en-US"/>
        </w:rPr>
        <w:t>show abnormal changes</w:t>
      </w:r>
      <w:r>
        <w:rPr>
          <w:rFonts w:ascii="Times New Roman"/>
          <w:sz w:val="24"/>
          <w:szCs w:val="24"/>
          <w:u w:color="000000"/>
          <w:rtl w:val="0"/>
          <w:lang w:val="en-US"/>
        </w:rPr>
        <w:t>. The function eliminates the need for continuous nurse ward rounds, allowing health workers to extend focused treatment to a greater population of patients. On average, nurses spend 2.</w:t>
      </w:r>
      <w:r>
        <w:rPr>
          <w:rFonts w:ascii="Times New Roman"/>
          <w:sz w:val="24"/>
          <w:szCs w:val="24"/>
          <w:u w:color="000000"/>
          <w:rtl w:val="0"/>
          <w:lang w:val="en-US"/>
        </w:rPr>
        <w:t>3</w:t>
      </w:r>
      <w:r>
        <w:rPr>
          <w:rFonts w:ascii="Times New Roman"/>
          <w:sz w:val="24"/>
          <w:szCs w:val="24"/>
          <w:u w:color="000000"/>
          <w:rtl w:val="0"/>
          <w:lang w:val="en-US"/>
        </w:rPr>
        <w:t xml:space="preserve"> minutes per patient consultation</w:t>
      </w:r>
      <w:r>
        <w:rPr>
          <w:rFonts w:ascii="Times New Roman" w:cs="Times New Roman" w:hAnsi="Times New Roman" w:eastAsia="Times New Roman"/>
          <w:sz w:val="24"/>
          <w:szCs w:val="24"/>
          <w:u w:color="000000"/>
          <w:vertAlign w:val="superscript"/>
          <w:rtl w:val="0"/>
        </w:rPr>
        <w:endnoteReference w:id="6"/>
      </w:r>
      <w:r>
        <w:rPr>
          <w:rFonts w:ascii="Times New Roman"/>
          <w:sz w:val="24"/>
          <w:szCs w:val="24"/>
          <w:u w:color="000000"/>
          <w:rtl w:val="0"/>
          <w:lang w:val="en-US"/>
        </w:rPr>
        <w:t>.</w:t>
      </w:r>
      <w:r>
        <w:rPr>
          <w:rFonts w:ascii="Times New Roman"/>
          <w:sz w:val="24"/>
          <w:szCs w:val="24"/>
          <w:u w:color="000000"/>
          <w:rtl w:val="0"/>
          <w:lang w:val="en-US"/>
        </w:rPr>
        <w:t xml:space="preserve"> </w:t>
      </w:r>
      <w:r>
        <w:rPr>
          <w:rFonts w:ascii="Times New Roman"/>
          <w:sz w:val="24"/>
          <w:szCs w:val="24"/>
          <w:u w:color="000000"/>
          <w:rtl w:val="0"/>
          <w:lang w:val="en-US"/>
        </w:rPr>
        <w:t>In the case of a hospital</w:t>
      </w:r>
      <w:r>
        <w:rPr>
          <w:rFonts w:ascii="Times New Roman"/>
          <w:sz w:val="24"/>
          <w:szCs w:val="24"/>
          <w:u w:color="000000"/>
          <w:rtl w:val="0"/>
          <w:lang w:val="en-US"/>
        </w:rPr>
        <w:t xml:space="preserve"> serving 100 patients per day</w:t>
      </w:r>
      <w:r>
        <w:rPr>
          <w:rFonts w:ascii="Times New Roman"/>
          <w:sz w:val="24"/>
          <w:szCs w:val="24"/>
          <w:u w:color="000000"/>
          <w:rtl w:val="0"/>
          <w:lang w:val="en-US"/>
        </w:rPr>
        <w:t xml:space="preserve"> that takes the vitals of each patient 5 times per day</w:t>
      </w:r>
      <w:r>
        <w:rPr>
          <w:rFonts w:ascii="Times New Roman"/>
          <w:sz w:val="24"/>
          <w:szCs w:val="24"/>
          <w:u w:color="000000"/>
          <w:rtl w:val="0"/>
          <w:lang w:val="en-US"/>
        </w:rPr>
        <w:t xml:space="preserve">, </w:t>
      </w:r>
      <w:r>
        <w:rPr>
          <w:rFonts w:ascii="Times New Roman"/>
          <w:sz w:val="24"/>
          <w:szCs w:val="24"/>
          <w:u w:color="000000"/>
          <w:rtl w:val="0"/>
          <w:lang w:val="en-US"/>
        </w:rPr>
        <w:t>19.2 working</w:t>
      </w:r>
      <w:r>
        <w:rPr>
          <w:rFonts w:ascii="Times New Roman"/>
          <w:sz w:val="24"/>
          <w:szCs w:val="24"/>
          <w:u w:color="000000"/>
          <w:rtl w:val="0"/>
          <w:lang w:val="en-US"/>
        </w:rPr>
        <w:t xml:space="preserve"> </w:t>
      </w:r>
      <w:r>
        <w:rPr>
          <w:rFonts w:ascii="Times New Roman"/>
          <w:sz w:val="24"/>
          <w:szCs w:val="24"/>
          <w:u w:color="000000"/>
          <w:rtl w:val="0"/>
          <w:lang w:val="en-US"/>
        </w:rPr>
        <w:t>hours</w:t>
      </w:r>
      <w:r>
        <w:rPr>
          <w:rFonts w:ascii="Times New Roman"/>
          <w:sz w:val="24"/>
          <w:szCs w:val="24"/>
          <w:u w:color="000000"/>
          <w:rtl w:val="0"/>
          <w:lang w:val="en-US"/>
        </w:rPr>
        <w:t xml:space="preserve"> would be saved each day and could be reinvested into treating other individuals. </w:t>
      </w:r>
      <w:r>
        <w:rPr>
          <w:rFonts w:ascii="Times New Roman"/>
          <w:sz w:val="24"/>
          <w:szCs w:val="24"/>
          <w:rtl w:val="0"/>
          <w:lang w:val="en-US"/>
        </w:rPr>
        <w:t>Additionally, we estimate a mass produced vitals signs monitor would cost $200 per device. Hence, low-resource hospitals would not need to rely on medical equipment donations, allowing hospitals to maintain an uniform monitoring system, further streamlining technology management. Note, mobile subscriptions have drastically rose in the developing world</w:t>
      </w:r>
      <w:r>
        <w:rPr>
          <w:rFonts w:hAnsi="Times New Roman" w:hint="default"/>
          <w:sz w:val="24"/>
          <w:szCs w:val="24"/>
          <w:rtl w:val="0"/>
          <w:lang w:val="en-US"/>
        </w:rPr>
        <w:t xml:space="preserve">– </w:t>
      </w:r>
      <w:r>
        <w:rPr>
          <w:rFonts w:ascii="Times New Roman"/>
          <w:sz w:val="24"/>
          <w:szCs w:val="24"/>
          <w:rtl w:val="0"/>
          <w:lang w:val="en-US"/>
        </w:rPr>
        <w:t>with access to sending text messages increasing over 80% in Kenya, Mexico, and Indonesia</w:t>
      </w:r>
      <w:r>
        <w:rPr>
          <w:rFonts w:ascii="Times New Roman" w:cs="Times New Roman" w:hAnsi="Times New Roman" w:eastAsia="Times New Roman"/>
          <w:sz w:val="24"/>
          <w:szCs w:val="24"/>
          <w:vertAlign w:val="superscript"/>
        </w:rPr>
        <w:endnoteReference w:id="7"/>
      </w:r>
      <w:r>
        <w:rPr>
          <w:rFonts w:ascii="Times New Roman"/>
          <w:sz w:val="24"/>
          <w:szCs w:val="24"/>
          <w:rtl w:val="0"/>
          <w:lang w:val="en-US"/>
        </w:rPr>
        <w:t>. Further, for much of the population receiving text messages is free, which allows the device</w:t>
      </w:r>
      <w:r>
        <w:rPr>
          <w:rFonts w:hAnsi="Times New Roman" w:hint="default"/>
          <w:sz w:val="24"/>
          <w:szCs w:val="24"/>
          <w:rtl w:val="0"/>
          <w:lang w:val="en-US"/>
        </w:rPr>
        <w:t>’</w:t>
      </w:r>
      <w:r>
        <w:rPr>
          <w:rFonts w:ascii="Times New Roman"/>
          <w:sz w:val="24"/>
          <w:szCs w:val="24"/>
          <w:rtl w:val="0"/>
          <w:lang w:val="en-US"/>
        </w:rPr>
        <w:t>s SMS system to vastly decrease infrastructure costs. As the device</w:t>
      </w:r>
      <w:r>
        <w:rPr>
          <w:rFonts w:hAnsi="Times New Roman" w:hint="default"/>
          <w:sz w:val="24"/>
          <w:szCs w:val="24"/>
          <w:rtl w:val="0"/>
          <w:lang w:val="en-US"/>
        </w:rPr>
        <w:t>’</w:t>
      </w:r>
      <w:r>
        <w:rPr>
          <w:rFonts w:ascii="Times New Roman"/>
          <w:sz w:val="24"/>
          <w:szCs w:val="24"/>
          <w:rtl w:val="0"/>
          <w:lang w:val="en-US"/>
        </w:rPr>
        <w:t>s audio alarm system remains unaffected in remote or powerless places and estimated battery life of 10-12 hours, the device is ideal for prehospital and disaster settings.</w:t>
      </w:r>
    </w:p>
    <w:p>
      <w:pPr>
        <w:pStyle w:val="Body A"/>
        <w:rPr>
          <w:rFonts w:ascii="Times New Roman" w:cs="Times New Roman" w:hAnsi="Times New Roman" w:eastAsia="Times New Roman"/>
          <w:sz w:val="24"/>
          <w:szCs w:val="24"/>
        </w:rPr>
      </w:pPr>
      <w:r>
        <w:rPr>
          <w:rFonts w:ascii="Times New Roman"/>
          <w:sz w:val="24"/>
          <w:szCs w:val="24"/>
          <w:rtl w:val="0"/>
          <w:lang w:val="en-US"/>
        </w:rPr>
        <w:t>Competitors</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sz w:val="24"/>
          <w:szCs w:val="24"/>
          <w:rtl w:val="0"/>
          <w:lang w:val="en-US"/>
        </w:rPr>
        <w:t>Many major companies have addressed developing devices more suited towards low resource environments. Currently, one of the more prominent devices on the market to monitor a patient</w:t>
      </w:r>
      <w:r>
        <w:rPr>
          <w:rFonts w:hAnsi="Times New Roman" w:hint="default"/>
          <w:sz w:val="24"/>
          <w:szCs w:val="24"/>
          <w:rtl w:val="0"/>
          <w:lang w:val="en-US"/>
        </w:rPr>
        <w:t>’</w:t>
      </w:r>
      <w:r>
        <w:rPr>
          <w:rFonts w:ascii="Times New Roman"/>
          <w:sz w:val="24"/>
          <w:szCs w:val="24"/>
          <w:rtl w:val="0"/>
          <w:lang w:val="en-US"/>
        </w:rPr>
        <w:t xml:space="preserve">s vitals in the developing world is the </w:t>
      </w:r>
      <w:r>
        <w:rPr>
          <w:rFonts w:ascii="Times New Roman"/>
          <w:sz w:val="24"/>
          <w:szCs w:val="24"/>
          <w:rtl w:val="0"/>
          <w:lang w:val="en-US"/>
        </w:rPr>
        <w:t>Dinamap Procare Vitals Monitor</w:t>
      </w:r>
      <w:r>
        <w:rPr>
          <w:rFonts w:ascii="Times New Roman"/>
          <w:sz w:val="24"/>
          <w:szCs w:val="24"/>
          <w:rtl w:val="0"/>
          <w:lang w:val="en-US"/>
        </w:rPr>
        <w:t xml:space="preserve"> by GE. The Dinamap Monitor displays </w:t>
      </w:r>
      <w:r>
        <w:rPr>
          <w:rFonts w:ascii="Times New Roman"/>
          <w:sz w:val="24"/>
          <w:szCs w:val="24"/>
          <w:rtl w:val="0"/>
          <w:lang w:val="en-US"/>
        </w:rPr>
        <w:t>automated BP, predictive temp</w:t>
      </w:r>
      <w:r>
        <w:rPr>
          <w:rFonts w:ascii="Times New Roman"/>
          <w:sz w:val="24"/>
          <w:szCs w:val="24"/>
          <w:rtl w:val="0"/>
          <w:lang w:val="en-US"/>
        </w:rPr>
        <w:t>erature</w:t>
      </w:r>
      <w:r>
        <w:rPr>
          <w:rFonts w:ascii="Times New Roman"/>
          <w:sz w:val="24"/>
          <w:szCs w:val="24"/>
          <w:rtl w:val="0"/>
          <w:lang w:val="en-US"/>
        </w:rPr>
        <w:t>, SpO</w:t>
      </w:r>
      <w:r>
        <w:rPr>
          <w:rFonts w:ascii="Times New Roman"/>
          <w:sz w:val="24"/>
          <w:szCs w:val="24"/>
          <w:vertAlign w:val="subscript"/>
          <w:rtl w:val="0"/>
          <w:lang w:val="en-US"/>
        </w:rPr>
        <w:t>2</w:t>
      </w:r>
      <w:r>
        <w:rPr>
          <w:rFonts w:ascii="Times New Roman"/>
          <w:sz w:val="24"/>
          <w:szCs w:val="24"/>
          <w:rtl w:val="0"/>
          <w:lang w:val="en-US"/>
        </w:rPr>
        <w:t>,</w:t>
      </w:r>
      <w:r>
        <w:rPr>
          <w:rFonts w:ascii="Times New Roman"/>
          <w:sz w:val="24"/>
          <w:szCs w:val="24"/>
          <w:rtl w:val="0"/>
          <w:lang w:val="en-US"/>
        </w:rPr>
        <w:t xml:space="preserve"> and pulse rate</w:t>
      </w:r>
      <w:r>
        <w:rPr>
          <w:rFonts w:ascii="Times New Roman"/>
          <w:sz w:val="24"/>
          <w:szCs w:val="24"/>
          <w:rtl w:val="0"/>
          <w:lang w:val="en-US"/>
        </w:rPr>
        <w:t xml:space="preserve"> with a minimum battery life of two hours. While the device provides leading technology and accuracy, it is still partially catered towards developed regions. The GE device relies mostly on English rather than pictorials</w:t>
      </w:r>
      <w:r>
        <w:rPr>
          <w:rFonts w:hAnsi="Times New Roman" w:hint="default"/>
          <w:sz w:val="24"/>
          <w:szCs w:val="24"/>
          <w:rtl w:val="0"/>
          <w:lang w:val="en-US"/>
        </w:rPr>
        <w:t xml:space="preserve">– </w:t>
      </w:r>
      <w:r>
        <w:rPr>
          <w:rFonts w:ascii="Times New Roman"/>
          <w:sz w:val="24"/>
          <w:szCs w:val="24"/>
          <w:rtl w:val="0"/>
          <w:lang w:val="en-US"/>
        </w:rPr>
        <w:t>most button descriptions are solely in English. In addition, the device can only measure body temperature in Fahrenheit, while the convention is to measure in Celsius for the majority of developing areas. Further, our device provides a more comprehensive and integrated system due to it</w:t>
      </w:r>
      <w:r>
        <w:rPr>
          <w:rFonts w:hAnsi="Times New Roman" w:hint="default"/>
          <w:sz w:val="24"/>
          <w:szCs w:val="24"/>
          <w:rtl w:val="0"/>
          <w:lang w:val="en-US"/>
        </w:rPr>
        <w:t>’</w:t>
      </w:r>
      <w:r>
        <w:rPr>
          <w:rFonts w:ascii="Times New Roman"/>
          <w:sz w:val="24"/>
          <w:szCs w:val="24"/>
          <w:rtl w:val="0"/>
          <w:lang w:val="en-US"/>
        </w:rPr>
        <w:t>s SMS capabilities, which allows health workers to monitor and care for a higher volume of patients. In terms of price, the Dinamap costs $1000 respectively, significantly more than the $200 cost of our Vitals Signs Monitor. In a broader context, the World Health Organization estimates that as much as 80% of medical equipment is donated or funded through foreign sources to developing areas, but only 10-30% of the donations are ever put into operation due to lack of repair parts, training, and outdated electrical systems.</w:t>
      </w:r>
      <w:r>
        <w:rPr>
          <w:rFonts w:ascii="Times New Roman" w:cs="Times New Roman" w:hAnsi="Times New Roman" w:eastAsia="Times New Roman"/>
          <w:sz w:val="24"/>
          <w:szCs w:val="24"/>
          <w:vertAlign w:val="superscript"/>
        </w:rPr>
        <w:endnoteReference w:id="8"/>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60288" behindDoc="0" locked="0" layoutInCell="1" allowOverlap="1">
            <wp:simplePos x="0" y="0"/>
            <wp:positionH relativeFrom="margin">
              <wp:posOffset>4578084</wp:posOffset>
            </wp:positionH>
            <wp:positionV relativeFrom="line">
              <wp:posOffset>585579</wp:posOffset>
            </wp:positionV>
            <wp:extent cx="184067" cy="19181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transparent-green-checkmark-hi.png"/>
                    <pic:cNvPicPr/>
                  </pic:nvPicPr>
                  <pic:blipFill>
                    <a:blip r:embed="rId6">
                      <a:extLst/>
                    </a:blip>
                    <a:stretch>
                      <a:fillRect/>
                    </a:stretch>
                  </pic:blipFill>
                  <pic:spPr>
                    <a:xfrm>
                      <a:off x="0" y="0"/>
                      <a:ext cx="184067" cy="191817"/>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drawing>
          <wp:anchor distT="152400" distB="152400" distL="152400" distR="152400" simplePos="0" relativeHeight="251662336" behindDoc="0" locked="0" layoutInCell="1" allowOverlap="1">
            <wp:simplePos x="0" y="0"/>
            <wp:positionH relativeFrom="margin">
              <wp:posOffset>4598781</wp:posOffset>
            </wp:positionH>
            <wp:positionV relativeFrom="line">
              <wp:posOffset>1242672</wp:posOffset>
            </wp:positionV>
            <wp:extent cx="184067" cy="191817"/>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transparent-green-checkmark-hi.png"/>
                    <pic:cNvPicPr/>
                  </pic:nvPicPr>
                  <pic:blipFill>
                    <a:blip r:embed="rId6">
                      <a:extLst/>
                    </a:blip>
                    <a:stretch>
                      <a:fillRect/>
                    </a:stretch>
                  </pic:blipFill>
                  <pic:spPr>
                    <a:xfrm>
                      <a:off x="0" y="0"/>
                      <a:ext cx="184067" cy="191817"/>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drawing>
          <wp:anchor distT="152400" distB="152400" distL="152400" distR="152400" simplePos="0" relativeHeight="251659264" behindDoc="0" locked="0" layoutInCell="1" allowOverlap="1">
            <wp:simplePos x="0" y="0"/>
            <wp:positionH relativeFrom="margin">
              <wp:posOffset>3719174</wp:posOffset>
            </wp:positionH>
            <wp:positionV relativeFrom="line">
              <wp:posOffset>596938</wp:posOffset>
            </wp:positionV>
            <wp:extent cx="184067" cy="191817"/>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transparent-green-checkmark-hi.png"/>
                    <pic:cNvPicPr/>
                  </pic:nvPicPr>
                  <pic:blipFill>
                    <a:blip r:embed="rId6">
                      <a:extLst/>
                    </a:blip>
                    <a:srcRect l="0" t="0" r="0" b="0"/>
                    <a:stretch>
                      <a:fillRect/>
                    </a:stretch>
                  </pic:blipFill>
                  <pic:spPr>
                    <a:xfrm>
                      <a:off x="0" y="0"/>
                      <a:ext cx="184067" cy="191817"/>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drawing>
          <wp:anchor distT="152400" distB="152400" distL="152400" distR="152400" simplePos="0" relativeHeight="251663360" behindDoc="0" locked="0" layoutInCell="1" allowOverlap="1">
            <wp:simplePos x="0" y="0"/>
            <wp:positionH relativeFrom="margin">
              <wp:posOffset>3682737</wp:posOffset>
            </wp:positionH>
            <wp:positionV relativeFrom="line">
              <wp:posOffset>1211229</wp:posOffset>
            </wp:positionV>
            <wp:extent cx="239380" cy="239380"/>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1024px-Red_x.svg.png"/>
                    <pic:cNvPicPr/>
                  </pic:nvPicPr>
                  <pic:blipFill>
                    <a:blip r:embed="rId7">
                      <a:extLst/>
                    </a:blip>
                    <a:stretch>
                      <a:fillRect/>
                    </a:stretch>
                  </pic:blipFill>
                  <pic:spPr>
                    <a:xfrm>
                      <a:off x="0" y="0"/>
                      <a:ext cx="239380" cy="239380"/>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drawing>
          <wp:anchor distT="152400" distB="152400" distL="152400" distR="152400" simplePos="0" relativeHeight="251661312" behindDoc="0" locked="0" layoutInCell="1" allowOverlap="1">
            <wp:simplePos x="0" y="0"/>
            <wp:positionH relativeFrom="margin">
              <wp:posOffset>5439474</wp:posOffset>
            </wp:positionH>
            <wp:positionV relativeFrom="line">
              <wp:posOffset>595242</wp:posOffset>
            </wp:positionV>
            <wp:extent cx="184067" cy="191817"/>
            <wp:effectExtent l="0" t="0" r="0" b="0"/>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transparent-green-checkmark-hi.png"/>
                    <pic:cNvPicPr/>
                  </pic:nvPicPr>
                  <pic:blipFill>
                    <a:blip r:embed="rId6">
                      <a:extLst/>
                    </a:blip>
                    <a:stretch>
                      <a:fillRect/>
                    </a:stretch>
                  </pic:blipFill>
                  <pic:spPr>
                    <a:xfrm>
                      <a:off x="0" y="0"/>
                      <a:ext cx="184067" cy="191817"/>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drawing>
          <wp:anchor distT="152400" distB="152400" distL="152400" distR="152400" simplePos="0" relativeHeight="251664384" behindDoc="0" locked="0" layoutInCell="1" allowOverlap="1">
            <wp:simplePos x="0" y="0"/>
            <wp:positionH relativeFrom="margin">
              <wp:posOffset>5403040</wp:posOffset>
            </wp:positionH>
            <wp:positionV relativeFrom="line">
              <wp:posOffset>1215610</wp:posOffset>
            </wp:positionV>
            <wp:extent cx="239380" cy="239380"/>
            <wp:effectExtent l="0" t="0" r="0" b="0"/>
            <wp:wrapNone/>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1024px-Red_x.svg.png"/>
                    <pic:cNvPicPr/>
                  </pic:nvPicPr>
                  <pic:blipFill>
                    <a:blip r:embed="rId7">
                      <a:extLst/>
                    </a:blip>
                    <a:stretch>
                      <a:fillRect/>
                    </a:stretch>
                  </pic:blipFill>
                  <pic:spPr>
                    <a:xfrm>
                      <a:off x="0" y="0"/>
                      <a:ext cx="239380" cy="239380"/>
                    </a:xfrm>
                    <a:prstGeom prst="rect">
                      <a:avLst/>
                    </a:prstGeom>
                    <a:ln w="12700" cap="flat">
                      <a:noFill/>
                      <a:miter lim="400000"/>
                    </a:ln>
                    <a:effectLst/>
                  </pic:spPr>
                </pic:pic>
              </a:graphicData>
            </a:graphic>
          </wp:anchor>
        </w:drawing>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37"/>
        <w:gridCol w:w="1337"/>
        <w:gridCol w:w="1337"/>
        <w:gridCol w:w="1337"/>
        <w:gridCol w:w="1337"/>
        <w:gridCol w:w="1337"/>
        <w:gridCol w:w="1338"/>
      </w:tblGrid>
      <w:tr>
        <w:tblPrEx>
          <w:shd w:val="clear" w:color="auto" w:fill="auto"/>
        </w:tblPrEx>
        <w:trPr>
          <w:trHeight w:val="481" w:hRule="atLeast"/>
        </w:trPr>
        <w:tc>
          <w:tcPr>
            <w:tcW w:type="dxa" w:w="1337"/>
            <w:tcBorders>
              <w:top w:val="nil"/>
              <w:left w:val="nil"/>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rtl w:val="0"/>
              </w:rPr>
              <w:t>Price</w:t>
            </w:r>
          </w:p>
        </w:tc>
        <w:tc>
          <w:tcPr>
            <w:tcW w:type="dxa" w:w="1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A"/>
            </w:pPr>
            <w:r>
              <w:rPr>
                <w:rFonts w:ascii="Calibri"/>
                <w:rtl w:val="0"/>
              </w:rPr>
              <w:t>Weight</w:t>
            </w:r>
          </w:p>
        </w:tc>
        <w:tc>
          <w:tcPr>
            <w:tcW w:type="dxa" w:w="1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A"/>
            </w:pPr>
            <w:r>
              <w:rPr>
                <w:rFonts w:ascii="Calibri"/>
                <w:rtl w:val="0"/>
              </w:rPr>
              <w:t>Battery Life</w:t>
            </w:r>
          </w:p>
        </w:tc>
        <w:tc>
          <w:tcPr>
            <w:tcW w:type="dxa" w:w="1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A"/>
            </w:pPr>
            <w:r>
              <w:rPr>
                <w:rFonts w:ascii="Calibri"/>
                <w:rtl w:val="0"/>
              </w:rPr>
              <w:t>SMS Capability</w:t>
            </w:r>
          </w:p>
        </w:tc>
        <w:tc>
          <w:tcPr>
            <w:tcW w:type="dxa" w:w="1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rtl w:val="0"/>
              </w:rPr>
              <w:t>Pulse Rate</w:t>
            </w:r>
          </w:p>
        </w:tc>
        <w:tc>
          <w:tcPr>
            <w:tcW w:type="dxa" w:w="1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alibri"/>
                <w:rtl w:val="0"/>
              </w:rPr>
              <w:t xml:space="preserve">Temperature (in </w:t>
            </w:r>
            <w:r>
              <w:rPr>
                <w:rFonts w:hAnsi="Calibri" w:hint="default"/>
                <w:rtl w:val="0"/>
              </w:rPr>
              <w:t>•</w:t>
            </w:r>
            <w:r>
              <w:rPr>
                <w:rFonts w:ascii="Calibri"/>
                <w:rtl w:val="0"/>
              </w:rPr>
              <w:t>C)</w:t>
            </w:r>
          </w:p>
        </w:tc>
      </w:tr>
      <w:tr>
        <w:tblPrEx>
          <w:shd w:val="clear" w:color="auto" w:fill="auto"/>
        </w:tblPrEx>
        <w:trPr>
          <w:trHeight w:val="552" w:hRule="atLeast"/>
        </w:trPr>
        <w:tc>
          <w:tcPr>
            <w:tcW w:type="dxa" w:w="1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A"/>
            </w:pPr>
            <w:r>
              <w:rPr>
                <w:rFonts w:ascii="Calibri"/>
                <w:sz w:val="24"/>
                <w:szCs w:val="24"/>
                <w:rtl w:val="0"/>
                <w:lang w:val="en-US"/>
              </w:rPr>
              <w:t>Vitals Signs Monitor</w:t>
            </w:r>
          </w:p>
        </w:tc>
        <w:tc>
          <w:tcPr>
            <w:tcW w:type="dxa" w:w="1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Calibri"/>
                <w:rtl w:val="0"/>
              </w:rPr>
              <w:t>&lt;$200</w:t>
            </w:r>
          </w:p>
        </w:tc>
        <w:tc>
          <w:tcPr>
            <w:tcW w:type="dxa" w:w="1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Calibri"/>
                <w:rtl w:val="0"/>
              </w:rPr>
              <w:t>2 lbs.</w:t>
            </w:r>
          </w:p>
        </w:tc>
        <w:tc>
          <w:tcPr>
            <w:tcW w:type="dxa" w:w="1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1152" w:hRule="atLeast"/>
        </w:trPr>
        <w:tc>
          <w:tcPr>
            <w:tcW w:type="dxa" w:w="1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A"/>
            </w:pPr>
            <w:r>
              <w:rPr>
                <w:rFonts w:ascii="Calibri"/>
                <w:sz w:val="24"/>
                <w:szCs w:val="24"/>
                <w:rtl w:val="0"/>
                <w:lang w:val="en-US"/>
              </w:rPr>
              <w:t>Dinamap Procare Vitals Monitor</w:t>
            </w:r>
          </w:p>
        </w:tc>
        <w:tc>
          <w:tcPr>
            <w:tcW w:type="dxa" w:w="1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Calibri"/>
                <w:rtl w:val="0"/>
              </w:rPr>
              <w:t>$1000</w:t>
            </w:r>
          </w:p>
        </w:tc>
        <w:tc>
          <w:tcPr>
            <w:tcW w:type="dxa" w:w="1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Calibri"/>
                <w:rtl w:val="0"/>
              </w:rPr>
              <w:t>5 lbs.</w:t>
            </w:r>
          </w:p>
        </w:tc>
        <w:tc>
          <w:tcPr>
            <w:tcW w:type="dxa" w:w="1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Calibri"/>
                <w:rtl w:val="0"/>
              </w:rPr>
              <w:t>2 hrs.</w:t>
            </w:r>
          </w:p>
        </w:tc>
        <w:tc>
          <w:tcPr>
            <w:tcW w:type="dxa" w:w="1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A"/>
        <w:rPr>
          <w:rFonts w:ascii="Times New Roman" w:cs="Times New Roman" w:hAnsi="Times New Roman" w:eastAsia="Times New Roman"/>
          <w:sz w:val="24"/>
          <w:szCs w:val="24"/>
        </w:rPr>
      </w:pPr>
    </w:p>
    <w:p>
      <w:pPr>
        <w:pStyle w:val="Body A"/>
      </w:pPr>
      <w:r>
        <w:rPr>
          <w:rFonts w:ascii="Times New Roman" w:cs="Times New Roman" w:hAnsi="Times New Roman" w:eastAsia="Times New Roman"/>
          <w:sz w:val="24"/>
          <w:szCs w:val="24"/>
        </w:rPr>
        <w:br w:type="page"/>
      </w:r>
    </w:p>
    <w:sectPr>
      <w:pgSz w:w="12240" w:h="15840" w:orient="portrait"/>
      <w:pgMar w:top="1440" w:right="1440" w:bottom="1440" w:left="1440" w:header="720" w:footer="864"/>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w:endnote w:type="separator" w:id="-1">
    <w:p>
      <w:r>
        <w:separator/>
      </w:r>
    </w:p>
  </w:endnote>
  <w:endnote w:type="continuationSeparator" w:id="0">
    <w:p>
      <w:r>
        <w:continuationSeparator/>
      </w:r>
    </w:p>
  </w:endnote>
  <w:endnote w:type="continuationNotice" w:id="-2">
    <w:p>
      <w:r>
        <w:t/>
      </w:r>
    </w:p>
  </w:endnote>
  <w:endnote w:id="1">
    <w:p>
      <w:pPr>
        <w:pStyle w:val="Footnote"/>
      </w:pPr>
      <w:r>
        <w:rPr>
          <w:rFonts w:ascii="Times New Roman" w:cs="Times New Roman" w:hAnsi="Times New Roman" w:eastAsia="Times New Roman"/>
          <w:sz w:val="24"/>
          <w:szCs w:val="24"/>
          <w:u w:color="000000"/>
          <w:vertAlign w:val="superscript"/>
          <w:rtl w:val="0"/>
        </w:rPr>
        <w:endnoteRef/>
      </w:r>
      <w:r>
        <w:rPr>
          <w:rFonts w:ascii="Times New Roman"/>
          <w:sz w:val="22"/>
          <w:szCs w:val="22"/>
          <w:rtl w:val="0"/>
        </w:rPr>
        <w:t xml:space="preserve"> </w:t>
      </w:r>
      <w:r>
        <w:rPr>
          <w:rFonts w:ascii="Times New Roman"/>
          <w:sz w:val="20"/>
          <w:szCs w:val="20"/>
          <w:rtl w:val="0"/>
          <w:lang w:val="en-US"/>
        </w:rPr>
        <w:t>World Bank. The World Development Report 2010</w:t>
      </w:r>
      <w:r>
        <w:rPr>
          <w:rFonts w:ascii="Times New Roman"/>
          <w:sz w:val="20"/>
          <w:szCs w:val="20"/>
          <w:rtl w:val="0"/>
        </w:rPr>
        <w:t xml:space="preserve">: </w:t>
      </w:r>
      <w:r>
        <w:rPr>
          <w:rFonts w:ascii="Times New Roman"/>
          <w:sz w:val="20"/>
          <w:szCs w:val="20"/>
          <w:rtl w:val="0"/>
          <w:lang w:val="en-US"/>
        </w:rPr>
        <w:t>Physician Data Catalog.</w:t>
      </w:r>
      <w:r>
        <w:rPr>
          <w:rFonts w:ascii="Times New Roman"/>
          <w:sz w:val="16"/>
          <w:szCs w:val="16"/>
          <w:rtl w:val="0"/>
        </w:rPr>
        <w:t xml:space="preserve"> </w:t>
      </w:r>
      <w:hyperlink r:id="rId1" w:history="1">
        <w:r>
          <w:rPr>
            <w:rStyle w:val="Hyperlink.0"/>
            <w:rFonts w:ascii="Times New Roman"/>
            <w:sz w:val="20"/>
            <w:szCs w:val="20"/>
            <w:u w:val="single"/>
            <w:rtl w:val="0"/>
            <w:lang w:val="en-US"/>
          </w:rPr>
          <w:t>http://data.worldbank.org/indicator/SH.MED.PHYS.ZS/countries/4E-XJ-XL?display=graph</w:t>
        </w:r>
      </w:hyperlink>
      <w:r>
        <w:rPr>
          <w:rFonts w:ascii="Times New Roman"/>
          <w:sz w:val="22"/>
          <w:szCs w:val="22"/>
          <w:rtl w:val="0"/>
          <w:lang w:val="en-US"/>
        </w:rPr>
        <w:t>.</w:t>
      </w:r>
    </w:p>
  </w:endnote>
  <w:endnote w:id="2">
    <w:p>
      <w:pPr>
        <w:pStyle w:val="Footnote"/>
      </w:pPr>
      <w:r>
        <w:rPr>
          <w:rFonts w:ascii="Times New Roman" w:cs="Times New Roman" w:hAnsi="Times New Roman" w:eastAsia="Times New Roman"/>
          <w:sz w:val="24"/>
          <w:szCs w:val="24"/>
          <w:u w:color="000000"/>
          <w:vertAlign w:val="superscript"/>
          <w:rtl w:val="0"/>
        </w:rPr>
        <w:endnoteRef/>
      </w:r>
      <w:r>
        <w:rPr>
          <w:rFonts w:ascii="Times New Roman"/>
          <w:sz w:val="20"/>
          <w:szCs w:val="20"/>
          <w:rtl w:val="0"/>
          <w:lang w:val="en-US"/>
        </w:rPr>
        <w:t xml:space="preserve"> Perry, L., &amp; Malkin, R. (2011). Effectiveness of medical equipment donations to improve health systems: How much medical equipment is broken in the developing world? </w:t>
      </w:r>
      <w:r>
        <w:rPr>
          <w:rFonts w:ascii="Times New Roman"/>
          <w:i w:val="1"/>
          <w:iCs w:val="1"/>
          <w:sz w:val="20"/>
          <w:szCs w:val="20"/>
          <w:rtl w:val="0"/>
          <w:lang w:val="en-US"/>
        </w:rPr>
        <w:t>Medical &amp; Biological Engineering &amp; Computing,</w:t>
      </w:r>
      <w:r>
        <w:rPr>
          <w:rFonts w:ascii="Times New Roman"/>
          <w:sz w:val="20"/>
          <w:szCs w:val="20"/>
          <w:rtl w:val="0"/>
        </w:rPr>
        <w:t xml:space="preserve"> 719-722.</w:t>
      </w:r>
    </w:p>
  </w:endnote>
  <w:endnote w:id="3">
    <w:p>
      <w:pPr>
        <w:pStyle w:val="Footnote"/>
      </w:pPr>
      <w:r>
        <w:rPr>
          <w:rFonts w:ascii="Times New Roman" w:cs="Times New Roman" w:hAnsi="Times New Roman" w:eastAsia="Times New Roman"/>
          <w:sz w:val="24"/>
          <w:szCs w:val="24"/>
          <w:u w:color="000000"/>
          <w:vertAlign w:val="superscript"/>
          <w:rtl w:val="0"/>
        </w:rPr>
        <w:endnoteRef/>
      </w:r>
      <w:r>
        <w:rPr>
          <w:rFonts w:ascii="Times New Roman"/>
          <w:sz w:val="22"/>
          <w:szCs w:val="22"/>
          <w:rtl w:val="0"/>
        </w:rPr>
        <w:t xml:space="preserve"> </w:t>
      </w:r>
      <w:r>
        <w:rPr>
          <w:rFonts w:ascii="Times New Roman"/>
          <w:sz w:val="20"/>
          <w:szCs w:val="20"/>
          <w:rtl w:val="0"/>
          <w:lang w:val="en-US"/>
        </w:rPr>
        <w:t xml:space="preserve">World Health Organization. (2003). The World Health Report. </w:t>
      </w:r>
      <w:hyperlink r:id="rId2" w:history="1">
        <w:r>
          <w:rPr>
            <w:rStyle w:val="Hyperlink.0"/>
            <w:rFonts w:ascii="Times New Roman"/>
            <w:sz w:val="20"/>
            <w:szCs w:val="20"/>
            <w:u w:val="single"/>
            <w:rtl w:val="0"/>
            <w:lang w:val="en-US"/>
          </w:rPr>
          <w:t>http://www.who.int/whr/2003/chapter1/en/index1.html</w:t>
        </w:r>
      </w:hyperlink>
      <w:r>
        <w:rPr>
          <w:rFonts w:ascii="Times New Roman"/>
          <w:sz w:val="22"/>
          <w:szCs w:val="22"/>
          <w:rtl w:val="0"/>
          <w:lang w:val="en-US"/>
        </w:rPr>
        <w:t>.</w:t>
      </w:r>
    </w:p>
  </w:endnote>
  <w:endnote w:id="4">
    <w:p>
      <w:pPr>
        <w:pStyle w:val="Footnote"/>
      </w:pPr>
      <w:r>
        <w:rPr>
          <w:rFonts w:ascii="Times New Roman" w:cs="Times New Roman" w:hAnsi="Times New Roman" w:eastAsia="Times New Roman"/>
          <w:sz w:val="24"/>
          <w:szCs w:val="24"/>
          <w:u w:color="000000"/>
          <w:vertAlign w:val="superscript"/>
          <w:rtl w:val="0"/>
        </w:rPr>
        <w:endnoteRef/>
      </w:r>
      <w:r>
        <w:rPr>
          <w:rFonts w:ascii="Times New Roman"/>
          <w:sz w:val="20"/>
          <w:szCs w:val="20"/>
          <w:rtl w:val="0"/>
        </w:rPr>
        <w:t xml:space="preserve"> </w:t>
      </w:r>
      <w:r>
        <w:rPr>
          <w:rFonts w:ascii="Times New Roman"/>
          <w:sz w:val="20"/>
          <w:szCs w:val="20"/>
          <w:rtl w:val="0"/>
          <w:lang w:val="en-US"/>
        </w:rPr>
        <w:t>World Health Organization. (2010). Medical devices: managing the mismatch.</w:t>
      </w:r>
    </w:p>
  </w:endnote>
  <w:endnote w:id="5">
    <w:p>
      <w:pPr>
        <w:pStyle w:val="Footnote"/>
      </w:pPr>
      <w:r>
        <w:rPr>
          <w:rFonts w:ascii="Times New Roman" w:cs="Times New Roman" w:hAnsi="Times New Roman" w:eastAsia="Times New Roman"/>
          <w:sz w:val="24"/>
          <w:szCs w:val="24"/>
          <w:u w:color="000000"/>
          <w:vertAlign w:val="superscript"/>
          <w:rtl w:val="0"/>
        </w:rPr>
        <w:endnoteRef/>
      </w:r>
      <w:r>
        <w:rPr>
          <w:rFonts w:ascii="Times New Roman"/>
          <w:sz w:val="20"/>
          <w:szCs w:val="20"/>
          <w:rtl w:val="0"/>
          <w:lang w:val="en-US"/>
        </w:rPr>
        <w:t xml:space="preserve"> World Health Organization. (2010). Global forum to improve developing country access to medical devices. </w:t>
      </w:r>
      <w:hyperlink r:id="rId3" w:history="1">
        <w:r>
          <w:rPr>
            <w:rStyle w:val="Hyperlink.0"/>
            <w:rFonts w:ascii="Times New Roman"/>
            <w:sz w:val="20"/>
            <w:szCs w:val="20"/>
            <w:u w:val="single"/>
            <w:rtl w:val="0"/>
            <w:lang w:val="en-US"/>
          </w:rPr>
          <w:t>http://www.who.int/mediacentre/news/notes/2010/medical_devices_20100908/en/</w:t>
        </w:r>
      </w:hyperlink>
      <w:r>
        <w:rPr>
          <w:rFonts w:ascii="Times New Roman"/>
          <w:sz w:val="20"/>
          <w:szCs w:val="20"/>
          <w:rtl w:val="0"/>
          <w:lang w:val="en-US"/>
        </w:rPr>
        <w:t>.</w:t>
      </w:r>
    </w:p>
  </w:endnote>
  <w:endnote w:id="6">
    <w:p>
      <w:pPr>
        <w:pStyle w:val="Footnote"/>
      </w:pPr>
      <w:r>
        <w:rPr>
          <w:rFonts w:ascii="Times New Roman" w:cs="Times New Roman" w:hAnsi="Times New Roman" w:eastAsia="Times New Roman"/>
          <w:sz w:val="24"/>
          <w:szCs w:val="24"/>
          <w:u w:color="000000"/>
          <w:vertAlign w:val="superscript"/>
          <w:rtl w:val="0"/>
        </w:rPr>
        <w:endnoteRef/>
      </w:r>
      <w:r>
        <w:rPr>
          <w:rFonts w:ascii="Times New Roman"/>
          <w:sz w:val="20"/>
          <w:szCs w:val="20"/>
          <w:rtl w:val="0"/>
          <w:lang w:val="en-US"/>
        </w:rPr>
        <w:t xml:space="preserve"> Creamer, G., Dahl, A., Perumal, D., Tan, G., &amp; Koea, J. (2010). Anatomy of the ward round: The time spent in different activities. </w:t>
      </w:r>
      <w:r>
        <w:rPr>
          <w:rFonts w:ascii="Times New Roman"/>
          <w:i w:val="1"/>
          <w:iCs w:val="1"/>
          <w:sz w:val="20"/>
          <w:szCs w:val="20"/>
          <w:rtl w:val="0"/>
          <w:lang w:val="en-US"/>
        </w:rPr>
        <w:t>ANZ Journal of Surgery,</w:t>
      </w:r>
      <w:r>
        <w:rPr>
          <w:rFonts w:ascii="Times New Roman"/>
          <w:sz w:val="20"/>
          <w:szCs w:val="20"/>
          <w:rtl w:val="0"/>
        </w:rPr>
        <w:t xml:space="preserve"> 930-932.</w:t>
      </w:r>
    </w:p>
  </w:endnote>
  <w:endnote w:id="7">
    <w:p>
      <w:pPr>
        <w:pStyle w:val="Footnote"/>
      </w:pPr>
      <w:r>
        <w:rPr>
          <w:vertAlign w:val="superscript"/>
        </w:rPr>
        <w:endnoteRef/>
      </w:r>
      <w:r>
        <w:rPr>
          <w:rFonts w:ascii="Times New Roman"/>
          <w:sz w:val="20"/>
          <w:szCs w:val="20"/>
          <w:rtl w:val="0"/>
          <w:lang w:val="en-US"/>
        </w:rPr>
        <w:t>The World Bank. (2011). Maximizing Mobile 2012 Infographic.</w:t>
      </w:r>
      <w:r>
        <w:rPr>
          <w:rFonts w:ascii="Times New Roman"/>
          <w:sz w:val="18"/>
          <w:szCs w:val="18"/>
          <w:rtl w:val="0"/>
          <w:lang w:val="en-US"/>
        </w:rPr>
        <w:t xml:space="preserve"> </w:t>
      </w:r>
      <w:hyperlink r:id="rId4" w:history="1">
        <w:r>
          <w:rPr>
            <w:rStyle w:val="Hyperlink.1"/>
            <w:rFonts w:ascii="Times New Roman"/>
            <w:sz w:val="20"/>
            <w:szCs w:val="20"/>
            <w:rtl w:val="0"/>
            <w:lang w:val="en-US"/>
          </w:rPr>
          <w:t>http://siteresources.worldbank.org/EXTINFORMATIONANDCOMMUNICATIONANDTECHNOLOGIES/Resources/IC4D_Infographic-1.png</w:t>
        </w:r>
      </w:hyperlink>
    </w:p>
  </w:endnote>
  <w:endnote w:id="8">
    <w:p>
      <w:pPr>
        <w:pStyle w:val="Footnote"/>
      </w:pPr>
      <w:r>
        <w:rPr>
          <w:rFonts w:ascii="Times New Roman" w:cs="Times New Roman" w:hAnsi="Times New Roman" w:eastAsia="Times New Roman"/>
          <w:sz w:val="20"/>
          <w:szCs w:val="20"/>
          <w:vertAlign w:val="superscript"/>
        </w:rPr>
        <w:endnoteRef/>
      </w:r>
      <w:r>
        <w:rPr>
          <w:rFonts w:ascii="Times New Roman"/>
          <w:sz w:val="20"/>
          <w:szCs w:val="20"/>
          <w:rtl w:val="0"/>
          <w:lang w:val="en-US"/>
        </w:rPr>
        <w:t xml:space="preserve"> Jones, Andrew. "Medical Equipment Donated to Developing Nations Usually Ends Up on the Junk Heap." Scientific American Global. Scientific American, 6 May 2013. Web.</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endnotePr>
    <w:numFmt w:val="lowerRoman"/>
    <w:numRestart w:val="continuous"/>
    <w:endnote w:id="-1"/>
    <w:endnote w:id="0"/>
    <w:endnote w:id="-2"/>
  </w:end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note">
    <w:name w:val="Footnote"/>
    <w:next w:val="Footnote"/>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None">
    <w:name w:val="None"/>
  </w:style>
  <w:style w:type="character" w:styleId="Hyperlink.0">
    <w:name w:val="Hyperlink.0"/>
    <w:basedOn w:val="None"/>
    <w:next w:val="Hyperlink.0"/>
    <w:rPr>
      <w:sz w:val="20"/>
      <w:szCs w:val="20"/>
      <w:u w:val="single"/>
      <w:lang w:val="en-US"/>
    </w:rPr>
  </w:style>
  <w:style w:type="character" w:styleId="Link">
    <w:name w:val="Link"/>
    <w:rPr>
      <w:u w:val="single"/>
    </w:rPr>
  </w:style>
  <w:style w:type="character" w:styleId="Hyperlink.1">
    <w:name w:val="Hyperlink.1"/>
    <w:basedOn w:val="Link"/>
    <w:next w:val="Hyperlink.1"/>
    <w:rPr>
      <w:sz w:val="20"/>
      <w:szCs w:val="20"/>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endnotes" Target="endnotes.xml"/><Relationship Id="rId9" Type="http://schemas.openxmlformats.org/officeDocument/2006/relationships/theme" Target="theme/theme1.xml"/></Relationships>

</file>

<file path=word/_rels/endnotes.xml.rels><?xml version="1.0" encoding="UTF-8" standalone="yes"?><Relationships xmlns="http://schemas.openxmlformats.org/package/2006/relationships"><Relationship Id="rId1" Type="http://schemas.openxmlformats.org/officeDocument/2006/relationships/hyperlink" Target="http://data.worldbank.org/indicator/SH.MED.PHYS.ZS/countries/4E-XJ-XL?display=graph" TargetMode="External"/><Relationship Id="rId2" Type="http://schemas.openxmlformats.org/officeDocument/2006/relationships/hyperlink" Target="http://www.who.int/whr/2003/chapter1/en/index1.html" TargetMode="External"/><Relationship Id="rId3" Type="http://schemas.openxmlformats.org/officeDocument/2006/relationships/hyperlink" Target="http://www.who.int/mediacentre/news/notes/2010/medical_devices_20100908/en/" TargetMode="External"/><Relationship Id="rId4" Type="http://schemas.openxmlformats.org/officeDocument/2006/relationships/hyperlink" Target="http://siteresources.worldbank.org/EXTINFORMATIONANDCOMMUNICATIONANDTECHNOLOGIES/Resources/IC4D_Infographic-1.png" TargetMode="Externa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