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E22FE">
      <w:pPr>
        <w:pStyle w:val="4"/>
        <w:spacing w:before="97" w:line="360" w:lineRule="auto"/>
        <w:jc w:val="center"/>
        <w:rPr>
          <w:rFonts w:ascii="Arial"/>
          <w:sz w:val="21"/>
        </w:rPr>
      </w:pPr>
      <w:r>
        <w:rPr>
          <w:b/>
          <w:bCs/>
          <w:color w:val="1F2933"/>
          <w:sz w:val="44"/>
          <w:szCs w:val="44"/>
        </w:rPr>
        <w:t>BioTIP</w:t>
      </w:r>
      <w:r>
        <w:rPr>
          <w:b/>
          <w:bCs/>
          <w:color w:val="1F2933"/>
          <w:spacing w:val="12"/>
          <w:sz w:val="44"/>
          <w:szCs w:val="44"/>
        </w:rPr>
        <w:t xml:space="preserve"> </w:t>
      </w:r>
      <w:r>
        <w:rPr>
          <w:b/>
          <w:bCs/>
          <w:color w:val="1F2933"/>
          <w:sz w:val="44"/>
          <w:szCs w:val="44"/>
        </w:rPr>
        <w:t>analysis</w:t>
      </w:r>
      <w:r>
        <w:rPr>
          <w:b/>
          <w:bCs/>
          <w:color w:val="1F2933"/>
          <w:spacing w:val="12"/>
          <w:sz w:val="44"/>
          <w:szCs w:val="44"/>
        </w:rPr>
        <w:t xml:space="preserve"> </w:t>
      </w:r>
      <w:r>
        <w:rPr>
          <w:b/>
          <w:bCs/>
          <w:color w:val="1F2933"/>
          <w:sz w:val="44"/>
          <w:szCs w:val="44"/>
        </w:rPr>
        <w:t>of</w:t>
      </w:r>
      <w:r>
        <w:rPr>
          <w:b/>
          <w:bCs/>
          <w:color w:val="1F2933"/>
          <w:spacing w:val="12"/>
          <w:sz w:val="44"/>
          <w:szCs w:val="44"/>
        </w:rPr>
        <w:t xml:space="preserve"> </w:t>
      </w:r>
      <w:r>
        <w:rPr>
          <w:b/>
          <w:bCs/>
          <w:color w:val="1F2933"/>
          <w:sz w:val="44"/>
          <w:szCs w:val="44"/>
        </w:rPr>
        <w:t>alveolar</w:t>
      </w:r>
      <w:r>
        <w:rPr>
          <w:b/>
          <w:bCs/>
          <w:color w:val="1F2933"/>
          <w:spacing w:val="12"/>
          <w:sz w:val="44"/>
          <w:szCs w:val="44"/>
        </w:rPr>
        <w:t xml:space="preserve"> </w:t>
      </w:r>
      <w:r>
        <w:rPr>
          <w:b/>
          <w:bCs/>
          <w:color w:val="1F2933"/>
          <w:sz w:val="44"/>
          <w:szCs w:val="44"/>
        </w:rPr>
        <w:t>epithelial</w:t>
      </w:r>
      <w:r>
        <w:rPr>
          <w:b/>
          <w:bCs/>
          <w:color w:val="1F2933"/>
          <w:spacing w:val="12"/>
          <w:sz w:val="44"/>
          <w:szCs w:val="44"/>
        </w:rPr>
        <w:t xml:space="preserve"> </w:t>
      </w:r>
      <w:r>
        <w:rPr>
          <w:b/>
          <w:bCs/>
          <w:color w:val="1F2933"/>
          <w:sz w:val="44"/>
          <w:szCs w:val="44"/>
        </w:rPr>
        <w:t>state</w:t>
      </w:r>
      <w:r>
        <w:rPr>
          <w:b/>
          <w:bCs/>
          <w:color w:val="1F2933"/>
          <w:spacing w:val="12"/>
          <w:sz w:val="44"/>
          <w:szCs w:val="44"/>
        </w:rPr>
        <w:t xml:space="preserve"> </w:t>
      </w:r>
      <w:r>
        <w:rPr>
          <w:b/>
          <w:bCs/>
          <w:color w:val="1F2933"/>
          <w:sz w:val="44"/>
          <w:szCs w:val="44"/>
        </w:rPr>
        <w:t>changes</w:t>
      </w:r>
      <w:r>
        <w:rPr>
          <w:b/>
          <w:bCs/>
          <w:color w:val="1F2933"/>
          <w:spacing w:val="20"/>
          <w:sz w:val="44"/>
          <w:szCs w:val="44"/>
        </w:rPr>
        <w:t xml:space="preserve"> </w:t>
      </w:r>
      <w:r>
        <w:rPr>
          <w:b/>
          <w:bCs/>
          <w:color w:val="1F2933"/>
          <w:sz w:val="44"/>
          <w:szCs w:val="44"/>
        </w:rPr>
        <w:t>after</w:t>
      </w:r>
      <w:r>
        <w:rPr>
          <w:b/>
          <w:bCs/>
          <w:color w:val="1F2933"/>
          <w:spacing w:val="12"/>
          <w:sz w:val="44"/>
          <w:szCs w:val="44"/>
        </w:rPr>
        <w:t xml:space="preserve"> </w:t>
      </w:r>
      <w:r>
        <w:rPr>
          <w:b/>
          <w:bCs/>
          <w:color w:val="1F2933"/>
          <w:sz w:val="44"/>
          <w:szCs w:val="44"/>
        </w:rPr>
        <w:t>lung</w:t>
      </w:r>
      <w:r>
        <w:rPr>
          <w:rFonts w:hint="eastAsia" w:eastAsia="宋体"/>
          <w:b/>
          <w:bCs/>
          <w:color w:val="1F2933"/>
          <w:sz w:val="44"/>
          <w:szCs w:val="44"/>
          <w:lang w:val="en-US" w:eastAsia="zh-CN"/>
        </w:rPr>
        <w:t xml:space="preserve"> </w:t>
      </w:r>
      <w:r>
        <w:rPr>
          <w:b/>
          <w:bCs/>
          <w:color w:val="1F2933"/>
          <w:sz w:val="44"/>
          <w:szCs w:val="44"/>
        </w:rPr>
        <w:t>injury</w:t>
      </w:r>
    </w:p>
    <w:p w14:paraId="6190A1C5">
      <w:pPr>
        <w:spacing w:before="67" w:line="360" w:lineRule="auto"/>
        <w:ind w:left="25"/>
        <w:outlineLvl w:val="0"/>
        <w:rPr>
          <w:rFonts w:hint="eastAsia" w:ascii="Arial Bold" w:hAnsi="Arial Bold" w:eastAsia="宋体" w:cs="Arial Bold"/>
          <w:b/>
          <w:bCs/>
          <w:color w:val="1F2933"/>
          <w:sz w:val="28"/>
          <w:szCs w:val="28"/>
          <w:lang w:val="en-US" w:eastAsia="zh-CN"/>
        </w:rPr>
      </w:pPr>
      <w:r>
        <w:rPr>
          <w:rFonts w:hint="eastAsia" w:ascii="Arial Bold" w:hAnsi="Arial Bold" w:eastAsia="宋体" w:cs="Arial Bold"/>
          <w:b/>
          <w:bCs/>
          <w:color w:val="1F2933"/>
          <w:sz w:val="28"/>
          <w:szCs w:val="28"/>
          <w:lang w:val="en-US" w:eastAsia="zh-CN"/>
        </w:rPr>
        <w:t>Abstract</w:t>
      </w:r>
    </w:p>
    <w:p w14:paraId="0D8E336A">
      <w:pPr>
        <w:pStyle w:val="4"/>
        <w:spacing w:before="55" w:line="360" w:lineRule="auto"/>
        <w:ind w:left="546" w:leftChars="0" w:right="550" w:firstLine="7"/>
        <w:jc w:val="both"/>
        <w:rPr>
          <w:color w:val="1F2933"/>
          <w:spacing w:val="4"/>
        </w:rPr>
      </w:pPr>
      <w:r>
        <w:rPr>
          <w:color w:val="1F2933"/>
          <w:spacing w:val="4"/>
        </w:rPr>
        <w:t>Alveolar type 2 (AT2) cells help restore the distal lung epithelium after injury, but repair can pass through unstable intermediate states. I analysed pre-processed lung fibrosis scRNA-seq (GSE141259) with BioTIP, defining state either by sampling time point or by annotated alveolar cell type. After retaining AT2-lineage cells (10,381 cells), time-point analysis identified significant critical-transition signal (CTS) candidates at days 5, 8 and 9. Cell-type analysis highlighted Krt8+ ADI and Mki67+ proliferating states (permutation p ≤ 0.04), in addition to an AT1-associated module. These results support a repair trajectory that is not a simple linear AT2-to-AT1 conversion, but involves transitional and proliferative epithelial programmes. The two state definitions were complementary: time points captured when the tissue response was most unstable, whereas cell types highlighted which transcriptional programmes showed criticality.</w:t>
      </w:r>
    </w:p>
    <w:p w14:paraId="23C9D72B">
      <w:pPr>
        <w:pStyle w:val="4"/>
        <w:spacing w:before="55" w:line="360" w:lineRule="auto"/>
        <w:ind w:left="546" w:leftChars="0" w:right="550" w:firstLine="7"/>
        <w:jc w:val="both"/>
        <w:rPr>
          <w:rFonts w:hint="eastAsia"/>
          <w:color w:val="1F2933"/>
          <w:spacing w:val="4"/>
          <w:lang w:val="en-US" w:eastAsia="zh-CN"/>
        </w:rPr>
      </w:pPr>
    </w:p>
    <w:p w14:paraId="5DABB2BB">
      <w:pPr>
        <w:spacing w:before="67" w:line="360" w:lineRule="auto"/>
        <w:ind w:left="25"/>
        <w:outlineLvl w:val="0"/>
        <w:rPr>
          <w:rFonts w:hint="default" w:ascii="Arial Bold" w:hAnsi="Arial Bold" w:eastAsia="Arial" w:cs="Arial Bold"/>
          <w:b/>
          <w:bCs/>
          <w:color w:val="1F2933"/>
          <w:sz w:val="28"/>
          <w:szCs w:val="28"/>
        </w:rPr>
      </w:pPr>
      <w:r>
        <w:rPr>
          <w:rFonts w:hint="eastAsia" w:ascii="Arial Bold" w:hAnsi="Arial Bold" w:eastAsia="宋体" w:cs="Arial Bold"/>
          <w:b/>
          <w:bCs/>
          <w:color w:val="1F2933"/>
          <w:sz w:val="28"/>
          <w:szCs w:val="28"/>
          <w:lang w:val="en-US" w:eastAsia="zh-CN"/>
        </w:rPr>
        <w:t xml:space="preserve">1 </w:t>
      </w:r>
      <w:r>
        <w:rPr>
          <w:rFonts w:hint="default" w:ascii="Arial Bold" w:hAnsi="Arial Bold" w:eastAsia="Arial" w:cs="Arial Bold"/>
          <w:b/>
          <w:bCs/>
          <w:color w:val="1F2933"/>
          <w:sz w:val="28"/>
          <w:szCs w:val="28"/>
        </w:rPr>
        <w:t>Introduction</w:t>
      </w:r>
    </w:p>
    <w:p w14:paraId="21807704">
      <w:pPr>
        <w:spacing w:line="360" w:lineRule="auto"/>
        <w:rPr>
          <w:rFonts w:hint="default" w:ascii="Arial Bold" w:hAnsi="Arial Bold" w:cs="Arial Bold"/>
          <w:b/>
          <w:bCs/>
          <w:sz w:val="24"/>
          <w:szCs w:val="24"/>
        </w:rPr>
      </w:pPr>
      <w:r>
        <w:rPr>
          <w:rFonts w:hint="default" w:ascii="Arial Bold" w:hAnsi="Arial Bold" w:cs="Arial Bold"/>
          <w:b/>
          <w:bCs/>
          <w:sz w:val="24"/>
          <w:szCs w:val="24"/>
        </w:rPr>
        <w:t>1.1 Scientific question and hypothesis</w:t>
      </w:r>
    </w:p>
    <w:p w14:paraId="1656B5EE">
      <w:pPr>
        <w:pStyle w:val="4"/>
        <w:spacing w:before="61" w:line="360" w:lineRule="auto"/>
        <w:ind w:firstLine="5"/>
        <w:jc w:val="both"/>
        <w:rPr>
          <w:color w:val="1F2933"/>
          <w:spacing w:val="3"/>
          <w:sz w:val="21"/>
          <w:szCs w:val="21"/>
        </w:rPr>
      </w:pPr>
      <w:r>
        <w:rPr>
          <w:color w:val="1F2933"/>
          <w:spacing w:val="3"/>
          <w:sz w:val="21"/>
          <w:szCs w:val="21"/>
        </w:rPr>
        <w:t>The distal lung epithelium relies on AT2 cells both for surfactant production and for epithelial repair. After injury, AT2 cells can proliferate and generate AT1 cells, which form the thin gas-exchange surface. In fibrotic injury, however, regeneration is accompanied by persistent transitional epithelial states rather than a simple restoration of the original tissue architecture. Strunz and colleagues described an alveolar regeneration programme in which AT2 cells pass through activated and Krt8+ intermediate states before acquiring AT1-like features; failure to resolve this programme is closely linked to aberrant repair and fibrosis (Strunz et al., 2020). This makes the dataset a useful test case for methods that search for unstable transition points in high-dimensional expression data.</w:t>
      </w:r>
    </w:p>
    <w:p w14:paraId="1DCA3F2D">
      <w:pPr>
        <w:pStyle w:val="4"/>
        <w:spacing w:before="61" w:line="360" w:lineRule="auto"/>
        <w:jc w:val="both"/>
        <w:rPr>
          <w:color w:val="1F2933"/>
          <w:spacing w:val="3"/>
          <w:sz w:val="24"/>
          <w:szCs w:val="24"/>
        </w:rPr>
      </w:pPr>
    </w:p>
    <w:p w14:paraId="77995735">
      <w:pPr>
        <w:pStyle w:val="4"/>
        <w:spacing w:before="61" w:line="360" w:lineRule="auto"/>
        <w:ind w:firstLine="5"/>
        <w:jc w:val="both"/>
        <w:rPr>
          <w:rFonts w:hint="default" w:ascii="Arial Bold" w:hAnsi="Arial Bold" w:eastAsia="宋体" w:cs="Arial Bold"/>
          <w:b/>
          <w:bCs/>
          <w:color w:val="1F2933"/>
          <w:spacing w:val="3"/>
          <w:sz w:val="24"/>
          <w:szCs w:val="24"/>
          <w:lang w:val="en-US" w:eastAsia="zh-CN"/>
        </w:rPr>
      </w:pPr>
      <w:r>
        <w:rPr>
          <w:rFonts w:hint="default" w:ascii="Arial Bold" w:hAnsi="Arial Bold" w:cs="Arial Bold"/>
          <w:b/>
          <w:bCs/>
          <w:sz w:val="24"/>
          <w:szCs w:val="24"/>
        </w:rPr>
        <w:t>1.2 BioTIP and analysis aim</w:t>
      </w:r>
      <w:r>
        <w:rPr>
          <w:rFonts w:hint="default" w:ascii="Arial Bold" w:hAnsi="Arial Bold" w:eastAsia="宋体" w:cs="Arial Bold"/>
          <w:b/>
          <w:bCs/>
          <w:sz w:val="24"/>
          <w:szCs w:val="24"/>
          <w:lang w:val="en-US" w:eastAsia="zh-CN"/>
        </w:rPr>
        <w:t>s</w:t>
      </w:r>
    </w:p>
    <w:p w14:paraId="15131CC7">
      <w:pPr>
        <w:pStyle w:val="4"/>
        <w:spacing w:before="73" w:line="360" w:lineRule="auto"/>
        <w:ind w:right="1"/>
        <w:jc w:val="both"/>
        <w:rPr>
          <w:color w:val="1F2933"/>
          <w:spacing w:val="3"/>
          <w:sz w:val="21"/>
          <w:szCs w:val="21"/>
        </w:rPr>
      </w:pPr>
      <w:r>
        <w:rPr>
          <w:color w:val="1F2933"/>
          <w:spacing w:val="3"/>
          <w:sz w:val="21"/>
          <w:szCs w:val="21"/>
        </w:rPr>
        <w:t>BioTIP was designed to detect critical transition signals (CTSs) from transcriptomic data by combining transcript fluctuation, co-expression network structure and an index of criticality (Ic) (Yang et al., 2022). This analysis had three aims: first, to demonstrate BioTIP on the published mouse gastrulation case study (GSE87038); second, to apply BioTIP to injury-associated alveolar epithelial cells from GSE141259; and third, to compare whether defining state by time point or by annotated cell type leads to the same biological interpretation.</w:t>
      </w:r>
    </w:p>
    <w:p w14:paraId="51AD8F4E">
      <w:pPr>
        <w:pStyle w:val="4"/>
        <w:spacing w:before="73" w:line="360" w:lineRule="auto"/>
        <w:ind w:right="1"/>
        <w:jc w:val="both"/>
        <w:rPr>
          <w:color w:val="1F2933"/>
          <w:spacing w:val="3"/>
          <w:sz w:val="21"/>
          <w:szCs w:val="21"/>
        </w:rPr>
      </w:pPr>
    </w:p>
    <w:p w14:paraId="33B81A3A">
      <w:pPr>
        <w:spacing w:before="66" w:line="360" w:lineRule="auto"/>
        <w:outlineLvl w:val="0"/>
        <w:rPr>
          <w:rFonts w:ascii="Arial" w:hAnsi="Arial" w:eastAsia="Arial" w:cs="Arial"/>
          <w:b/>
          <w:bCs/>
          <w:color w:val="1F2933"/>
          <w:sz w:val="28"/>
          <w:szCs w:val="28"/>
        </w:rPr>
      </w:pPr>
      <w:r>
        <w:rPr>
          <w:rFonts w:ascii="Arial" w:hAnsi="Arial" w:eastAsia="Arial" w:cs="Arial"/>
          <w:b/>
          <w:bCs/>
          <w:color w:val="1F2933"/>
          <w:spacing w:val="19"/>
          <w:sz w:val="28"/>
          <w:szCs w:val="28"/>
        </w:rPr>
        <w:t>2</w:t>
      </w:r>
      <w:r>
        <w:rPr>
          <w:rFonts w:hint="eastAsia" w:eastAsia="宋体" w:cs="Arial"/>
          <w:b/>
          <w:bCs/>
          <w:color w:val="1F2933"/>
          <w:spacing w:val="19"/>
          <w:sz w:val="28"/>
          <w:szCs w:val="28"/>
          <w:lang w:val="en-US" w:eastAsia="zh-CN"/>
        </w:rPr>
        <w:t xml:space="preserve"> </w:t>
      </w:r>
      <w:r>
        <w:rPr>
          <w:rFonts w:ascii="Arial" w:hAnsi="Arial" w:eastAsia="Arial" w:cs="Arial"/>
          <w:b/>
          <w:bCs/>
          <w:color w:val="1F2933"/>
          <w:sz w:val="28"/>
          <w:szCs w:val="28"/>
        </w:rPr>
        <w:t>Methods</w:t>
      </w:r>
    </w:p>
    <w:p w14:paraId="548B8AD8">
      <w:pPr>
        <w:spacing w:before="66" w:line="360" w:lineRule="auto"/>
        <w:outlineLvl w:val="0"/>
        <w:rPr>
          <w:rFonts w:ascii="Arial" w:hAnsi="Arial" w:eastAsia="Arial" w:cs="Arial"/>
          <w:b/>
          <w:bCs/>
          <w:color w:val="1F2933"/>
          <w:sz w:val="23"/>
          <w:szCs w:val="23"/>
        </w:rPr>
      </w:pPr>
    </w:p>
    <w:p w14:paraId="49E4F6F6">
      <w:pPr>
        <w:spacing w:line="360" w:lineRule="auto"/>
        <w:rPr>
          <w:rFonts w:hint="default" w:ascii="Arial Bold" w:hAnsi="Arial Bold" w:cs="Arial Bold"/>
          <w:b/>
          <w:bCs/>
          <w:sz w:val="24"/>
          <w:szCs w:val="24"/>
        </w:rPr>
      </w:pPr>
      <w:r>
        <w:rPr>
          <w:rFonts w:hint="default" w:ascii="Arial Bold" w:hAnsi="Arial Bold" w:cs="Arial Bold"/>
          <w:b/>
          <w:bCs/>
          <w:sz w:val="24"/>
          <w:szCs w:val="24"/>
        </w:rPr>
        <w:t>2.1 BioTIP successful case study (GSE87038)</w:t>
      </w:r>
    </w:p>
    <w:p w14:paraId="71D5550D">
      <w:pPr>
        <w:pStyle w:val="4"/>
        <w:spacing w:before="73" w:line="360" w:lineRule="auto"/>
        <w:ind w:right="1"/>
        <w:jc w:val="both"/>
        <w:rPr>
          <w:color w:val="1F2933"/>
          <w:spacing w:val="3"/>
          <w:sz w:val="21"/>
          <w:szCs w:val="21"/>
        </w:rPr>
      </w:pPr>
      <w:r>
        <w:rPr>
          <w:rFonts w:hint="eastAsia"/>
          <w:color w:val="1F2933"/>
          <w:spacing w:val="3"/>
          <w:sz w:val="21"/>
          <w:szCs w:val="21"/>
        </w:rPr>
        <w:t>The validation used GSE87038 E8.25 gastrulation data (MouseGastrulationData; Pijuan-Sala et al., 2019). After QC and walktrap clustering, BioTIP was run on the ten largest mesodermal clusters (1,200 genes; ≤35 cells per cluster) with optimize.sd_selection (cutoff 0.1, B = 2), getNetwork (FDR 0.2), getMCI and Ic.shrink. The top CTS module (cluster 8, 51 genes) gave p &lt; 0.01 in 50 gene-permutation tests (Figures 1–2).</w:t>
      </w:r>
    </w:p>
    <w:p w14:paraId="0C313A2D">
      <w:pPr>
        <w:pStyle w:val="4"/>
        <w:spacing w:before="73" w:line="360" w:lineRule="auto"/>
        <w:ind w:right="1"/>
        <w:jc w:val="both"/>
        <w:rPr>
          <w:rFonts w:hint="eastAsia"/>
          <w:color w:val="1F2933"/>
          <w:spacing w:val="3"/>
          <w:sz w:val="21"/>
          <w:szCs w:val="21"/>
          <w:lang w:val="en-US" w:eastAsia="zh-CN"/>
        </w:rPr>
      </w:pPr>
    </w:p>
    <w:p w14:paraId="6D0D7094">
      <w:pPr>
        <w:spacing w:before="60" w:line="360" w:lineRule="auto"/>
        <w:outlineLvl w:val="1"/>
        <w:rPr>
          <w:rFonts w:ascii="Arial" w:hAnsi="Arial" w:eastAsia="Arial" w:cs="Arial"/>
          <w:b/>
          <w:bCs/>
          <w:color w:val="1F2933"/>
          <w:sz w:val="24"/>
          <w:szCs w:val="24"/>
        </w:rPr>
      </w:pPr>
      <w:r>
        <w:rPr>
          <w:rFonts w:ascii="Arial" w:hAnsi="Arial" w:eastAsia="Arial" w:cs="Arial"/>
          <w:b/>
          <w:bCs/>
          <w:color w:val="1F2933"/>
          <w:spacing w:val="16"/>
          <w:sz w:val="24"/>
          <w:szCs w:val="24"/>
        </w:rPr>
        <w:t>2.</w:t>
      </w:r>
      <w:r>
        <w:rPr>
          <w:rFonts w:hint="eastAsia" w:eastAsia="宋体" w:cs="Arial"/>
          <w:b/>
          <w:bCs/>
          <w:color w:val="1F2933"/>
          <w:spacing w:val="16"/>
          <w:sz w:val="24"/>
          <w:szCs w:val="24"/>
          <w:lang w:val="en-US" w:eastAsia="zh-CN"/>
        </w:rPr>
        <w:t>2</w:t>
      </w:r>
      <w:r>
        <w:rPr>
          <w:rFonts w:ascii="Arial" w:hAnsi="Arial" w:eastAsia="Arial" w:cs="Arial"/>
          <w:b/>
          <w:bCs/>
          <w:color w:val="1F2933"/>
          <w:spacing w:val="16"/>
          <w:sz w:val="24"/>
          <w:szCs w:val="24"/>
        </w:rPr>
        <w:t xml:space="preserve"> </w:t>
      </w:r>
      <w:r>
        <w:rPr>
          <w:rFonts w:ascii="Arial" w:hAnsi="Arial" w:eastAsia="Arial" w:cs="Arial"/>
          <w:b/>
          <w:bCs/>
          <w:color w:val="1F2933"/>
          <w:sz w:val="24"/>
          <w:szCs w:val="24"/>
        </w:rPr>
        <w:t>Data</w:t>
      </w:r>
      <w:r>
        <w:rPr>
          <w:rFonts w:ascii="Arial" w:hAnsi="Arial" w:eastAsia="Arial" w:cs="Arial"/>
          <w:b/>
          <w:bCs/>
          <w:color w:val="1F2933"/>
          <w:spacing w:val="16"/>
          <w:sz w:val="24"/>
          <w:szCs w:val="24"/>
        </w:rPr>
        <w:t xml:space="preserve"> </w:t>
      </w:r>
      <w:r>
        <w:rPr>
          <w:rFonts w:ascii="Arial" w:hAnsi="Arial" w:eastAsia="Arial" w:cs="Arial"/>
          <w:b/>
          <w:bCs/>
          <w:color w:val="1F2933"/>
          <w:sz w:val="24"/>
          <w:szCs w:val="24"/>
        </w:rPr>
        <w:t>source</w:t>
      </w:r>
      <w:r>
        <w:rPr>
          <w:rFonts w:ascii="Arial" w:hAnsi="Arial" w:eastAsia="Arial" w:cs="Arial"/>
          <w:b/>
          <w:bCs/>
          <w:color w:val="1F2933"/>
          <w:spacing w:val="16"/>
          <w:sz w:val="24"/>
          <w:szCs w:val="24"/>
        </w:rPr>
        <w:t xml:space="preserve"> </w:t>
      </w:r>
      <w:r>
        <w:rPr>
          <w:rFonts w:ascii="Arial" w:hAnsi="Arial" w:eastAsia="Arial" w:cs="Arial"/>
          <w:b/>
          <w:bCs/>
          <w:color w:val="1F2933"/>
          <w:sz w:val="24"/>
          <w:szCs w:val="24"/>
        </w:rPr>
        <w:t>and</w:t>
      </w:r>
      <w:r>
        <w:rPr>
          <w:rFonts w:ascii="Arial" w:hAnsi="Arial" w:eastAsia="Arial" w:cs="Arial"/>
          <w:b/>
          <w:bCs/>
          <w:color w:val="1F2933"/>
          <w:spacing w:val="18"/>
          <w:sz w:val="24"/>
          <w:szCs w:val="24"/>
        </w:rPr>
        <w:t xml:space="preserve"> </w:t>
      </w:r>
      <w:r>
        <w:rPr>
          <w:rFonts w:ascii="Arial" w:hAnsi="Arial" w:eastAsia="Arial" w:cs="Arial"/>
          <w:b/>
          <w:bCs/>
          <w:color w:val="1F2933"/>
          <w:sz w:val="24"/>
          <w:szCs w:val="24"/>
        </w:rPr>
        <w:t>preprocessing</w:t>
      </w:r>
      <w:r>
        <w:rPr>
          <w:rFonts w:hint="eastAsia" w:eastAsia="宋体" w:cs="Arial"/>
          <w:b/>
          <w:bCs/>
          <w:color w:val="1F2933"/>
          <w:sz w:val="24"/>
          <w:szCs w:val="24"/>
          <w:lang w:val="en-US" w:eastAsia="zh-CN"/>
        </w:rPr>
        <w:t xml:space="preserve"> </w:t>
      </w:r>
      <w:r>
        <w:rPr>
          <w:rFonts w:ascii="Arial" w:hAnsi="Arial" w:eastAsia="Arial" w:cs="Arial"/>
          <w:b/>
          <w:bCs/>
          <w:color w:val="1F2933"/>
          <w:sz w:val="24"/>
          <w:szCs w:val="24"/>
        </w:rPr>
        <w:t>(GSE141259)</w:t>
      </w:r>
    </w:p>
    <w:p w14:paraId="45AAC953">
      <w:pPr>
        <w:pStyle w:val="4"/>
        <w:spacing w:before="73" w:line="360" w:lineRule="auto"/>
        <w:ind w:right="1"/>
        <w:jc w:val="both"/>
        <w:rPr>
          <w:rFonts w:hint="eastAsia"/>
          <w:color w:val="1F2933"/>
          <w:spacing w:val="3"/>
          <w:sz w:val="21"/>
          <w:szCs w:val="21"/>
          <w:lang w:val="en-US" w:eastAsia="zh-CN"/>
        </w:rPr>
      </w:pPr>
      <w:r>
        <w:rPr>
          <w:rFonts w:hint="eastAsia"/>
          <w:color w:val="1F2933"/>
          <w:spacing w:val="3"/>
          <w:sz w:val="21"/>
          <w:szCs w:val="21"/>
          <w:lang w:val="en-US" w:eastAsia="zh-CN"/>
        </w:rPr>
        <w:t>The main analysis used the pre-processed high-resolution single-cell RNA-seq files from GSE141259, generated from the lung injury study by Strunz et al. (2020). Raw count matrices and matched cell metadata were retrieved from GEO. The analysis focused on alveolar epithelial states relevant to AT2 differentiation: AT2, activated AT2, Krt8+ ADI, AT1 and Mki67+ proliferating cells. Cells were retained if they belonged to one of these states and passed quality filters (≥500 detected genes, ≥1,000 UMIs, ≤20% mitochondrial reads). The final analysis object contained 10,381 cells.</w:t>
      </w:r>
    </w:p>
    <w:p w14:paraId="76261C86">
      <w:pPr>
        <w:pStyle w:val="4"/>
        <w:spacing w:before="183" w:line="360" w:lineRule="auto"/>
        <w:ind w:right="33"/>
        <w:jc w:val="both"/>
        <w:rPr>
          <w:sz w:val="21"/>
          <w:szCs w:val="21"/>
        </w:rPr>
      </w:pPr>
      <w:r>
        <w:rPr>
          <w:color w:val="1F2933"/>
          <w:spacing w:val="3"/>
          <w:sz w:val="21"/>
          <w:szCs w:val="21"/>
        </w:rPr>
        <w:t>Seurat</w:t>
      </w:r>
      <w:r>
        <w:rPr>
          <w:color w:val="1F2933"/>
          <w:spacing w:val="28"/>
          <w:sz w:val="21"/>
          <w:szCs w:val="21"/>
        </w:rPr>
        <w:t xml:space="preserve"> </w:t>
      </w:r>
      <w:r>
        <w:rPr>
          <w:color w:val="1F2933"/>
          <w:spacing w:val="3"/>
          <w:sz w:val="21"/>
          <w:szCs w:val="21"/>
        </w:rPr>
        <w:t>was</w:t>
      </w:r>
      <w:r>
        <w:rPr>
          <w:color w:val="1F2933"/>
          <w:spacing w:val="27"/>
          <w:sz w:val="21"/>
          <w:szCs w:val="21"/>
        </w:rPr>
        <w:t xml:space="preserve"> </w:t>
      </w:r>
      <w:r>
        <w:rPr>
          <w:color w:val="1F2933"/>
          <w:spacing w:val="3"/>
          <w:sz w:val="21"/>
          <w:szCs w:val="21"/>
        </w:rPr>
        <w:t>used</w:t>
      </w:r>
      <w:r>
        <w:rPr>
          <w:color w:val="1F2933"/>
          <w:spacing w:val="34"/>
          <w:w w:val="101"/>
          <w:sz w:val="21"/>
          <w:szCs w:val="21"/>
        </w:rPr>
        <w:t xml:space="preserve"> </w:t>
      </w:r>
      <w:r>
        <w:rPr>
          <w:color w:val="1F2933"/>
          <w:spacing w:val="3"/>
          <w:sz w:val="21"/>
          <w:szCs w:val="21"/>
        </w:rPr>
        <w:t>for</w:t>
      </w:r>
      <w:r>
        <w:rPr>
          <w:color w:val="1F2933"/>
          <w:spacing w:val="33"/>
          <w:sz w:val="21"/>
          <w:szCs w:val="21"/>
        </w:rPr>
        <w:t xml:space="preserve"> </w:t>
      </w:r>
      <w:r>
        <w:rPr>
          <w:color w:val="1F2933"/>
          <w:spacing w:val="3"/>
          <w:sz w:val="21"/>
          <w:szCs w:val="21"/>
        </w:rPr>
        <w:t>object</w:t>
      </w:r>
      <w:r>
        <w:rPr>
          <w:color w:val="1F2933"/>
          <w:spacing w:val="27"/>
          <w:w w:val="101"/>
          <w:sz w:val="21"/>
          <w:szCs w:val="21"/>
        </w:rPr>
        <w:t xml:space="preserve"> </w:t>
      </w:r>
      <w:r>
        <w:rPr>
          <w:color w:val="1F2933"/>
          <w:spacing w:val="3"/>
          <w:sz w:val="21"/>
          <w:szCs w:val="21"/>
        </w:rPr>
        <w:t>handling,</w:t>
      </w:r>
      <w:r>
        <w:rPr>
          <w:color w:val="1F2933"/>
          <w:spacing w:val="39"/>
          <w:w w:val="101"/>
          <w:sz w:val="21"/>
          <w:szCs w:val="21"/>
        </w:rPr>
        <w:t xml:space="preserve"> </w:t>
      </w:r>
      <w:r>
        <w:rPr>
          <w:color w:val="1F2933"/>
          <w:spacing w:val="3"/>
          <w:sz w:val="21"/>
          <w:szCs w:val="21"/>
        </w:rPr>
        <w:t>log-normalisation,</w:t>
      </w:r>
      <w:r>
        <w:rPr>
          <w:color w:val="1F2933"/>
          <w:spacing w:val="34"/>
          <w:w w:val="101"/>
          <w:sz w:val="21"/>
          <w:szCs w:val="21"/>
        </w:rPr>
        <w:t xml:space="preserve"> </w:t>
      </w:r>
      <w:r>
        <w:rPr>
          <w:color w:val="1F2933"/>
          <w:spacing w:val="3"/>
          <w:sz w:val="21"/>
          <w:szCs w:val="21"/>
        </w:rPr>
        <w:t>variab</w:t>
      </w:r>
      <w:r>
        <w:rPr>
          <w:color w:val="1F2933"/>
          <w:spacing w:val="2"/>
          <w:sz w:val="21"/>
          <w:szCs w:val="21"/>
        </w:rPr>
        <w:t>le-feature</w:t>
      </w:r>
      <w:r>
        <w:rPr>
          <w:color w:val="1F2933"/>
          <w:spacing w:val="37"/>
          <w:sz w:val="21"/>
          <w:szCs w:val="21"/>
        </w:rPr>
        <w:t xml:space="preserve"> </w:t>
      </w:r>
      <w:r>
        <w:rPr>
          <w:color w:val="1F2933"/>
          <w:spacing w:val="2"/>
          <w:sz w:val="21"/>
          <w:szCs w:val="21"/>
        </w:rPr>
        <w:t>selection,</w:t>
      </w:r>
      <w:r>
        <w:rPr>
          <w:color w:val="1F2933"/>
          <w:spacing w:val="43"/>
          <w:w w:val="101"/>
          <w:sz w:val="21"/>
          <w:szCs w:val="21"/>
        </w:rPr>
        <w:t xml:space="preserve"> </w:t>
      </w:r>
      <w:r>
        <w:rPr>
          <w:color w:val="1F2933"/>
          <w:spacing w:val="2"/>
          <w:sz w:val="21"/>
          <w:szCs w:val="21"/>
        </w:rPr>
        <w:t>scaling,</w:t>
      </w:r>
      <w:r>
        <w:rPr>
          <w:color w:val="1F2933"/>
          <w:spacing w:val="36"/>
          <w:w w:val="101"/>
          <w:sz w:val="21"/>
          <w:szCs w:val="21"/>
        </w:rPr>
        <w:t xml:space="preserve"> </w:t>
      </w:r>
      <w:r>
        <w:rPr>
          <w:color w:val="1F2933"/>
          <w:spacing w:val="2"/>
          <w:sz w:val="21"/>
          <w:szCs w:val="21"/>
        </w:rPr>
        <w:t>PCA</w:t>
      </w:r>
      <w:r>
        <w:rPr>
          <w:color w:val="1F2933"/>
          <w:spacing w:val="34"/>
          <w:w w:val="101"/>
          <w:sz w:val="21"/>
          <w:szCs w:val="21"/>
        </w:rPr>
        <w:t xml:space="preserve"> </w:t>
      </w:r>
      <w:r>
        <w:rPr>
          <w:color w:val="1F2933"/>
          <w:spacing w:val="2"/>
          <w:sz w:val="21"/>
          <w:szCs w:val="21"/>
        </w:rPr>
        <w:t>and</w:t>
      </w:r>
      <w:r>
        <w:rPr>
          <w:color w:val="1F2933"/>
          <w:sz w:val="21"/>
          <w:szCs w:val="21"/>
        </w:rPr>
        <w:t xml:space="preserve"> </w:t>
      </w:r>
      <w:r>
        <w:rPr>
          <w:color w:val="1F2933"/>
          <w:spacing w:val="4"/>
          <w:sz w:val="21"/>
          <w:szCs w:val="21"/>
        </w:rPr>
        <w:t>UMAP visualisation.</w:t>
      </w:r>
      <w:r>
        <w:rPr>
          <w:color w:val="1F2933"/>
          <w:spacing w:val="33"/>
          <w:sz w:val="21"/>
          <w:szCs w:val="21"/>
        </w:rPr>
        <w:t xml:space="preserve"> </w:t>
      </w:r>
      <w:r>
        <w:rPr>
          <w:color w:val="1F2933"/>
          <w:spacing w:val="4"/>
          <w:sz w:val="21"/>
          <w:szCs w:val="21"/>
        </w:rPr>
        <w:t>BioTIP was then applied to the nor</w:t>
      </w:r>
      <w:r>
        <w:rPr>
          <w:color w:val="1F2933"/>
          <w:spacing w:val="3"/>
          <w:sz w:val="21"/>
          <w:szCs w:val="21"/>
        </w:rPr>
        <w:t>malised expression</w:t>
      </w:r>
      <w:r>
        <w:rPr>
          <w:color w:val="1F2933"/>
          <w:spacing w:val="6"/>
          <w:sz w:val="21"/>
          <w:szCs w:val="21"/>
        </w:rPr>
        <w:t xml:space="preserve"> </w:t>
      </w:r>
      <w:r>
        <w:rPr>
          <w:color w:val="1F2933"/>
          <w:spacing w:val="3"/>
          <w:sz w:val="21"/>
          <w:szCs w:val="21"/>
        </w:rPr>
        <w:t>matrix.</w:t>
      </w:r>
      <w:r>
        <w:rPr>
          <w:color w:val="1F2933"/>
          <w:spacing w:val="33"/>
          <w:sz w:val="21"/>
          <w:szCs w:val="21"/>
        </w:rPr>
        <w:t xml:space="preserve"> </w:t>
      </w:r>
    </w:p>
    <w:p w14:paraId="55A7C2D8">
      <w:pPr>
        <w:pStyle w:val="4"/>
        <w:spacing w:before="192" w:line="360" w:lineRule="auto"/>
        <w:ind w:left="3057"/>
      </w:pPr>
      <w:r>
        <w:rPr>
          <w:b/>
          <w:bCs/>
          <w:color w:val="1F2933"/>
        </w:rPr>
        <w:t>Table</w:t>
      </w:r>
      <w:r>
        <w:rPr>
          <w:b/>
          <w:bCs/>
          <w:color w:val="1F2933"/>
          <w:spacing w:val="16"/>
          <w:w w:val="101"/>
        </w:rPr>
        <w:t xml:space="preserve"> </w:t>
      </w:r>
      <w:r>
        <w:rPr>
          <w:b/>
          <w:bCs/>
          <w:color w:val="1F2933"/>
          <w:spacing w:val="15"/>
        </w:rPr>
        <w:t>1:</w:t>
      </w:r>
      <w:r>
        <w:rPr>
          <w:b/>
          <w:bCs/>
          <w:color w:val="1F2933"/>
          <w:spacing w:val="22"/>
          <w:w w:val="101"/>
        </w:rPr>
        <w:t xml:space="preserve"> </w:t>
      </w:r>
      <w:r>
        <w:rPr>
          <w:color w:val="1F2933"/>
        </w:rPr>
        <w:t>Dataset</w:t>
      </w:r>
      <w:r>
        <w:rPr>
          <w:color w:val="1F2933"/>
          <w:spacing w:val="15"/>
        </w:rPr>
        <w:t xml:space="preserve"> </w:t>
      </w:r>
      <w:r>
        <w:rPr>
          <w:color w:val="1F2933"/>
        </w:rPr>
        <w:t>and</w:t>
      </w:r>
      <w:r>
        <w:rPr>
          <w:color w:val="1F2933"/>
          <w:spacing w:val="15"/>
        </w:rPr>
        <w:t xml:space="preserve"> </w:t>
      </w:r>
      <w:r>
        <w:rPr>
          <w:color w:val="1F2933"/>
        </w:rPr>
        <w:t>analysis</w:t>
      </w:r>
      <w:r>
        <w:rPr>
          <w:color w:val="1F2933"/>
          <w:spacing w:val="12"/>
        </w:rPr>
        <w:t xml:space="preserve"> </w:t>
      </w:r>
      <w:r>
        <w:rPr>
          <w:color w:val="1F2933"/>
        </w:rPr>
        <w:t>scope</w:t>
      </w:r>
      <w:r>
        <w:rPr>
          <w:color w:val="1F2933"/>
          <w:spacing w:val="15"/>
        </w:rPr>
        <w:t>.</w:t>
      </w:r>
    </w:p>
    <w:tbl>
      <w:tblPr>
        <w:tblStyle w:val="11"/>
        <w:tblW w:w="8611" w:type="dxa"/>
        <w:tblInd w:w="21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847"/>
        <w:gridCol w:w="5764"/>
      </w:tblGrid>
      <w:tr w14:paraId="394788DB">
        <w:trPr>
          <w:trHeight w:val="419" w:hRule="atLeast"/>
        </w:trPr>
        <w:tc>
          <w:tcPr>
            <w:tcW w:w="2847" w:type="dxa"/>
            <w:tcBorders>
              <w:top w:val="single" w:color="1F2933" w:sz="6" w:space="0"/>
              <w:bottom w:val="single" w:color="1F2933" w:sz="4" w:space="0"/>
            </w:tcBorders>
            <w:vAlign w:val="top"/>
          </w:tcPr>
          <w:p w14:paraId="741808C3">
            <w:pPr>
              <w:pStyle w:val="12"/>
              <w:spacing w:before="136" w:line="360" w:lineRule="auto"/>
              <w:ind w:left="105"/>
            </w:pPr>
            <w:r>
              <w:rPr>
                <w:color w:val="1F2933"/>
                <w:spacing w:val="2"/>
              </w:rPr>
              <w:t>Item</w:t>
            </w:r>
          </w:p>
        </w:tc>
        <w:tc>
          <w:tcPr>
            <w:tcW w:w="5764" w:type="dxa"/>
            <w:tcBorders>
              <w:top w:val="single" w:color="1F2933" w:sz="6" w:space="0"/>
              <w:bottom w:val="single" w:color="1F2933" w:sz="4" w:space="0"/>
            </w:tcBorders>
            <w:vAlign w:val="top"/>
          </w:tcPr>
          <w:p w14:paraId="73A0E226">
            <w:pPr>
              <w:pStyle w:val="12"/>
              <w:spacing w:before="129" w:line="360" w:lineRule="auto"/>
              <w:ind w:left="251"/>
            </w:pPr>
            <w:r>
              <w:rPr>
                <w:color w:val="1F2933"/>
                <w:spacing w:val="-1"/>
              </w:rPr>
              <w:t>Value</w:t>
            </w:r>
          </w:p>
        </w:tc>
      </w:tr>
      <w:tr w14:paraId="59DB8614">
        <w:trPr>
          <w:trHeight w:val="378" w:hRule="atLeast"/>
        </w:trPr>
        <w:tc>
          <w:tcPr>
            <w:tcW w:w="2847" w:type="dxa"/>
            <w:tcBorders>
              <w:top w:val="single" w:color="1F2933" w:sz="4" w:space="0"/>
            </w:tcBorders>
            <w:vAlign w:val="top"/>
          </w:tcPr>
          <w:p w14:paraId="268A39C1">
            <w:pPr>
              <w:pStyle w:val="12"/>
              <w:spacing w:before="125" w:line="360" w:lineRule="auto"/>
              <w:ind w:left="103"/>
            </w:pPr>
            <w:r>
              <w:rPr>
                <w:color w:val="1F2933"/>
                <w:spacing w:val="3"/>
              </w:rPr>
              <w:t>Primary dataset</w:t>
            </w:r>
          </w:p>
        </w:tc>
        <w:tc>
          <w:tcPr>
            <w:tcW w:w="5764" w:type="dxa"/>
            <w:tcBorders>
              <w:top w:val="single" w:color="1F2933" w:sz="4" w:space="0"/>
            </w:tcBorders>
            <w:vAlign w:val="top"/>
          </w:tcPr>
          <w:p w14:paraId="4A5E6A2F">
            <w:pPr>
              <w:pStyle w:val="12"/>
              <w:spacing w:before="124" w:line="360" w:lineRule="auto"/>
              <w:ind w:left="257"/>
            </w:pPr>
            <w:r>
              <w:rPr>
                <w:color w:val="1F2933"/>
              </w:rPr>
              <w:t>GSE</w:t>
            </w:r>
            <w:r>
              <w:rPr>
                <w:color w:val="1F2933"/>
                <w:spacing w:val="13"/>
              </w:rPr>
              <w:t xml:space="preserve">141259 </w:t>
            </w:r>
            <w:r>
              <w:rPr>
                <w:color w:val="1F2933"/>
              </w:rPr>
              <w:t>lung</w:t>
            </w:r>
            <w:r>
              <w:rPr>
                <w:color w:val="1F2933"/>
                <w:spacing w:val="13"/>
              </w:rPr>
              <w:t xml:space="preserve"> </w:t>
            </w:r>
            <w:r>
              <w:rPr>
                <w:color w:val="1F2933"/>
              </w:rPr>
              <w:t>injury</w:t>
            </w:r>
            <w:r>
              <w:rPr>
                <w:color w:val="1F2933"/>
                <w:spacing w:val="13"/>
              </w:rPr>
              <w:t xml:space="preserve"> </w:t>
            </w:r>
            <w:r>
              <w:rPr>
                <w:color w:val="1F2933"/>
              </w:rPr>
              <w:t>regeneration</w:t>
            </w:r>
            <w:r>
              <w:rPr>
                <w:color w:val="1F2933"/>
                <w:spacing w:val="13"/>
              </w:rPr>
              <w:t xml:space="preserve"> </w:t>
            </w:r>
            <w:r>
              <w:rPr>
                <w:color w:val="1F2933"/>
              </w:rPr>
              <w:t>scRNA</w:t>
            </w:r>
            <w:r>
              <w:rPr>
                <w:color w:val="1F2933"/>
                <w:spacing w:val="13"/>
              </w:rPr>
              <w:t>-</w:t>
            </w:r>
            <w:r>
              <w:rPr>
                <w:color w:val="1F2933"/>
              </w:rPr>
              <w:t>seq</w:t>
            </w:r>
          </w:p>
        </w:tc>
      </w:tr>
      <w:tr w14:paraId="33E6DBBF">
        <w:trPr>
          <w:trHeight w:val="313" w:hRule="atLeast"/>
        </w:trPr>
        <w:tc>
          <w:tcPr>
            <w:tcW w:w="2847" w:type="dxa"/>
            <w:vAlign w:val="top"/>
          </w:tcPr>
          <w:p w14:paraId="7261599B">
            <w:pPr>
              <w:pStyle w:val="12"/>
              <w:spacing w:before="61" w:line="360" w:lineRule="auto"/>
              <w:ind w:left="105"/>
            </w:pPr>
            <w:r>
              <w:rPr>
                <w:color w:val="1F2933"/>
                <w:spacing w:val="2"/>
              </w:rPr>
              <w:t>Input matrix</w:t>
            </w:r>
          </w:p>
        </w:tc>
        <w:tc>
          <w:tcPr>
            <w:tcW w:w="5764" w:type="dxa"/>
            <w:vAlign w:val="top"/>
          </w:tcPr>
          <w:p w14:paraId="548BB8B1">
            <w:pPr>
              <w:pStyle w:val="12"/>
              <w:spacing w:before="61" w:line="360" w:lineRule="auto"/>
              <w:ind w:left="253"/>
            </w:pPr>
            <w:r>
              <w:rPr>
                <w:color w:val="1F2933"/>
                <w:spacing w:val="4"/>
              </w:rPr>
              <w:t>HighResolution raw-count</w:t>
            </w:r>
            <w:r>
              <w:rPr>
                <w:color w:val="1F2933"/>
                <w:spacing w:val="3"/>
              </w:rPr>
              <w:t xml:space="preserve"> matrix with matched cell metadata</w:t>
            </w:r>
          </w:p>
        </w:tc>
      </w:tr>
      <w:tr w14:paraId="61CB7802">
        <w:trPr>
          <w:trHeight w:val="313" w:hRule="atLeast"/>
        </w:trPr>
        <w:tc>
          <w:tcPr>
            <w:tcW w:w="2847" w:type="dxa"/>
            <w:vAlign w:val="top"/>
          </w:tcPr>
          <w:p w14:paraId="15417767">
            <w:pPr>
              <w:pStyle w:val="12"/>
              <w:spacing w:before="63" w:line="360" w:lineRule="auto"/>
              <w:ind w:left="107"/>
            </w:pPr>
            <w:r>
              <w:rPr>
                <w:color w:val="1F2933"/>
                <w:spacing w:val="3"/>
              </w:rPr>
              <w:t>Cells before lineage filt</w:t>
            </w:r>
            <w:r>
              <w:rPr>
                <w:color w:val="1F2933"/>
                <w:spacing w:val="2"/>
              </w:rPr>
              <w:t>ering</w:t>
            </w:r>
          </w:p>
        </w:tc>
        <w:tc>
          <w:tcPr>
            <w:tcW w:w="5764" w:type="dxa"/>
            <w:vAlign w:val="top"/>
          </w:tcPr>
          <w:p w14:paraId="50409E33">
            <w:pPr>
              <w:pStyle w:val="12"/>
              <w:spacing w:before="66" w:line="360" w:lineRule="auto"/>
              <w:ind w:left="259"/>
            </w:pPr>
            <w:r>
              <w:rPr>
                <w:color w:val="1F2933"/>
                <w:spacing w:val="2"/>
              </w:rPr>
              <w:t>32,559</w:t>
            </w:r>
          </w:p>
        </w:tc>
      </w:tr>
      <w:tr w14:paraId="2BFE5C7D">
        <w:trPr>
          <w:trHeight w:val="313" w:hRule="atLeast"/>
        </w:trPr>
        <w:tc>
          <w:tcPr>
            <w:tcW w:w="2847" w:type="dxa"/>
            <w:vAlign w:val="top"/>
          </w:tcPr>
          <w:p w14:paraId="4159C66A">
            <w:pPr>
              <w:pStyle w:val="12"/>
              <w:spacing w:before="64" w:line="360" w:lineRule="auto"/>
              <w:ind w:left="107"/>
            </w:pPr>
            <w:r>
              <w:rPr>
                <w:color w:val="1F2933"/>
                <w:spacing w:val="3"/>
              </w:rPr>
              <w:t>Cells retained for ana</w:t>
            </w:r>
            <w:r>
              <w:rPr>
                <w:color w:val="1F2933"/>
                <w:spacing w:val="2"/>
              </w:rPr>
              <w:t>lysis</w:t>
            </w:r>
          </w:p>
        </w:tc>
        <w:tc>
          <w:tcPr>
            <w:tcW w:w="5764" w:type="dxa"/>
            <w:vAlign w:val="top"/>
          </w:tcPr>
          <w:p w14:paraId="5C29CAC7">
            <w:pPr>
              <w:pStyle w:val="12"/>
              <w:spacing w:before="68" w:line="360" w:lineRule="auto"/>
              <w:ind w:left="275"/>
            </w:pPr>
            <w:r>
              <w:rPr>
                <w:color w:val="1F2933"/>
                <w:spacing w:val="-1"/>
              </w:rPr>
              <w:t>10,381</w:t>
            </w:r>
          </w:p>
        </w:tc>
      </w:tr>
      <w:tr w14:paraId="17C0B888">
        <w:trPr>
          <w:trHeight w:val="560" w:hRule="atLeast"/>
        </w:trPr>
        <w:tc>
          <w:tcPr>
            <w:tcW w:w="2847" w:type="dxa"/>
            <w:vAlign w:val="top"/>
          </w:tcPr>
          <w:p w14:paraId="437CB836">
            <w:pPr>
              <w:pStyle w:val="12"/>
              <w:spacing w:before="65" w:line="360" w:lineRule="auto"/>
              <w:ind w:left="103"/>
            </w:pPr>
            <w:r>
              <w:rPr>
                <w:color w:val="1F2933"/>
                <w:spacing w:val="2"/>
              </w:rPr>
              <w:t>Retained cell</w:t>
            </w:r>
            <w:r>
              <w:rPr>
                <w:color w:val="1F2933"/>
                <w:spacing w:val="20"/>
                <w:w w:val="101"/>
              </w:rPr>
              <w:t xml:space="preserve"> </w:t>
            </w:r>
            <w:r>
              <w:rPr>
                <w:color w:val="1F2933"/>
                <w:spacing w:val="2"/>
              </w:rPr>
              <w:t>states</w:t>
            </w:r>
          </w:p>
        </w:tc>
        <w:tc>
          <w:tcPr>
            <w:tcW w:w="5764" w:type="dxa"/>
            <w:vAlign w:val="top"/>
          </w:tcPr>
          <w:p w14:paraId="47414E16">
            <w:pPr>
              <w:pStyle w:val="12"/>
              <w:spacing w:before="65" w:line="360" w:lineRule="auto"/>
              <w:ind w:left="256" w:right="98" w:hanging="5"/>
            </w:pPr>
            <w:r>
              <w:rPr>
                <w:color w:val="1F2933"/>
              </w:rPr>
              <w:t>AT</w:t>
            </w:r>
            <w:r>
              <w:rPr>
                <w:color w:val="1F2933"/>
                <w:spacing w:val="7"/>
              </w:rPr>
              <w:t>2,</w:t>
            </w:r>
            <w:r>
              <w:rPr>
                <w:color w:val="1F2933"/>
                <w:spacing w:val="47"/>
              </w:rPr>
              <w:t xml:space="preserve"> </w:t>
            </w:r>
            <w:r>
              <w:rPr>
                <w:color w:val="1F2933"/>
              </w:rPr>
              <w:t>activated</w:t>
            </w:r>
            <w:r>
              <w:rPr>
                <w:color w:val="1F2933"/>
                <w:spacing w:val="28"/>
                <w:w w:val="101"/>
              </w:rPr>
              <w:t xml:space="preserve"> </w:t>
            </w:r>
            <w:r>
              <w:rPr>
                <w:color w:val="1F2933"/>
              </w:rPr>
              <w:t>AT</w:t>
            </w:r>
            <w:r>
              <w:rPr>
                <w:color w:val="1F2933"/>
                <w:spacing w:val="7"/>
              </w:rPr>
              <w:t>2,</w:t>
            </w:r>
            <w:r>
              <w:rPr>
                <w:color w:val="1F2933"/>
                <w:spacing w:val="37"/>
              </w:rPr>
              <w:t xml:space="preserve"> </w:t>
            </w:r>
            <w:r>
              <w:rPr>
                <w:color w:val="1F2933"/>
              </w:rPr>
              <w:t>Krt</w:t>
            </w:r>
            <w:r>
              <w:rPr>
                <w:color w:val="1F2933"/>
                <w:spacing w:val="7"/>
              </w:rPr>
              <w:t>8+</w:t>
            </w:r>
            <w:r>
              <w:rPr>
                <w:color w:val="1F2933"/>
                <w:spacing w:val="29"/>
              </w:rPr>
              <w:t xml:space="preserve"> </w:t>
            </w:r>
            <w:r>
              <w:rPr>
                <w:color w:val="1F2933"/>
              </w:rPr>
              <w:t>ADI</w:t>
            </w:r>
            <w:r>
              <w:rPr>
                <w:color w:val="1F2933"/>
                <w:spacing w:val="7"/>
              </w:rPr>
              <w:t>,</w:t>
            </w:r>
            <w:r>
              <w:rPr>
                <w:color w:val="1F2933"/>
                <w:spacing w:val="28"/>
                <w:w w:val="101"/>
              </w:rPr>
              <w:t xml:space="preserve"> </w:t>
            </w:r>
            <w:r>
              <w:rPr>
                <w:color w:val="1F2933"/>
              </w:rPr>
              <w:t>AT</w:t>
            </w:r>
            <w:r>
              <w:rPr>
                <w:color w:val="1F2933"/>
                <w:spacing w:val="7"/>
              </w:rPr>
              <w:t>1,</w:t>
            </w:r>
            <w:r>
              <w:rPr>
                <w:color w:val="1F2933"/>
                <w:spacing w:val="37"/>
              </w:rPr>
              <w:t xml:space="preserve"> </w:t>
            </w:r>
            <w:r>
              <w:rPr>
                <w:color w:val="1F2933"/>
              </w:rPr>
              <w:t>Mki</w:t>
            </w:r>
            <w:r>
              <w:rPr>
                <w:color w:val="1F2933"/>
                <w:spacing w:val="7"/>
              </w:rPr>
              <w:t>67+</w:t>
            </w:r>
            <w:r>
              <w:rPr>
                <w:color w:val="1F2933"/>
                <w:spacing w:val="27"/>
              </w:rPr>
              <w:t xml:space="preserve"> </w:t>
            </w:r>
            <w:r>
              <w:rPr>
                <w:color w:val="1F2933"/>
              </w:rPr>
              <w:t xml:space="preserve">proliferating </w:t>
            </w:r>
            <w:r>
              <w:rPr>
                <w:color w:val="1F2933"/>
                <w:spacing w:val="1"/>
              </w:rPr>
              <w:t>cells</w:t>
            </w:r>
          </w:p>
        </w:tc>
      </w:tr>
      <w:tr w14:paraId="162DD9BE">
        <w:trPr>
          <w:trHeight w:val="605" w:hRule="atLeast"/>
        </w:trPr>
        <w:tc>
          <w:tcPr>
            <w:tcW w:w="2847" w:type="dxa"/>
            <w:vAlign w:val="top"/>
          </w:tcPr>
          <w:p w14:paraId="1CD04F6F">
            <w:pPr>
              <w:pStyle w:val="12"/>
              <w:spacing w:before="91" w:line="360" w:lineRule="auto"/>
              <w:ind w:left="101"/>
            </w:pPr>
            <w:r>
              <w:rPr>
                <w:color w:val="1F2933"/>
                <w:spacing w:val="2"/>
              </w:rPr>
              <w:t>Analysis A</w:t>
            </w:r>
            <w:r>
              <w:rPr>
                <w:color w:val="1F2933"/>
                <w:spacing w:val="22"/>
              </w:rPr>
              <w:t xml:space="preserve"> </w:t>
            </w:r>
            <w:r>
              <w:rPr>
                <w:color w:val="1F2933"/>
                <w:spacing w:val="2"/>
              </w:rPr>
              <w:t>states</w:t>
            </w:r>
          </w:p>
        </w:tc>
        <w:tc>
          <w:tcPr>
            <w:tcW w:w="5764" w:type="dxa"/>
            <w:vAlign w:val="top"/>
          </w:tcPr>
          <w:p w14:paraId="582C17AD">
            <w:pPr>
              <w:pStyle w:val="12"/>
              <w:spacing w:before="89" w:line="360" w:lineRule="auto"/>
              <w:ind w:left="249" w:right="98" w:firstLine="6"/>
            </w:pPr>
            <w:r>
              <w:rPr>
                <w:color w:val="1F2933"/>
              </w:rPr>
              <w:t>Time</w:t>
            </w:r>
            <w:r>
              <w:rPr>
                <w:color w:val="1F2933"/>
                <w:spacing w:val="9"/>
              </w:rPr>
              <w:t xml:space="preserve"> </w:t>
            </w:r>
            <w:r>
              <w:rPr>
                <w:color w:val="1F2933"/>
              </w:rPr>
              <w:t>points</w:t>
            </w:r>
            <w:r>
              <w:rPr>
                <w:color w:val="1F2933"/>
                <w:spacing w:val="9"/>
              </w:rPr>
              <w:t xml:space="preserve"> </w:t>
            </w:r>
            <w:r>
              <w:rPr>
                <w:color w:val="1F2933"/>
              </w:rPr>
              <w:t>after</w:t>
            </w:r>
            <w:r>
              <w:rPr>
                <w:color w:val="1F2933"/>
                <w:spacing w:val="9"/>
              </w:rPr>
              <w:t xml:space="preserve"> </w:t>
            </w:r>
            <w:r>
              <w:rPr>
                <w:color w:val="1F2933"/>
              </w:rPr>
              <w:t>injury</w:t>
            </w:r>
            <w:r>
              <w:rPr>
                <w:color w:val="1F2933"/>
                <w:spacing w:val="9"/>
              </w:rPr>
              <w:t xml:space="preserve">; </w:t>
            </w:r>
            <w:r>
              <w:rPr>
                <w:color w:val="1F2933"/>
              </w:rPr>
              <w:t>day</w:t>
            </w:r>
            <w:r>
              <w:rPr>
                <w:color w:val="1F2933"/>
                <w:spacing w:val="9"/>
              </w:rPr>
              <w:t xml:space="preserve"> 28 </w:t>
            </w:r>
            <w:r>
              <w:rPr>
                <w:color w:val="1F2933"/>
              </w:rPr>
              <w:t>excluded</w:t>
            </w:r>
            <w:r>
              <w:rPr>
                <w:color w:val="1F2933"/>
                <w:spacing w:val="9"/>
              </w:rPr>
              <w:t xml:space="preserve"> </w:t>
            </w:r>
            <w:r>
              <w:rPr>
                <w:color w:val="1F2933"/>
              </w:rPr>
              <w:t>from</w:t>
            </w:r>
            <w:r>
              <w:rPr>
                <w:color w:val="1F2933"/>
                <w:spacing w:val="9"/>
              </w:rPr>
              <w:t xml:space="preserve"> </w:t>
            </w:r>
            <w:r>
              <w:rPr>
                <w:color w:val="1F2933"/>
              </w:rPr>
              <w:t>BioTIP</w:t>
            </w:r>
            <w:r>
              <w:rPr>
                <w:color w:val="1F2933"/>
                <w:spacing w:val="9"/>
              </w:rPr>
              <w:t xml:space="preserve"> </w:t>
            </w:r>
            <w:r>
              <w:rPr>
                <w:color w:val="1F2933"/>
              </w:rPr>
              <w:t>scoring</w:t>
            </w:r>
            <w:r>
              <w:rPr>
                <w:color w:val="1F2933"/>
                <w:spacing w:val="10"/>
              </w:rPr>
              <w:t xml:space="preserve"> </w:t>
            </w:r>
            <w:r>
              <w:rPr>
                <w:color w:val="1F2933"/>
                <w:spacing w:val="3"/>
              </w:rPr>
              <w:t>because only two cells remained</w:t>
            </w:r>
          </w:p>
        </w:tc>
      </w:tr>
      <w:tr w14:paraId="0997A8AE">
        <w:trPr>
          <w:trHeight w:val="358" w:hRule="atLeast"/>
        </w:trPr>
        <w:tc>
          <w:tcPr>
            <w:tcW w:w="2847" w:type="dxa"/>
            <w:tcBorders>
              <w:bottom w:val="single" w:color="1F2933" w:sz="6" w:space="0"/>
            </w:tcBorders>
            <w:vAlign w:val="top"/>
          </w:tcPr>
          <w:p w14:paraId="14C2178A">
            <w:pPr>
              <w:pStyle w:val="12"/>
              <w:spacing w:before="71" w:line="360" w:lineRule="auto"/>
              <w:ind w:left="101"/>
            </w:pPr>
            <w:r>
              <w:rPr>
                <w:color w:val="1F2933"/>
                <w:spacing w:val="2"/>
              </w:rPr>
              <w:t>Analysis B</w:t>
            </w:r>
            <w:r>
              <w:rPr>
                <w:color w:val="1F2933"/>
                <w:spacing w:val="21"/>
                <w:w w:val="101"/>
              </w:rPr>
              <w:t xml:space="preserve"> </w:t>
            </w:r>
            <w:r>
              <w:rPr>
                <w:color w:val="1F2933"/>
                <w:spacing w:val="2"/>
              </w:rPr>
              <w:t>states</w:t>
            </w:r>
          </w:p>
        </w:tc>
        <w:tc>
          <w:tcPr>
            <w:tcW w:w="5764" w:type="dxa"/>
            <w:tcBorders>
              <w:bottom w:val="single" w:color="1F2933" w:sz="6" w:space="0"/>
            </w:tcBorders>
            <w:vAlign w:val="top"/>
          </w:tcPr>
          <w:p w14:paraId="6EB802F4">
            <w:pPr>
              <w:pStyle w:val="12"/>
              <w:spacing w:before="71" w:line="360" w:lineRule="auto"/>
              <w:ind w:left="251"/>
            </w:pPr>
            <w:r>
              <w:rPr>
                <w:color w:val="1F2933"/>
                <w:spacing w:val="3"/>
              </w:rPr>
              <w:t>Annotated alveolar cell states pooled across time</w:t>
            </w:r>
          </w:p>
        </w:tc>
      </w:tr>
    </w:tbl>
    <w:p w14:paraId="4CD8FDCC">
      <w:pPr>
        <w:spacing w:before="60" w:line="360" w:lineRule="auto"/>
        <w:outlineLvl w:val="1"/>
        <w:rPr>
          <w:rFonts w:ascii="Arial" w:hAnsi="Arial" w:eastAsia="Arial" w:cs="Arial"/>
          <w:b/>
          <w:bCs/>
          <w:color w:val="1F2933"/>
          <w:sz w:val="24"/>
          <w:szCs w:val="24"/>
        </w:rPr>
      </w:pPr>
    </w:p>
    <w:p w14:paraId="1A1C1E4C">
      <w:pPr>
        <w:spacing w:before="60" w:line="360" w:lineRule="auto"/>
        <w:outlineLvl w:val="1"/>
        <w:rPr>
          <w:rFonts w:ascii="Arial" w:hAnsi="Arial" w:eastAsia="Arial" w:cs="Arial"/>
          <w:b/>
          <w:bCs/>
          <w:color w:val="1F2933"/>
          <w:sz w:val="24"/>
          <w:szCs w:val="24"/>
        </w:rPr>
      </w:pPr>
      <w:r>
        <w:rPr>
          <w:rFonts w:ascii="Arial" w:hAnsi="Arial" w:eastAsia="Arial" w:cs="Arial"/>
          <w:b/>
          <w:bCs/>
          <w:color w:val="1F2933"/>
          <w:sz w:val="24"/>
          <w:szCs w:val="24"/>
        </w:rPr>
        <w:t>2.3 Analysis A — time point as state</w:t>
      </w:r>
    </w:p>
    <w:p w14:paraId="7C78D400">
      <w:pPr>
        <w:pStyle w:val="4"/>
        <w:spacing w:before="73" w:line="360" w:lineRule="auto"/>
        <w:ind w:right="1"/>
        <w:jc w:val="both"/>
        <w:rPr>
          <w:rFonts w:hint="eastAsia"/>
          <w:color w:val="1F2933"/>
          <w:spacing w:val="3"/>
          <w:sz w:val="21"/>
          <w:szCs w:val="21"/>
          <w:lang w:val="en-US" w:eastAsia="zh-CN"/>
        </w:rPr>
      </w:pPr>
      <w:r>
        <w:rPr>
          <w:rFonts w:hint="eastAsia"/>
          <w:color w:val="1F2933"/>
          <w:spacing w:val="3"/>
          <w:sz w:val="21"/>
          <w:szCs w:val="21"/>
          <w:lang w:val="en-US" w:eastAsia="zh-CN"/>
        </w:rPr>
        <w:t>Analysis A treated each post-injury sampling time point (and PBS control where retained) as an independent state. Only states with at least 20 cells were included. To stabilise network estimation while preserving temporal structure, each state was down-sampled to at most 80 cells, and the 1,500 most variable genes across the retained matrix were used for BioTIP input.</w:t>
      </w:r>
    </w:p>
    <w:p w14:paraId="28476743">
      <w:pPr>
        <w:pStyle w:val="4"/>
        <w:spacing w:before="73" w:line="360" w:lineRule="auto"/>
        <w:ind w:right="1"/>
        <w:jc w:val="both"/>
        <w:rPr>
          <w:rFonts w:hint="eastAsia"/>
          <w:color w:val="1F2933"/>
          <w:spacing w:val="3"/>
          <w:sz w:val="21"/>
          <w:szCs w:val="21"/>
          <w:lang w:val="en-US" w:eastAsia="zh-CN"/>
        </w:rPr>
      </w:pPr>
      <w:r>
        <w:rPr>
          <w:rFonts w:hint="eastAsia"/>
          <w:color w:val="1F2933"/>
          <w:spacing w:val="3"/>
          <w:sz w:val="21"/>
          <w:szCs w:val="21"/>
          <w:lang w:val="en-US" w:eastAsia="zh-CN"/>
        </w:rPr>
        <w:t>2.3.1 Transcript pre-selection. State-specific highly fluctuating transcripts were identified using BioTIP’s optimize.sd_selection function, which estimates relative transcript fluctuation (RTF) with bootstrap resampling. Non-default settings were cutoff = 0.1, percent = 0.8 and B = 3. This step reduces the feature space before network construction and highlights genes that deviate from homogenous expression within each time point.</w:t>
      </w:r>
    </w:p>
    <w:p w14:paraId="1F64E224">
      <w:pPr>
        <w:pStyle w:val="4"/>
        <w:spacing w:before="73" w:line="360" w:lineRule="auto"/>
        <w:ind w:right="1"/>
        <w:jc w:val="both"/>
        <w:rPr>
          <w:rFonts w:hint="eastAsia"/>
          <w:color w:val="1F2933"/>
          <w:spacing w:val="3"/>
          <w:sz w:val="21"/>
          <w:szCs w:val="21"/>
          <w:lang w:val="en-US" w:eastAsia="zh-CN"/>
        </w:rPr>
      </w:pPr>
      <w:r>
        <w:rPr>
          <w:rFonts w:hint="eastAsia"/>
          <w:color w:val="1F2933"/>
          <w:spacing w:val="3"/>
          <w:sz w:val="21"/>
          <w:szCs w:val="21"/>
          <w:lang w:val="en-US" w:eastAsia="zh-CN"/>
        </w:rPr>
        <w:t>2.3.2 Network partition and MCI scoring. For each time point, Pearson-based co-expression networks were built on the pre-selected gene sets with getNetwork (FDR = 0.2). Networks were partitioned into gene modules using walktrap community detection (getCluster_methods). Module criticality index (MCI) scores were then computed with getMCI (fun = BioTIP). Modules with fewer than 20 genes were excluded from CTS nomination. The strongest modules per time point were retained as CTS candidates using getTopMCI and getCTS.</w:t>
      </w:r>
    </w:p>
    <w:p w14:paraId="6C1C99E2">
      <w:pPr>
        <w:pStyle w:val="4"/>
        <w:spacing w:before="73" w:line="360" w:lineRule="auto"/>
        <w:ind w:right="1"/>
        <w:jc w:val="both"/>
        <w:rPr>
          <w:rFonts w:hint="eastAsia"/>
          <w:color w:val="1F2933"/>
          <w:spacing w:val="3"/>
          <w:sz w:val="21"/>
          <w:szCs w:val="21"/>
          <w:lang w:val="en-US" w:eastAsia="zh-CN"/>
        </w:rPr>
      </w:pPr>
      <w:r>
        <w:rPr>
          <w:rFonts w:hint="eastAsia"/>
          <w:color w:val="1F2933"/>
          <w:spacing w:val="3"/>
          <w:sz w:val="21"/>
          <w:szCs w:val="21"/>
          <w:lang w:val="en-US" w:eastAsia="zh-CN"/>
        </w:rPr>
        <w:t>2.3.3 Tipping point identification. For every CTS candidate module, Ic.shrink was calculated across all time-point states with getIc (shrink = TRUE, PCC_sample.target = average). The observed ΔIc.shrink was defined as the difference between the highest and second-highest state-specific Ic.shrink values. Statistical significance was assessed by comparing the observed ΔIc.shrink to a null distribution generated from 100 random gene sets of equal size drawn from the same expression matrix (gene-permutation test).</w:t>
      </w:r>
    </w:p>
    <w:p w14:paraId="1CB3B934">
      <w:pPr>
        <w:pStyle w:val="4"/>
        <w:spacing w:before="73" w:line="360" w:lineRule="auto"/>
        <w:ind w:right="1"/>
        <w:jc w:val="both"/>
        <w:rPr>
          <w:rFonts w:hint="eastAsia"/>
          <w:color w:val="1F2933"/>
          <w:spacing w:val="3"/>
          <w:sz w:val="21"/>
          <w:szCs w:val="21"/>
          <w:lang w:val="en-US" w:eastAsia="zh-CN"/>
        </w:rPr>
      </w:pPr>
    </w:p>
    <w:p w14:paraId="2D08C214">
      <w:pPr>
        <w:spacing w:before="60" w:line="360" w:lineRule="auto"/>
        <w:outlineLvl w:val="1"/>
        <w:rPr>
          <w:rFonts w:hint="default"/>
          <w:color w:val="1F2933"/>
          <w:sz w:val="21"/>
          <w:szCs w:val="21"/>
          <w:lang w:val="en-US"/>
        </w:rPr>
      </w:pPr>
      <w:r>
        <w:rPr>
          <w:rFonts w:ascii="Arial" w:hAnsi="Arial" w:eastAsia="Arial" w:cs="Arial"/>
          <w:b/>
          <w:bCs/>
          <w:color w:val="1F2933"/>
          <w:sz w:val="24"/>
          <w:szCs w:val="24"/>
        </w:rPr>
        <w:t>2.4 Analysis B — cell type as state</w:t>
      </w:r>
    </w:p>
    <w:p w14:paraId="026B707E">
      <w:pPr>
        <w:pStyle w:val="4"/>
        <w:spacing w:before="74" w:line="360" w:lineRule="auto"/>
        <w:ind w:right="2"/>
        <w:rPr>
          <w:rFonts w:hint="default"/>
          <w:color w:val="1F2933"/>
          <w:sz w:val="21"/>
          <w:szCs w:val="21"/>
          <w:lang w:val="en-US"/>
        </w:rPr>
      </w:pPr>
      <w:r>
        <w:rPr>
          <w:rFonts w:hint="default"/>
          <w:color w:val="1F2933"/>
          <w:sz w:val="21"/>
          <w:szCs w:val="21"/>
          <w:lang w:val="en-US"/>
        </w:rPr>
        <w:t>Analysis B used the same matrix but defined five alveolar cell types as states (cells pooled across time). States with &lt;15 cells were excluded; each type was down-sampled to ≤100 cells and 1,800 variable genes were used. The same BioTIP steps as in Analysis A were applied (RTF cutoff 0.1, B = 3; network FDR 0.2; minimum module size 10 genes; 100 gene-permutation tests per CTS module).</w:t>
      </w:r>
    </w:p>
    <w:p w14:paraId="5E6F4987">
      <w:pPr>
        <w:pStyle w:val="4"/>
        <w:spacing w:before="74" w:line="360" w:lineRule="auto"/>
        <w:ind w:right="2"/>
        <w:rPr>
          <w:rFonts w:hint="default"/>
          <w:color w:val="1F2933"/>
          <w:sz w:val="21"/>
          <w:szCs w:val="21"/>
          <w:lang w:val="en-US"/>
        </w:rPr>
      </w:pPr>
    </w:p>
    <w:p w14:paraId="2E936FFA">
      <w:pPr>
        <w:keepNext w:val="0"/>
        <w:keepLines w:val="0"/>
        <w:widowControl/>
        <w:suppressLineNumbers w:val="0"/>
        <w:kinsoku w:val="0"/>
        <w:autoSpaceDE w:val="0"/>
        <w:autoSpaceDN w:val="0"/>
        <w:adjustRightInd w:val="0"/>
        <w:snapToGrid w:val="0"/>
        <w:spacing w:before="60" w:beforeAutospacing="0" w:after="0" w:afterAutospacing="0" w:line="360" w:lineRule="auto"/>
        <w:ind w:left="0" w:right="0"/>
        <w:jc w:val="left"/>
        <w:textAlignment w:val="baseline"/>
        <w:outlineLvl w:val="1"/>
        <w:rPr>
          <w:rFonts w:hint="default" w:ascii="Arial" w:hAnsi="Arial" w:eastAsia="Arial" w:cs="Arial"/>
          <w:b/>
          <w:bCs/>
          <w:snapToGrid w:val="0"/>
          <w:color w:val="000000"/>
          <w:kern w:val="0"/>
          <w:sz w:val="24"/>
          <w:szCs w:val="24"/>
          <w:lang w:val="en-US" w:eastAsia="zh-CN" w:bidi="ar"/>
        </w:rPr>
      </w:pPr>
      <w:r>
        <w:rPr>
          <w:rFonts w:hint="default" w:ascii="Arial" w:hAnsi="Arial" w:eastAsia="Arial" w:cs="Arial"/>
          <w:b/>
          <w:bCs/>
          <w:snapToGrid w:val="0"/>
          <w:color w:val="000000"/>
          <w:kern w:val="0"/>
          <w:sz w:val="24"/>
          <w:szCs w:val="24"/>
          <w:lang w:val="en-US" w:eastAsia="zh-CN" w:bidi="ar"/>
        </w:rPr>
        <w:t>2.</w:t>
      </w:r>
      <w:r>
        <w:rPr>
          <w:rFonts w:hint="eastAsia" w:ascii="Arial" w:hAnsi="Arial" w:cs="Arial"/>
          <w:b/>
          <w:bCs/>
          <w:snapToGrid w:val="0"/>
          <w:color w:val="000000"/>
          <w:kern w:val="0"/>
          <w:sz w:val="24"/>
          <w:szCs w:val="24"/>
          <w:lang w:val="en-US" w:eastAsia="zh-CN" w:bidi="ar"/>
        </w:rPr>
        <w:t>5</w:t>
      </w:r>
      <w:r>
        <w:rPr>
          <w:rFonts w:hint="default" w:ascii="Arial" w:hAnsi="Arial" w:eastAsia="Arial" w:cs="Arial"/>
          <w:b/>
          <w:bCs/>
          <w:snapToGrid w:val="0"/>
          <w:color w:val="000000"/>
          <w:kern w:val="0"/>
          <w:sz w:val="24"/>
          <w:szCs w:val="24"/>
          <w:lang w:val="en-US" w:eastAsia="zh-CN" w:bidi="ar"/>
        </w:rPr>
        <w:t xml:space="preserve"> Software</w:t>
      </w:r>
    </w:p>
    <w:p w14:paraId="0D35AEFF">
      <w:pPr>
        <w:pStyle w:val="4"/>
        <w:spacing w:before="61" w:line="360" w:lineRule="auto"/>
        <w:ind w:left="2" w:firstLine="3"/>
        <w:jc w:val="both"/>
        <w:rPr>
          <w:rFonts w:hint="default" w:ascii="Arial" w:hAnsi="Arial" w:eastAsia="Arial" w:cs="Arial"/>
          <w:b/>
          <w:bCs/>
          <w:snapToGrid w:val="0"/>
          <w:color w:val="000000"/>
          <w:kern w:val="0"/>
          <w:sz w:val="21"/>
          <w:szCs w:val="21"/>
          <w:lang w:val="en-US" w:eastAsia="zh-CN" w:bidi="ar"/>
        </w:rPr>
      </w:pPr>
      <w:r>
        <w:rPr>
          <w:color w:val="1F2933"/>
          <w:spacing w:val="3"/>
          <w:sz w:val="21"/>
          <w:szCs w:val="21"/>
        </w:rPr>
        <w:t>The analysis was performed in R 4.5.2 using Seurat 5.5.0, BioTIP 1.23.0 and GEOquery 2.78.0. Non-default parameters are listed in Sections 2.1–2.4.</w:t>
      </w:r>
    </w:p>
    <w:p w14:paraId="1976CB92">
      <w:pPr>
        <w:pStyle w:val="4"/>
        <w:spacing w:before="159" w:line="360" w:lineRule="auto"/>
        <w:ind w:left="2921"/>
      </w:pPr>
      <w:r>
        <w:rPr>
          <w:b/>
          <w:bCs/>
          <w:color w:val="1F2933"/>
        </w:rPr>
        <w:t>Table</w:t>
      </w:r>
      <w:r>
        <w:rPr>
          <w:b/>
          <w:bCs/>
          <w:color w:val="1F2933"/>
          <w:spacing w:val="13"/>
        </w:rPr>
        <w:t xml:space="preserve"> 2:</w:t>
      </w:r>
      <w:r>
        <w:rPr>
          <w:b/>
          <w:bCs/>
          <w:color w:val="1F2933"/>
          <w:spacing w:val="35"/>
        </w:rPr>
        <w:t xml:space="preserve"> </w:t>
      </w:r>
      <w:r>
        <w:rPr>
          <w:color w:val="1F2933"/>
        </w:rPr>
        <w:t>Software</w:t>
      </w:r>
      <w:r>
        <w:rPr>
          <w:color w:val="1F2933"/>
          <w:spacing w:val="13"/>
        </w:rPr>
        <w:t xml:space="preserve"> </w:t>
      </w:r>
      <w:r>
        <w:rPr>
          <w:color w:val="1F2933"/>
        </w:rPr>
        <w:t>used</w:t>
      </w:r>
      <w:r>
        <w:rPr>
          <w:color w:val="1F2933"/>
          <w:spacing w:val="13"/>
        </w:rPr>
        <w:t xml:space="preserve"> </w:t>
      </w:r>
      <w:r>
        <w:rPr>
          <w:color w:val="1F2933"/>
        </w:rPr>
        <w:t>for</w:t>
      </w:r>
      <w:r>
        <w:rPr>
          <w:color w:val="1F2933"/>
          <w:spacing w:val="13"/>
        </w:rPr>
        <w:t xml:space="preserve"> </w:t>
      </w:r>
      <w:r>
        <w:rPr>
          <w:color w:val="1F2933"/>
        </w:rPr>
        <w:t>the</w:t>
      </w:r>
      <w:r>
        <w:rPr>
          <w:color w:val="1F2933"/>
          <w:spacing w:val="13"/>
        </w:rPr>
        <w:t xml:space="preserve"> </w:t>
      </w:r>
      <w:r>
        <w:rPr>
          <w:color w:val="1F2933"/>
        </w:rPr>
        <w:t>analysis</w:t>
      </w:r>
      <w:r>
        <w:rPr>
          <w:color w:val="1F2933"/>
          <w:spacing w:val="13"/>
        </w:rPr>
        <w:t>.</w:t>
      </w:r>
    </w:p>
    <w:tbl>
      <w:tblPr>
        <w:tblStyle w:val="11"/>
        <w:tblW w:w="8720" w:type="dxa"/>
        <w:tblInd w:w="15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84"/>
        <w:gridCol w:w="1594"/>
        <w:gridCol w:w="5642"/>
      </w:tblGrid>
      <w:tr w14:paraId="4BEBCF9E">
        <w:trPr>
          <w:trHeight w:val="418" w:hRule="atLeast"/>
        </w:trPr>
        <w:tc>
          <w:tcPr>
            <w:tcW w:w="1484" w:type="dxa"/>
            <w:tcBorders>
              <w:top w:val="single" w:color="1F2933" w:sz="6" w:space="0"/>
              <w:bottom w:val="single" w:color="1F2933" w:sz="4" w:space="0"/>
            </w:tcBorders>
            <w:vAlign w:val="top"/>
          </w:tcPr>
          <w:p w14:paraId="51ECD583">
            <w:pPr>
              <w:pStyle w:val="12"/>
              <w:spacing w:before="130" w:line="360" w:lineRule="auto"/>
              <w:ind w:left="113"/>
            </w:pPr>
            <w:r>
              <w:rPr>
                <w:color w:val="1F2933"/>
                <w:spacing w:val="1"/>
              </w:rPr>
              <w:t>Software</w:t>
            </w:r>
          </w:p>
        </w:tc>
        <w:tc>
          <w:tcPr>
            <w:tcW w:w="1594" w:type="dxa"/>
            <w:tcBorders>
              <w:top w:val="single" w:color="1F2933" w:sz="6" w:space="0"/>
              <w:bottom w:val="single" w:color="1F2933" w:sz="4" w:space="0"/>
            </w:tcBorders>
            <w:vAlign w:val="top"/>
          </w:tcPr>
          <w:p w14:paraId="65DB1FDB">
            <w:pPr>
              <w:pStyle w:val="12"/>
              <w:spacing w:before="129" w:line="360" w:lineRule="auto"/>
              <w:ind w:left="441"/>
            </w:pPr>
            <w:r>
              <w:rPr>
                <w:color w:val="1F2933"/>
              </w:rPr>
              <w:t>Version</w:t>
            </w:r>
          </w:p>
        </w:tc>
        <w:tc>
          <w:tcPr>
            <w:tcW w:w="5642" w:type="dxa"/>
            <w:tcBorders>
              <w:top w:val="single" w:color="1F2933" w:sz="6" w:space="0"/>
              <w:bottom w:val="single" w:color="1F2933" w:sz="4" w:space="0"/>
            </w:tcBorders>
            <w:vAlign w:val="top"/>
          </w:tcPr>
          <w:p w14:paraId="467FB7D8">
            <w:pPr>
              <w:pStyle w:val="12"/>
              <w:spacing w:before="136" w:line="360" w:lineRule="auto"/>
              <w:ind w:left="489"/>
            </w:pPr>
            <w:r>
              <w:rPr>
                <w:color w:val="1F2933"/>
                <w:spacing w:val="3"/>
              </w:rPr>
              <w:t>Use</w:t>
            </w:r>
          </w:p>
        </w:tc>
      </w:tr>
      <w:tr w14:paraId="4689E424">
        <w:trPr>
          <w:trHeight w:val="378" w:hRule="atLeast"/>
        </w:trPr>
        <w:tc>
          <w:tcPr>
            <w:tcW w:w="1484" w:type="dxa"/>
            <w:tcBorders>
              <w:top w:val="single" w:color="1F2933" w:sz="4" w:space="0"/>
            </w:tcBorders>
            <w:vAlign w:val="top"/>
          </w:tcPr>
          <w:p w14:paraId="3C37AE3A">
            <w:pPr>
              <w:pStyle w:val="12"/>
              <w:spacing w:before="132" w:line="360" w:lineRule="auto"/>
              <w:ind w:left="103"/>
            </w:pPr>
            <w:r>
              <w:rPr>
                <w:color w:val="1F2933"/>
                <w:spacing w:val="3"/>
              </w:rPr>
              <w:t>R</w:t>
            </w:r>
          </w:p>
        </w:tc>
        <w:tc>
          <w:tcPr>
            <w:tcW w:w="1594" w:type="dxa"/>
            <w:tcBorders>
              <w:top w:val="single" w:color="1F2933" w:sz="4" w:space="0"/>
            </w:tcBorders>
            <w:vAlign w:val="top"/>
          </w:tcPr>
          <w:p w14:paraId="5FA09BD3">
            <w:pPr>
              <w:pStyle w:val="12"/>
              <w:spacing w:before="129" w:line="360" w:lineRule="auto"/>
              <w:ind w:left="442"/>
            </w:pPr>
            <w:r>
              <w:rPr>
                <w:color w:val="1F2933"/>
                <w:spacing w:val="2"/>
              </w:rPr>
              <w:t>4.5.2</w:t>
            </w:r>
          </w:p>
        </w:tc>
        <w:tc>
          <w:tcPr>
            <w:tcW w:w="5642" w:type="dxa"/>
            <w:tcBorders>
              <w:top w:val="single" w:color="1F2933" w:sz="4" w:space="0"/>
            </w:tcBorders>
            <w:vAlign w:val="top"/>
          </w:tcPr>
          <w:p w14:paraId="36C46C93">
            <w:pPr>
              <w:pStyle w:val="12"/>
              <w:spacing w:before="126" w:line="360" w:lineRule="auto"/>
              <w:ind w:left="490"/>
            </w:pPr>
            <w:r>
              <w:rPr>
                <w:color w:val="1F2933"/>
                <w:spacing w:val="3"/>
              </w:rPr>
              <w:t>Analysis environment</w:t>
            </w:r>
          </w:p>
        </w:tc>
      </w:tr>
      <w:tr w14:paraId="24B35BA4">
        <w:trPr>
          <w:trHeight w:val="560" w:hRule="atLeast"/>
        </w:trPr>
        <w:tc>
          <w:tcPr>
            <w:tcW w:w="1484" w:type="dxa"/>
            <w:vAlign w:val="top"/>
          </w:tcPr>
          <w:p w14:paraId="627B37AE">
            <w:pPr>
              <w:pStyle w:val="12"/>
              <w:spacing w:before="66" w:line="360" w:lineRule="auto"/>
              <w:ind w:left="113"/>
            </w:pPr>
            <w:r>
              <w:rPr>
                <w:color w:val="1F2933"/>
                <w:spacing w:val="1"/>
              </w:rPr>
              <w:t>Seurat</w:t>
            </w:r>
          </w:p>
        </w:tc>
        <w:tc>
          <w:tcPr>
            <w:tcW w:w="1594" w:type="dxa"/>
            <w:vAlign w:val="top"/>
          </w:tcPr>
          <w:p w14:paraId="48176F53">
            <w:pPr>
              <w:pStyle w:val="12"/>
              <w:spacing w:before="66" w:line="360" w:lineRule="auto"/>
              <w:ind w:left="449"/>
            </w:pPr>
            <w:r>
              <w:rPr>
                <w:color w:val="1F2933"/>
                <w:spacing w:val="1"/>
              </w:rPr>
              <w:t>5.4.0</w:t>
            </w:r>
          </w:p>
        </w:tc>
        <w:tc>
          <w:tcPr>
            <w:tcW w:w="5642" w:type="dxa"/>
            <w:vAlign w:val="top"/>
          </w:tcPr>
          <w:p w14:paraId="3D2729EB">
            <w:pPr>
              <w:pStyle w:val="12"/>
              <w:spacing w:before="63" w:line="360" w:lineRule="auto"/>
              <w:ind w:left="489" w:right="97" w:firstLine="12"/>
            </w:pPr>
            <w:r>
              <w:rPr>
                <w:color w:val="1F2933"/>
              </w:rPr>
              <w:t>Single</w:t>
            </w:r>
            <w:r>
              <w:rPr>
                <w:color w:val="1F2933"/>
                <w:spacing w:val="16"/>
              </w:rPr>
              <w:t>-</w:t>
            </w:r>
            <w:r>
              <w:rPr>
                <w:color w:val="1F2933"/>
              </w:rPr>
              <w:t>cell</w:t>
            </w:r>
            <w:r>
              <w:rPr>
                <w:color w:val="1F2933"/>
                <w:spacing w:val="22"/>
              </w:rPr>
              <w:t xml:space="preserve">  </w:t>
            </w:r>
            <w:r>
              <w:rPr>
                <w:color w:val="1F2933"/>
              </w:rPr>
              <w:t>object</w:t>
            </w:r>
            <w:r>
              <w:rPr>
                <w:color w:val="1F2933"/>
                <w:spacing w:val="18"/>
                <w:w w:val="101"/>
              </w:rPr>
              <w:t xml:space="preserve">  </w:t>
            </w:r>
            <w:r>
              <w:rPr>
                <w:color w:val="1F2933"/>
              </w:rPr>
              <w:t>handling</w:t>
            </w:r>
            <w:r>
              <w:rPr>
                <w:color w:val="1F2933"/>
                <w:spacing w:val="16"/>
              </w:rPr>
              <w:t xml:space="preserve">,   </w:t>
            </w:r>
            <w:r>
              <w:rPr>
                <w:color w:val="1F2933"/>
              </w:rPr>
              <w:t>normalization</w:t>
            </w:r>
            <w:r>
              <w:rPr>
                <w:color w:val="1F2933"/>
                <w:spacing w:val="16"/>
              </w:rPr>
              <w:t xml:space="preserve">,   </w:t>
            </w:r>
            <w:r>
              <w:rPr>
                <w:color w:val="1F2933"/>
              </w:rPr>
              <w:t>PCA</w:t>
            </w:r>
            <w:r>
              <w:rPr>
                <w:color w:val="1F2933"/>
                <w:spacing w:val="22"/>
              </w:rPr>
              <w:t xml:space="preserve">  </w:t>
            </w:r>
            <w:r>
              <w:rPr>
                <w:color w:val="1F2933"/>
              </w:rPr>
              <w:t xml:space="preserve">and </w:t>
            </w:r>
            <w:r>
              <w:rPr>
                <w:color w:val="1F2933"/>
                <w:spacing w:val="5"/>
              </w:rPr>
              <w:t>UMAP</w:t>
            </w:r>
          </w:p>
        </w:tc>
      </w:tr>
      <w:tr w14:paraId="30B7FDB0">
        <w:trPr>
          <w:trHeight w:val="603" w:hRule="atLeast"/>
        </w:trPr>
        <w:tc>
          <w:tcPr>
            <w:tcW w:w="1484" w:type="dxa"/>
            <w:vAlign w:val="top"/>
          </w:tcPr>
          <w:p w14:paraId="47CE4B10">
            <w:pPr>
              <w:pStyle w:val="12"/>
              <w:spacing w:before="87" w:line="360" w:lineRule="auto"/>
              <w:ind w:left="103"/>
            </w:pPr>
            <w:r>
              <w:rPr>
                <w:color w:val="1F2933"/>
                <w:spacing w:val="3"/>
              </w:rPr>
              <w:t>BioTIP</w:t>
            </w:r>
          </w:p>
        </w:tc>
        <w:tc>
          <w:tcPr>
            <w:tcW w:w="1594" w:type="dxa"/>
            <w:vAlign w:val="top"/>
          </w:tcPr>
          <w:p w14:paraId="0CEF1BF2">
            <w:pPr>
              <w:pStyle w:val="12"/>
              <w:spacing w:before="91" w:line="360" w:lineRule="auto"/>
              <w:ind w:left="464"/>
            </w:pPr>
            <w:r>
              <w:rPr>
                <w:color w:val="1F2933"/>
                <w:spacing w:val="-1"/>
              </w:rPr>
              <w:t>1.24.0</w:t>
            </w:r>
          </w:p>
        </w:tc>
        <w:tc>
          <w:tcPr>
            <w:tcW w:w="5642" w:type="dxa"/>
            <w:vAlign w:val="top"/>
          </w:tcPr>
          <w:p w14:paraId="0D7C0917">
            <w:pPr>
              <w:pStyle w:val="12"/>
              <w:spacing w:before="87" w:line="360" w:lineRule="auto"/>
              <w:ind w:left="498" w:right="91" w:hanging="6"/>
            </w:pPr>
            <w:r>
              <w:rPr>
                <w:color w:val="1F2933"/>
                <w:spacing w:val="3"/>
              </w:rPr>
              <w:t>RTF</w:t>
            </w:r>
            <w:r>
              <w:rPr>
                <w:color w:val="1F2933"/>
                <w:spacing w:val="26"/>
              </w:rPr>
              <w:t xml:space="preserve"> </w:t>
            </w:r>
            <w:r>
              <w:rPr>
                <w:color w:val="1F2933"/>
                <w:spacing w:val="3"/>
              </w:rPr>
              <w:t>pre-selection,</w:t>
            </w:r>
            <w:r>
              <w:rPr>
                <w:color w:val="1F2933"/>
                <w:spacing w:val="33"/>
                <w:w w:val="101"/>
              </w:rPr>
              <w:t xml:space="preserve"> </w:t>
            </w:r>
            <w:r>
              <w:rPr>
                <w:color w:val="1F2933"/>
                <w:spacing w:val="3"/>
              </w:rPr>
              <w:t>network</w:t>
            </w:r>
            <w:r>
              <w:rPr>
                <w:color w:val="1F2933"/>
                <w:spacing w:val="25"/>
              </w:rPr>
              <w:t xml:space="preserve"> </w:t>
            </w:r>
            <w:r>
              <w:rPr>
                <w:color w:val="1F2933"/>
                <w:spacing w:val="3"/>
              </w:rPr>
              <w:t>partition,</w:t>
            </w:r>
            <w:r>
              <w:rPr>
                <w:color w:val="1F2933"/>
                <w:spacing w:val="36"/>
              </w:rPr>
              <w:t xml:space="preserve"> </w:t>
            </w:r>
            <w:r>
              <w:rPr>
                <w:color w:val="1F2933"/>
                <w:spacing w:val="3"/>
              </w:rPr>
              <w:t>MCI</w:t>
            </w:r>
            <w:r>
              <w:rPr>
                <w:color w:val="1F2933"/>
                <w:spacing w:val="34"/>
                <w:w w:val="101"/>
              </w:rPr>
              <w:t xml:space="preserve"> </w:t>
            </w:r>
            <w:r>
              <w:rPr>
                <w:color w:val="1F2933"/>
                <w:spacing w:val="3"/>
              </w:rPr>
              <w:t>and</w:t>
            </w:r>
            <w:r>
              <w:rPr>
                <w:color w:val="1F2933"/>
                <w:spacing w:val="31"/>
                <w:w w:val="101"/>
              </w:rPr>
              <w:t xml:space="preserve"> </w:t>
            </w:r>
            <w:r>
              <w:rPr>
                <w:color w:val="1F2933"/>
                <w:spacing w:val="3"/>
              </w:rPr>
              <w:t>Ic</w:t>
            </w:r>
            <w:r>
              <w:rPr>
                <w:color w:val="1F2933"/>
                <w:spacing w:val="2"/>
              </w:rPr>
              <w:t>.shrink</w:t>
            </w:r>
            <w:r>
              <w:rPr>
                <w:color w:val="1F2933"/>
              </w:rPr>
              <w:t xml:space="preserve"> </w:t>
            </w:r>
            <w:r>
              <w:rPr>
                <w:color w:val="1F2933"/>
                <w:spacing w:val="1"/>
              </w:rPr>
              <w:t>scoring</w:t>
            </w:r>
          </w:p>
        </w:tc>
      </w:tr>
      <w:tr w14:paraId="3CDA045E">
        <w:trPr>
          <w:trHeight w:val="357" w:hRule="atLeast"/>
        </w:trPr>
        <w:tc>
          <w:tcPr>
            <w:tcW w:w="1484" w:type="dxa"/>
            <w:tcBorders>
              <w:bottom w:val="single" w:color="1F2933" w:sz="6" w:space="0"/>
            </w:tcBorders>
            <w:vAlign w:val="top"/>
          </w:tcPr>
          <w:p w14:paraId="4E77A17D">
            <w:pPr>
              <w:pStyle w:val="12"/>
              <w:spacing w:before="73" w:line="360" w:lineRule="auto"/>
              <w:ind w:left="107"/>
            </w:pPr>
            <w:r>
              <w:rPr>
                <w:color w:val="1F2933"/>
                <w:spacing w:val="3"/>
              </w:rPr>
              <w:t>GEOquery</w:t>
            </w:r>
          </w:p>
        </w:tc>
        <w:tc>
          <w:tcPr>
            <w:tcW w:w="1594" w:type="dxa"/>
            <w:tcBorders>
              <w:bottom w:val="single" w:color="1F2933" w:sz="6" w:space="0"/>
            </w:tcBorders>
            <w:vAlign w:val="top"/>
          </w:tcPr>
          <w:p w14:paraId="25960CD0">
            <w:pPr>
              <w:pStyle w:val="12"/>
              <w:spacing w:before="73" w:line="360" w:lineRule="auto"/>
              <w:ind w:left="444"/>
            </w:pPr>
            <w:r>
              <w:rPr>
                <w:color w:val="1F2933"/>
                <w:spacing w:val="2"/>
              </w:rPr>
              <w:t>2.78.0</w:t>
            </w:r>
          </w:p>
        </w:tc>
        <w:tc>
          <w:tcPr>
            <w:tcW w:w="5642" w:type="dxa"/>
            <w:tcBorders>
              <w:bottom w:val="single" w:color="1F2933" w:sz="6" w:space="0"/>
            </w:tcBorders>
            <w:vAlign w:val="top"/>
          </w:tcPr>
          <w:p w14:paraId="36A9E644">
            <w:pPr>
              <w:pStyle w:val="12"/>
              <w:spacing w:before="70" w:line="360" w:lineRule="auto"/>
              <w:ind w:left="496"/>
            </w:pPr>
            <w:r>
              <w:rPr>
                <w:color w:val="1F2933"/>
                <w:spacing w:val="3"/>
              </w:rPr>
              <w:t>GEO metadata and supplementary-file retrieval</w:t>
            </w:r>
          </w:p>
        </w:tc>
      </w:tr>
    </w:tbl>
    <w:p w14:paraId="77753334">
      <w:pPr>
        <w:spacing w:before="66" w:line="360" w:lineRule="auto"/>
        <w:ind w:left="15"/>
        <w:outlineLvl w:val="0"/>
        <w:rPr>
          <w:rFonts w:ascii="Arial" w:hAnsi="Arial" w:eastAsia="Arial" w:cs="Arial"/>
          <w:b/>
          <w:bCs/>
          <w:color w:val="1F2933"/>
          <w:spacing w:val="11"/>
          <w:sz w:val="23"/>
          <w:szCs w:val="23"/>
        </w:rPr>
      </w:pPr>
    </w:p>
    <w:p w14:paraId="2C9848E8">
      <w:pPr>
        <w:spacing w:before="66" w:line="360" w:lineRule="auto"/>
        <w:ind w:left="15"/>
        <w:outlineLvl w:val="0"/>
        <w:rPr>
          <w:rFonts w:ascii="Arial"/>
          <w:sz w:val="28"/>
          <w:szCs w:val="28"/>
        </w:rPr>
      </w:pPr>
      <w:r>
        <w:rPr>
          <w:rFonts w:ascii="Arial" w:hAnsi="Arial" w:eastAsia="Arial" w:cs="Arial"/>
          <w:b/>
          <w:bCs/>
          <w:color w:val="1F2933"/>
          <w:spacing w:val="11"/>
          <w:sz w:val="28"/>
          <w:szCs w:val="28"/>
        </w:rPr>
        <w:t>3</w:t>
      </w:r>
      <w:r>
        <w:rPr>
          <w:rFonts w:hint="eastAsia" w:eastAsia="宋体" w:cs="Arial"/>
          <w:b/>
          <w:bCs/>
          <w:color w:val="1F2933"/>
          <w:spacing w:val="11"/>
          <w:sz w:val="28"/>
          <w:szCs w:val="28"/>
          <w:lang w:val="en-US" w:eastAsia="zh-CN"/>
        </w:rPr>
        <w:t xml:space="preserve"> </w:t>
      </w:r>
      <w:r>
        <w:rPr>
          <w:rFonts w:ascii="Arial" w:hAnsi="Arial" w:eastAsia="Arial" w:cs="Arial"/>
          <w:b/>
          <w:bCs/>
          <w:color w:val="1F2933"/>
          <w:sz w:val="28"/>
          <w:szCs w:val="28"/>
        </w:rPr>
        <w:t>Results</w:t>
      </w:r>
    </w:p>
    <w:p w14:paraId="074D791A">
      <w:pPr>
        <w:spacing w:before="61" w:line="360" w:lineRule="auto"/>
        <w:ind w:left="14"/>
        <w:outlineLvl w:val="1"/>
        <w:rPr>
          <w:rFonts w:hint="default"/>
          <w:color w:val="1F2933"/>
          <w:sz w:val="24"/>
          <w:szCs w:val="24"/>
          <w:lang w:val="en-US" w:eastAsia="zh-CN"/>
        </w:rPr>
      </w:pPr>
      <w:r>
        <w:rPr>
          <w:rFonts w:ascii="Arial" w:hAnsi="Arial" w:eastAsia="Arial" w:cs="Arial"/>
          <w:b/>
          <w:bCs/>
          <w:color w:val="1F2933"/>
          <w:spacing w:val="13"/>
          <w:sz w:val="24"/>
          <w:szCs w:val="24"/>
        </w:rPr>
        <w:t xml:space="preserve">3.1  </w:t>
      </w:r>
      <w:r>
        <w:rPr>
          <w:rFonts w:ascii="Arial" w:hAnsi="Arial" w:eastAsia="Arial" w:cs="Arial"/>
          <w:b/>
          <w:bCs/>
          <w:color w:val="1F2933"/>
          <w:sz w:val="24"/>
          <w:szCs w:val="24"/>
        </w:rPr>
        <w:t>BioTIP</w:t>
      </w:r>
      <w:r>
        <w:rPr>
          <w:rFonts w:ascii="Arial" w:hAnsi="Arial" w:eastAsia="Arial" w:cs="Arial"/>
          <w:b/>
          <w:bCs/>
          <w:color w:val="1F2933"/>
          <w:spacing w:val="13"/>
          <w:sz w:val="24"/>
          <w:szCs w:val="24"/>
        </w:rPr>
        <w:t xml:space="preserve"> </w:t>
      </w:r>
      <w:r>
        <w:rPr>
          <w:rFonts w:hint="default" w:cs="Arial"/>
          <w:b/>
          <w:bCs/>
          <w:color w:val="1F2933"/>
          <w:spacing w:val="13"/>
          <w:sz w:val="24"/>
          <w:szCs w:val="24"/>
          <w:lang w:val="en-US"/>
        </w:rPr>
        <w:t xml:space="preserve">successful </w:t>
      </w:r>
      <w:r>
        <w:rPr>
          <w:rFonts w:ascii="Arial" w:hAnsi="Arial" w:eastAsia="Arial" w:cs="Arial"/>
          <w:b/>
          <w:bCs/>
          <w:color w:val="1F2933"/>
          <w:sz w:val="24"/>
          <w:szCs w:val="24"/>
        </w:rPr>
        <w:t>case</w:t>
      </w:r>
      <w:r>
        <w:rPr>
          <w:rFonts w:hint="default" w:cs="Arial"/>
          <w:b/>
          <w:bCs/>
          <w:color w:val="1F2933"/>
          <w:sz w:val="24"/>
          <w:szCs w:val="24"/>
          <w:lang w:val="en-US"/>
        </w:rPr>
        <w:t xml:space="preserve"> </w:t>
      </w:r>
      <w:r>
        <w:rPr>
          <w:rFonts w:ascii="Arial" w:hAnsi="Arial" w:eastAsia="Arial" w:cs="Arial"/>
          <w:b/>
          <w:bCs/>
          <w:color w:val="1F2933"/>
          <w:sz w:val="24"/>
          <w:szCs w:val="24"/>
        </w:rPr>
        <w:t>study</w:t>
      </w:r>
      <w:r>
        <w:rPr>
          <w:rFonts w:hint="default" w:cs="Arial"/>
          <w:b/>
          <w:bCs/>
          <w:color w:val="1F2933"/>
          <w:sz w:val="24"/>
          <w:szCs w:val="24"/>
          <w:lang w:val="en-US"/>
        </w:rPr>
        <w:t xml:space="preserve"> (GSE87038)</w:t>
      </w:r>
    </w:p>
    <w:p w14:paraId="454006E3">
      <w:pPr>
        <w:pStyle w:val="4"/>
        <w:spacing w:before="61" w:line="360" w:lineRule="auto"/>
        <w:ind w:left="2" w:firstLine="3"/>
        <w:jc w:val="both"/>
        <w:rPr>
          <w:color w:val="1F2933"/>
          <w:spacing w:val="3"/>
          <w:sz w:val="21"/>
          <w:szCs w:val="21"/>
        </w:rPr>
      </w:pPr>
      <w:r>
        <w:rPr>
          <w:color w:val="1F2933"/>
          <w:spacing w:val="3"/>
          <w:sz w:val="21"/>
          <w:szCs w:val="21"/>
        </w:rPr>
        <w:t>BioTIP was first applied to the published gastrulation dataset to confirm that the pipeline detects transition-like signals in a system with known developmental branching. After clustering E8.25 mesodermal cells, MCI scores highlighted modules in several clusters exceeding the conventional threshold (MCI &gt; 2; Figure 1). For the top CTS module (cluster 8; 51 genes), Ic.shrink peaked at the corresponding cluster and permutation testing (50 simulations) supported significance (p &lt; 0.01; Figure 2).</w:t>
      </w:r>
    </w:p>
    <w:p w14:paraId="5B630A84">
      <w:pPr>
        <w:pStyle w:val="4"/>
        <w:spacing w:before="61" w:line="360" w:lineRule="auto"/>
        <w:ind w:left="2" w:firstLine="3"/>
        <w:jc w:val="both"/>
        <w:rPr>
          <w:color w:val="1F2933"/>
          <w:spacing w:val="3"/>
          <w:sz w:val="21"/>
          <w:szCs w:val="21"/>
        </w:rPr>
      </w:pPr>
      <w:r>
        <w:rPr>
          <w:color w:val="1F2933"/>
          <w:spacing w:val="3"/>
          <w:sz w:val="21"/>
          <w:szCs w:val="21"/>
        </w:rPr>
        <w:drawing>
          <wp:inline distT="0" distB="0" distL="114300" distR="114300">
            <wp:extent cx="5758815" cy="2086610"/>
            <wp:effectExtent l="0" t="0" r="6985" b="21590"/>
            <wp:docPr id="1" name="图片 1" descr="截屏2026-05-26 05.3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6-05-26 05.31.23"/>
                    <pic:cNvPicPr>
                      <a:picLocks noChangeAspect="1"/>
                    </pic:cNvPicPr>
                  </pic:nvPicPr>
                  <pic:blipFill>
                    <a:blip r:embed="rId9"/>
                    <a:stretch>
                      <a:fillRect/>
                    </a:stretch>
                  </pic:blipFill>
                  <pic:spPr>
                    <a:xfrm>
                      <a:off x="0" y="0"/>
                      <a:ext cx="5758815" cy="2086610"/>
                    </a:xfrm>
                    <a:prstGeom prst="rect">
                      <a:avLst/>
                    </a:prstGeom>
                  </pic:spPr>
                </pic:pic>
              </a:graphicData>
            </a:graphic>
          </wp:inline>
        </w:drawing>
      </w:r>
      <w:r>
        <w:rPr>
          <w:color w:val="1F2933"/>
          <w:spacing w:val="3"/>
          <w:sz w:val="21"/>
          <w:szCs w:val="21"/>
        </w:rPr>
        <w:br w:type="textWrapping"/>
      </w:r>
      <w:r>
        <w:rPr>
          <w:color w:val="1F2933"/>
          <w:spacing w:val="3"/>
          <w:sz w:val="21"/>
          <w:szCs w:val="21"/>
        </w:rPr>
        <w:t>Figure 1. MCI scores per cluster in the GSE87038 gastrulation case study (E8.25 mesoderm). Dashed line: MCI = 2.</w:t>
      </w:r>
    </w:p>
    <w:p w14:paraId="60C76BF9">
      <w:pPr>
        <w:pStyle w:val="4"/>
        <w:spacing w:before="61" w:line="360" w:lineRule="auto"/>
        <w:jc w:val="both"/>
        <w:rPr>
          <w:color w:val="1F2933"/>
          <w:spacing w:val="3"/>
          <w:sz w:val="21"/>
          <w:szCs w:val="21"/>
        </w:rPr>
      </w:pPr>
      <w:r>
        <w:rPr>
          <w:color w:val="1F2933"/>
          <w:spacing w:val="3"/>
          <w:sz w:val="21"/>
          <w:szCs w:val="21"/>
        </w:rPr>
        <w:drawing>
          <wp:inline distT="0" distB="0" distL="114300" distR="114300">
            <wp:extent cx="5755005" cy="1469390"/>
            <wp:effectExtent l="0" t="0" r="10795" b="3810"/>
            <wp:docPr id="3" name="图片 3" descr="截屏2026-05-26 05.3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6-05-26 05.32.15"/>
                    <pic:cNvPicPr>
                      <a:picLocks noChangeAspect="1"/>
                    </pic:cNvPicPr>
                  </pic:nvPicPr>
                  <pic:blipFill>
                    <a:blip r:embed="rId10"/>
                    <a:stretch>
                      <a:fillRect/>
                    </a:stretch>
                  </pic:blipFill>
                  <pic:spPr>
                    <a:xfrm>
                      <a:off x="0" y="0"/>
                      <a:ext cx="5755005" cy="1469390"/>
                    </a:xfrm>
                    <a:prstGeom prst="rect">
                      <a:avLst/>
                    </a:prstGeom>
                  </pic:spPr>
                </pic:pic>
              </a:graphicData>
            </a:graphic>
          </wp:inline>
        </w:drawing>
      </w:r>
      <w:r>
        <w:rPr>
          <w:color w:val="1F2933"/>
          <w:spacing w:val="3"/>
          <w:sz w:val="21"/>
          <w:szCs w:val="21"/>
        </w:rPr>
        <w:br w:type="textWrapping"/>
      </w:r>
      <w:r>
        <w:rPr>
          <w:color w:val="1F2933"/>
          <w:spacing w:val="3"/>
          <w:sz w:val="21"/>
          <w:szCs w:val="21"/>
        </w:rPr>
        <w:t>Figure 2. Ic.shrink trajectory and permutation null for the top gastrulation CTS module (cluster 8).</w:t>
      </w:r>
    </w:p>
    <w:p w14:paraId="6FE44B3B">
      <w:pPr>
        <w:pStyle w:val="4"/>
        <w:spacing w:before="61" w:line="360" w:lineRule="auto"/>
        <w:ind w:left="2" w:firstLine="3"/>
        <w:jc w:val="both"/>
        <w:rPr>
          <w:color w:val="1F2933"/>
          <w:spacing w:val="3"/>
          <w:sz w:val="21"/>
          <w:szCs w:val="21"/>
        </w:rPr>
      </w:pPr>
    </w:p>
    <w:p w14:paraId="0E56009A">
      <w:pPr>
        <w:spacing w:before="61" w:line="360" w:lineRule="auto"/>
        <w:outlineLvl w:val="1"/>
        <w:rPr>
          <w:rFonts w:hint="default"/>
          <w:color w:val="1F2933"/>
          <w:sz w:val="21"/>
          <w:szCs w:val="21"/>
          <w:lang w:val="en-US" w:eastAsia="zh-CN"/>
        </w:rPr>
        <w:sectPr>
          <w:footerReference r:id="rId5" w:type="default"/>
          <w:pgSz w:w="11906" w:h="16838"/>
          <w:pgMar w:top="1431" w:right="1400" w:bottom="991" w:left="1433" w:header="0" w:footer="796" w:gutter="0"/>
          <w:cols w:space="720" w:num="1"/>
        </w:sectPr>
      </w:pPr>
    </w:p>
    <w:p w14:paraId="414AB374">
      <w:pPr>
        <w:spacing w:before="61" w:line="360" w:lineRule="auto"/>
        <w:ind w:left="14"/>
        <w:outlineLvl w:val="1"/>
        <w:rPr>
          <w:rFonts w:ascii="Arial"/>
          <w:sz w:val="21"/>
        </w:rPr>
      </w:pPr>
      <w:r>
        <w:rPr>
          <w:rFonts w:hint="default" w:cs="Arial"/>
          <w:b/>
          <w:bCs/>
          <w:color w:val="1F2933"/>
          <w:sz w:val="24"/>
          <w:szCs w:val="24"/>
          <w:lang w:val="en-US"/>
        </w:rPr>
        <w:t>3.2 Dat</w:t>
      </w:r>
      <w:bookmarkStart w:id="0" w:name="_GoBack"/>
      <w:r>
        <w:rPr>
          <w:rFonts w:hint="default" w:cs="Arial"/>
          <w:b/>
          <w:bCs/>
          <w:color w:val="1F2933"/>
          <w:sz w:val="24"/>
          <w:szCs w:val="24"/>
          <w:lang w:val="en-US"/>
        </w:rPr>
        <w:t>aset paper and biological context</w:t>
      </w:r>
      <w:bookmarkEnd w:id="0"/>
    </w:p>
    <w:p w14:paraId="495EC889">
      <w:pPr>
        <w:pStyle w:val="4"/>
        <w:spacing w:before="61" w:line="360" w:lineRule="auto"/>
        <w:ind w:left="2" w:firstLine="3"/>
        <w:jc w:val="both"/>
        <w:rPr>
          <w:color w:val="1F2933"/>
          <w:spacing w:val="3"/>
          <w:sz w:val="21"/>
          <w:szCs w:val="21"/>
        </w:rPr>
      </w:pPr>
      <w:r>
        <w:rPr>
          <w:color w:val="1F2933"/>
          <w:spacing w:val="3"/>
          <w:sz w:val="21"/>
          <w:szCs w:val="21"/>
        </w:rPr>
        <w:t>Following injury, the retained cells spanned homeostatic control and multiple post-injury time points, with enrichment of activated AT2 and Krt8+ ADI cells during early repair. Activated AT2 cells were especially abundant around days 3–5, while Krt8+ ADI cells became more prominent from approximately day 7 onward. AT1 cells were present at lower abundance but increased after the earliest injury phase. This pattern is consistent with a repair trajectory in which AT2 cells first activate and proliferate, then pass through an intermediate differentiation state before contributing to AT1-like epithelium, as described by Strunz et al. (2020).</w:t>
      </w:r>
    </w:p>
    <w:p w14:paraId="2BB40B76">
      <w:pPr>
        <w:pStyle w:val="4"/>
        <w:spacing w:before="61" w:line="360" w:lineRule="auto"/>
        <w:ind w:left="2" w:firstLine="3"/>
        <w:jc w:val="both"/>
        <w:rPr>
          <w:color w:val="1F2933"/>
          <w:spacing w:val="3"/>
          <w:sz w:val="21"/>
          <w:szCs w:val="21"/>
        </w:rPr>
      </w:pPr>
    </w:p>
    <w:p w14:paraId="5FF9E3D5">
      <w:pPr>
        <w:spacing w:before="61" w:line="360" w:lineRule="auto"/>
        <w:ind w:left="14"/>
        <w:outlineLvl w:val="1"/>
        <w:rPr>
          <w:color w:val="1F2933"/>
          <w:sz w:val="24"/>
          <w:szCs w:val="24"/>
        </w:rPr>
      </w:pPr>
      <w:r>
        <w:rPr>
          <w:rFonts w:hint="default" w:cs="Arial"/>
          <w:b/>
          <w:bCs/>
          <w:color w:val="1F2933"/>
          <w:sz w:val="24"/>
          <w:szCs w:val="24"/>
          <w:lang w:val="en-US" w:eastAsia="zh-CN"/>
        </w:rPr>
        <w:t>3.3 Quality control and visualization</w:t>
      </w:r>
      <w:r>
        <w:rPr>
          <w:rFonts w:hint="eastAsia" w:cs="Arial"/>
          <w:b/>
          <w:bCs/>
          <w:color w:val="1F2933"/>
          <w:sz w:val="24"/>
          <w:szCs w:val="24"/>
          <w:lang w:val="en-US" w:eastAsia="zh-CN"/>
        </w:rPr>
        <w:t xml:space="preserve"> (GSE141259)</w:t>
      </w:r>
    </w:p>
    <w:p w14:paraId="0B99B0BA">
      <w:pPr>
        <w:pStyle w:val="4"/>
        <w:spacing w:before="61" w:line="360" w:lineRule="auto"/>
        <w:ind w:right="1" w:firstLine="5"/>
        <w:jc w:val="both"/>
        <w:rPr>
          <w:rFonts w:hint="eastAsia"/>
          <w:color w:val="1F2933"/>
          <w:spacing w:val="10"/>
          <w:sz w:val="21"/>
          <w:szCs w:val="21"/>
          <w:lang w:eastAsia="zh-CN"/>
        </w:rPr>
      </w:pPr>
      <w:r>
        <w:rPr>
          <w:rFonts w:hint="eastAsia"/>
          <w:color w:val="1F2933"/>
          <w:spacing w:val="10"/>
          <w:sz w:val="21"/>
          <w:szCs w:val="21"/>
          <w:lang w:eastAsia="zh-CN"/>
        </w:rPr>
        <w:t>PCA and UMAP on the retained 10,381 cells showed partial separation of cell types, with Krt8+ ADI and activated AT2 occupying intermediate regions between AT2 and AT1 clusters (Figures 3–4). This layout is consistent with a continuous injury response rather than discrete, fully separated cell types. Stacked counts across time points demonstrated dynamic shifts in the proportion of activated AT2 and Krt8+ ADI cells during early and mid repair (Figure 5).</w:t>
      </w:r>
    </w:p>
    <w:p w14:paraId="0FFC75CA">
      <w:pPr>
        <w:spacing w:line="360" w:lineRule="auto"/>
        <w:rPr>
          <w:sz w:val="21"/>
          <w:szCs w:val="21"/>
        </w:rPr>
      </w:pPr>
      <w:r>
        <w:rPr>
          <w:sz w:val="21"/>
          <w:szCs w:val="21"/>
        </w:rPr>
        <w:drawing>
          <wp:inline distT="0" distB="0" distL="114300" distR="114300">
            <wp:extent cx="5761355" cy="4315460"/>
            <wp:effectExtent l="0" t="0" r="4445" b="2540"/>
            <wp:docPr id="5" name="图片 5" descr="截屏2026-05-26 05.4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6-05-26 05.43.39"/>
                    <pic:cNvPicPr>
                      <a:picLocks noChangeAspect="1"/>
                    </pic:cNvPicPr>
                  </pic:nvPicPr>
                  <pic:blipFill>
                    <a:blip r:embed="rId11"/>
                    <a:stretch>
                      <a:fillRect/>
                    </a:stretch>
                  </pic:blipFill>
                  <pic:spPr>
                    <a:xfrm>
                      <a:off x="0" y="0"/>
                      <a:ext cx="5761355" cy="4315460"/>
                    </a:xfrm>
                    <a:prstGeom prst="rect">
                      <a:avLst/>
                    </a:prstGeom>
                  </pic:spPr>
                </pic:pic>
              </a:graphicData>
            </a:graphic>
          </wp:inline>
        </w:drawing>
      </w:r>
      <w:r>
        <w:rPr>
          <w:sz w:val="21"/>
          <w:szCs w:val="21"/>
        </w:rPr>
        <w:br w:type="textWrapping"/>
      </w:r>
      <w:r>
        <w:rPr>
          <w:sz w:val="21"/>
          <w:szCs w:val="21"/>
        </w:rPr>
        <w:t>Figure 3. UMAP of retained AT2-lineage cells coloured by cell type.</w:t>
      </w:r>
    </w:p>
    <w:p w14:paraId="499CE947">
      <w:pPr>
        <w:spacing w:line="360" w:lineRule="auto"/>
        <w:rPr>
          <w:sz w:val="21"/>
          <w:szCs w:val="21"/>
        </w:rPr>
      </w:pPr>
      <w:r>
        <w:rPr>
          <w:sz w:val="21"/>
          <w:szCs w:val="21"/>
        </w:rPr>
        <w:drawing>
          <wp:inline distT="0" distB="0" distL="114300" distR="114300">
            <wp:extent cx="5761355" cy="4315460"/>
            <wp:effectExtent l="0" t="0" r="4445" b="2540"/>
            <wp:docPr id="7" name="图片 7" descr="截屏2026-05-26 05.4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截屏2026-05-26 05.44.04"/>
                    <pic:cNvPicPr>
                      <a:picLocks noChangeAspect="1"/>
                    </pic:cNvPicPr>
                  </pic:nvPicPr>
                  <pic:blipFill>
                    <a:blip r:embed="rId12"/>
                    <a:stretch>
                      <a:fillRect/>
                    </a:stretch>
                  </pic:blipFill>
                  <pic:spPr>
                    <a:xfrm>
                      <a:off x="0" y="0"/>
                      <a:ext cx="5761355" cy="4315460"/>
                    </a:xfrm>
                    <a:prstGeom prst="rect">
                      <a:avLst/>
                    </a:prstGeom>
                  </pic:spPr>
                </pic:pic>
              </a:graphicData>
            </a:graphic>
          </wp:inline>
        </w:drawing>
      </w:r>
      <w:r>
        <w:rPr>
          <w:sz w:val="21"/>
          <w:szCs w:val="21"/>
        </w:rPr>
        <w:br w:type="textWrapping"/>
      </w:r>
      <w:r>
        <w:rPr>
          <w:sz w:val="21"/>
          <w:szCs w:val="21"/>
        </w:rPr>
        <w:t>Figure 4. UMAP coloured by sampling time point.</w:t>
      </w:r>
    </w:p>
    <w:p w14:paraId="534E443B">
      <w:pPr>
        <w:spacing w:line="360" w:lineRule="auto"/>
        <w:rPr>
          <w:sz w:val="21"/>
          <w:szCs w:val="21"/>
        </w:rPr>
      </w:pPr>
      <w:r>
        <w:rPr>
          <w:sz w:val="21"/>
          <w:szCs w:val="21"/>
        </w:rPr>
        <w:drawing>
          <wp:inline distT="0" distB="0" distL="114300" distR="114300">
            <wp:extent cx="5760720" cy="3378200"/>
            <wp:effectExtent l="0" t="0" r="5080" b="0"/>
            <wp:docPr id="9" name="图片 9" descr="截屏2026-05-26 05.4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截屏2026-05-26 05.44.33"/>
                    <pic:cNvPicPr>
                      <a:picLocks noChangeAspect="1"/>
                    </pic:cNvPicPr>
                  </pic:nvPicPr>
                  <pic:blipFill>
                    <a:blip r:embed="rId13"/>
                    <a:stretch>
                      <a:fillRect/>
                    </a:stretch>
                  </pic:blipFill>
                  <pic:spPr>
                    <a:xfrm>
                      <a:off x="0" y="0"/>
                      <a:ext cx="5760720" cy="3378200"/>
                    </a:xfrm>
                    <a:prstGeom prst="rect">
                      <a:avLst/>
                    </a:prstGeom>
                  </pic:spPr>
                </pic:pic>
              </a:graphicData>
            </a:graphic>
          </wp:inline>
        </w:drawing>
      </w:r>
      <w:r>
        <w:rPr>
          <w:sz w:val="21"/>
          <w:szCs w:val="21"/>
        </w:rPr>
        <w:br w:type="textWrapping"/>
      </w:r>
      <w:r>
        <w:rPr>
          <w:sz w:val="21"/>
          <w:szCs w:val="21"/>
        </w:rPr>
        <w:t>Figure 5. Composition of retained alveolar-lineage cells across sampling states.</w:t>
      </w:r>
    </w:p>
    <w:p w14:paraId="0B0ED30B">
      <w:pPr>
        <w:spacing w:line="360" w:lineRule="auto"/>
        <w:rPr>
          <w:rFonts w:ascii="Arial"/>
          <w:sz w:val="21"/>
        </w:rPr>
      </w:pPr>
    </w:p>
    <w:p w14:paraId="6A1ABAC9">
      <w:pPr>
        <w:spacing w:before="60" w:line="360" w:lineRule="auto"/>
        <w:ind w:left="15"/>
        <w:outlineLvl w:val="1"/>
        <w:rPr>
          <w:rFonts w:ascii="Arial" w:hAnsi="Arial" w:eastAsia="Arial" w:cs="Arial"/>
          <w:b/>
          <w:bCs/>
          <w:color w:val="1F2933"/>
          <w:sz w:val="24"/>
          <w:szCs w:val="24"/>
        </w:rPr>
      </w:pPr>
      <w:r>
        <w:rPr>
          <w:rFonts w:ascii="Arial" w:hAnsi="Arial" w:eastAsia="Arial" w:cs="Arial"/>
          <w:b/>
          <w:bCs/>
          <w:color w:val="1F2933"/>
          <w:sz w:val="24"/>
          <w:szCs w:val="24"/>
        </w:rPr>
        <w:t>3.4 Analysis A — transcript pre-selection</w:t>
      </w:r>
    </w:p>
    <w:p w14:paraId="3662BF2C">
      <w:pPr>
        <w:pStyle w:val="4"/>
        <w:spacing w:before="61" w:line="360" w:lineRule="auto"/>
        <w:ind w:right="10"/>
        <w:jc w:val="both"/>
        <w:rPr>
          <w:color w:val="1F2933"/>
          <w:spacing w:val="13"/>
          <w:sz w:val="21"/>
          <w:szCs w:val="21"/>
        </w:rPr>
      </w:pPr>
      <w:r>
        <w:rPr>
          <w:color w:val="1F2933"/>
          <w:spacing w:val="13"/>
          <w:sz w:val="21"/>
          <w:szCs w:val="21"/>
        </w:rPr>
        <w:t>With time point as the state definition, optimize.sd_selection identified state-specific fluctuating transcript sets for each retained sampling time point under RTF cutoff 0.1. The number of pre-selected genes varied across time points, reflecting differences in transcriptional heterogeneity as injury progressed. Time points with very few cells after lineage filtering (including day 28) were excluded from downstream network construction and CTS scoring.</w:t>
      </w:r>
    </w:p>
    <w:p w14:paraId="1B063365">
      <w:pPr>
        <w:spacing w:line="360" w:lineRule="auto"/>
        <w:rPr>
          <w:sz w:val="21"/>
          <w:szCs w:val="21"/>
        </w:rPr>
      </w:pPr>
    </w:p>
    <w:p w14:paraId="1CF19723">
      <w:pPr>
        <w:keepNext w:val="0"/>
        <w:keepLines w:val="0"/>
        <w:widowControl/>
        <w:suppressLineNumbers w:val="0"/>
        <w:kinsoku w:val="0"/>
        <w:autoSpaceDE w:val="0"/>
        <w:autoSpaceDN w:val="0"/>
        <w:adjustRightInd w:val="0"/>
        <w:snapToGrid w:val="0"/>
        <w:spacing w:before="60" w:beforeAutospacing="0" w:after="0" w:afterAutospacing="0" w:line="360" w:lineRule="auto"/>
        <w:ind w:left="15" w:right="0"/>
        <w:jc w:val="left"/>
        <w:textAlignment w:val="baseline"/>
        <w:outlineLvl w:val="1"/>
        <w:rPr>
          <w:sz w:val="24"/>
          <w:szCs w:val="24"/>
        </w:rPr>
      </w:pPr>
      <w:r>
        <w:rPr>
          <w:rFonts w:hint="default" w:ascii="Arial" w:hAnsi="Arial" w:eastAsia="Arial" w:cs="Arial"/>
          <w:b/>
          <w:bCs/>
          <w:snapToGrid w:val="0"/>
          <w:color w:val="000000"/>
          <w:kern w:val="0"/>
          <w:sz w:val="24"/>
          <w:szCs w:val="24"/>
          <w:lang w:val="en-US" w:eastAsia="zh-CN" w:bidi="ar"/>
        </w:rPr>
        <w:t>3.5 Analysis A — network partition and MCI scoring</w:t>
      </w:r>
    </w:p>
    <w:p w14:paraId="10E8293A">
      <w:pPr>
        <w:pStyle w:val="4"/>
        <w:spacing w:before="61" w:line="360" w:lineRule="auto"/>
        <w:ind w:left="6" w:right="10" w:hanging="6"/>
        <w:jc w:val="both"/>
        <w:rPr>
          <w:color w:val="1F2933"/>
          <w:spacing w:val="13"/>
          <w:sz w:val="21"/>
          <w:szCs w:val="21"/>
        </w:rPr>
      </w:pPr>
      <w:r>
        <w:rPr>
          <w:color w:val="1F2933"/>
          <w:spacing w:val="13"/>
          <w:sz w:val="21"/>
          <w:szCs w:val="21"/>
        </w:rPr>
        <w:t>For each retained time point, BioTIP constructed a co-expression network on the pre-selected transcripts and partitioned it into modules. MCI scoring highlighted several time points with high-scoring modules, indicating coordinated co-expression consistent with local instability. These modules were forwarded as CTS candidates for Ic-based tipping-point testing (Table 2; Analysis A rows).</w:t>
      </w:r>
    </w:p>
    <w:p w14:paraId="35A64E5C">
      <w:pPr>
        <w:spacing w:line="360" w:lineRule="auto"/>
        <w:rPr>
          <w:sz w:val="21"/>
          <w:szCs w:val="21"/>
        </w:rPr>
      </w:pPr>
    </w:p>
    <w:p w14:paraId="6F2CC1CD">
      <w:pPr>
        <w:spacing w:line="360" w:lineRule="auto"/>
        <w:rPr>
          <w:sz w:val="24"/>
          <w:szCs w:val="24"/>
        </w:rPr>
      </w:pPr>
      <w:r>
        <w:rPr>
          <w:rFonts w:hint="default" w:ascii="Arial Bold" w:hAnsi="Arial Bold" w:cs="Arial Bold"/>
          <w:b/>
          <w:bCs/>
          <w:sz w:val="24"/>
          <w:szCs w:val="24"/>
        </w:rPr>
        <w:t>3.6 Analysis A — tipping point identification (Ic.shrink)</w:t>
      </w:r>
    </w:p>
    <w:p w14:paraId="5C1E6C47">
      <w:pPr>
        <w:pStyle w:val="4"/>
        <w:spacing w:before="61" w:line="360" w:lineRule="auto"/>
        <w:ind w:left="6" w:right="10" w:hanging="6"/>
        <w:jc w:val="both"/>
        <w:rPr>
          <w:color w:val="1F2933"/>
          <w:spacing w:val="13"/>
          <w:sz w:val="21"/>
          <w:szCs w:val="21"/>
        </w:rPr>
      </w:pPr>
      <w:r>
        <w:rPr>
          <w:color w:val="1F2933"/>
          <w:spacing w:val="13"/>
          <w:sz w:val="21"/>
          <w:szCs w:val="21"/>
        </w:rPr>
        <w:t xml:space="preserve">When sampling time point was used as the state definition, BioTIP returned three statistically supported CTS candidates: day 5 (ΔIc.shrink = 1.10, 21 genes, p &lt; 0.01), day 8 (ΔIc.shrink = 0.44, 23 genes, p = 0.01) and day 9 (ΔIc.shrink = 0.55, 30 genes, p &lt; 0.01). For the day 5 module, Ic.shrink was highest at day 5 itself (Figure 6), and permutation testing confirmed significance (Figure 7). </w:t>
      </w:r>
    </w:p>
    <w:p w14:paraId="71495C8B">
      <w:pPr>
        <w:pStyle w:val="4"/>
        <w:spacing w:before="36" w:line="360" w:lineRule="auto"/>
        <w:ind w:left="1264"/>
      </w:pPr>
      <w:r>
        <w:rPr>
          <w:b/>
          <w:bCs/>
          <w:color w:val="1F2933"/>
          <w:spacing w:val="3"/>
        </w:rPr>
        <w:t>Table 3:</w:t>
      </w:r>
      <w:r>
        <w:rPr>
          <w:b/>
          <w:bCs/>
          <w:color w:val="1F2933"/>
          <w:spacing w:val="37"/>
          <w:w w:val="102"/>
        </w:rPr>
        <w:t xml:space="preserve"> </w:t>
      </w:r>
      <w:r>
        <w:rPr>
          <w:color w:val="1F2933"/>
          <w:spacing w:val="3"/>
        </w:rPr>
        <w:t>BioTIP critical-transition signal candidates from the</w:t>
      </w:r>
      <w:r>
        <w:rPr>
          <w:color w:val="1F2933"/>
          <w:spacing w:val="12"/>
        </w:rPr>
        <w:t xml:space="preserve"> </w:t>
      </w:r>
      <w:r>
        <w:rPr>
          <w:color w:val="1F2933"/>
          <w:spacing w:val="3"/>
        </w:rPr>
        <w:t>simplified analysis.</w:t>
      </w:r>
    </w:p>
    <w:tbl>
      <w:tblPr>
        <w:tblStyle w:val="11"/>
        <w:tblW w:w="8423" w:type="dxa"/>
        <w:tblInd w:w="30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54"/>
        <w:gridCol w:w="2099"/>
        <w:gridCol w:w="700"/>
        <w:gridCol w:w="1387"/>
        <w:gridCol w:w="1319"/>
        <w:gridCol w:w="1464"/>
      </w:tblGrid>
      <w:tr w14:paraId="6E045EB6">
        <w:trPr>
          <w:trHeight w:val="381" w:hRule="atLeast"/>
        </w:trPr>
        <w:tc>
          <w:tcPr>
            <w:tcW w:w="1454" w:type="dxa"/>
            <w:tcBorders>
              <w:top w:val="single" w:color="1F2933" w:sz="6" w:space="0"/>
              <w:bottom w:val="single" w:color="1F2933" w:sz="4" w:space="0"/>
            </w:tcBorders>
            <w:vAlign w:val="top"/>
          </w:tcPr>
          <w:p w14:paraId="1BC880E0">
            <w:pPr>
              <w:pStyle w:val="12"/>
              <w:spacing w:before="117" w:line="360" w:lineRule="auto"/>
              <w:ind w:left="101"/>
              <w:rPr>
                <w:sz w:val="19"/>
                <w:szCs w:val="19"/>
              </w:rPr>
            </w:pPr>
            <w:r>
              <w:rPr>
                <w:color w:val="1F2933"/>
                <w:spacing w:val="3"/>
                <w:sz w:val="19"/>
                <w:szCs w:val="19"/>
              </w:rPr>
              <w:t>Analysis</w:t>
            </w:r>
          </w:p>
        </w:tc>
        <w:tc>
          <w:tcPr>
            <w:tcW w:w="2099" w:type="dxa"/>
            <w:tcBorders>
              <w:top w:val="single" w:color="1F2933" w:sz="6" w:space="0"/>
              <w:bottom w:val="single" w:color="1F2933" w:sz="4" w:space="0"/>
            </w:tcBorders>
            <w:vAlign w:val="top"/>
          </w:tcPr>
          <w:p w14:paraId="197AA106">
            <w:pPr>
              <w:pStyle w:val="12"/>
              <w:spacing w:before="117" w:line="360" w:lineRule="auto"/>
              <w:ind w:left="296"/>
              <w:rPr>
                <w:sz w:val="19"/>
                <w:szCs w:val="19"/>
              </w:rPr>
            </w:pPr>
            <w:r>
              <w:rPr>
                <w:color w:val="1F2933"/>
                <w:spacing w:val="3"/>
                <w:sz w:val="19"/>
                <w:szCs w:val="19"/>
              </w:rPr>
              <w:t>Candidate</w:t>
            </w:r>
          </w:p>
        </w:tc>
        <w:tc>
          <w:tcPr>
            <w:tcW w:w="700" w:type="dxa"/>
            <w:tcBorders>
              <w:top w:val="single" w:color="1F2933" w:sz="6" w:space="0"/>
              <w:bottom w:val="single" w:color="1F2933" w:sz="4" w:space="0"/>
            </w:tcBorders>
            <w:vAlign w:val="top"/>
          </w:tcPr>
          <w:p w14:paraId="40F30267">
            <w:pPr>
              <w:pStyle w:val="12"/>
              <w:spacing w:before="121" w:line="360" w:lineRule="auto"/>
              <w:ind w:left="111"/>
              <w:rPr>
                <w:sz w:val="19"/>
                <w:szCs w:val="19"/>
              </w:rPr>
            </w:pPr>
            <w:r>
              <w:rPr>
                <w:color w:val="1F2933"/>
                <w:spacing w:val="3"/>
                <w:sz w:val="19"/>
                <w:szCs w:val="19"/>
              </w:rPr>
              <w:t>Genes</w:t>
            </w:r>
          </w:p>
        </w:tc>
        <w:tc>
          <w:tcPr>
            <w:tcW w:w="1387" w:type="dxa"/>
            <w:tcBorders>
              <w:top w:val="single" w:color="1F2933" w:sz="6" w:space="0"/>
              <w:bottom w:val="single" w:color="1F2933" w:sz="4" w:space="0"/>
            </w:tcBorders>
            <w:vAlign w:val="top"/>
          </w:tcPr>
          <w:p w14:paraId="50BCB468">
            <w:pPr>
              <w:pStyle w:val="12"/>
              <w:spacing w:before="117" w:line="360" w:lineRule="auto"/>
              <w:ind w:left="104"/>
              <w:rPr>
                <w:sz w:val="19"/>
                <w:szCs w:val="19"/>
              </w:rPr>
            </w:pPr>
            <w:r>
              <w:rPr>
                <w:color w:val="1F2933"/>
                <w:spacing w:val="3"/>
                <w:sz w:val="19"/>
                <w:szCs w:val="19"/>
              </w:rPr>
              <w:t>Delta Ic.shrink</w:t>
            </w:r>
          </w:p>
        </w:tc>
        <w:tc>
          <w:tcPr>
            <w:tcW w:w="1319" w:type="dxa"/>
            <w:tcBorders>
              <w:top w:val="single" w:color="1F2933" w:sz="6" w:space="0"/>
              <w:bottom w:val="single" w:color="1F2933" w:sz="4" w:space="0"/>
            </w:tcBorders>
            <w:vAlign w:val="top"/>
          </w:tcPr>
          <w:p w14:paraId="22366A6A">
            <w:pPr>
              <w:pStyle w:val="12"/>
              <w:spacing w:before="117" w:line="360" w:lineRule="auto"/>
              <w:ind w:left="101"/>
              <w:rPr>
                <w:sz w:val="19"/>
                <w:szCs w:val="19"/>
              </w:rPr>
            </w:pPr>
            <w:r>
              <w:rPr>
                <w:color w:val="1F2933"/>
                <w:spacing w:val="3"/>
                <w:sz w:val="19"/>
                <w:szCs w:val="19"/>
              </w:rPr>
              <w:t>Permutation p</w:t>
            </w:r>
          </w:p>
        </w:tc>
        <w:tc>
          <w:tcPr>
            <w:tcW w:w="1464" w:type="dxa"/>
            <w:tcBorders>
              <w:top w:val="single" w:color="1F2933" w:sz="6" w:space="0"/>
              <w:bottom w:val="single" w:color="1F2933" w:sz="4" w:space="0"/>
            </w:tcBorders>
            <w:vAlign w:val="top"/>
          </w:tcPr>
          <w:p w14:paraId="65E90C0A">
            <w:pPr>
              <w:pStyle w:val="12"/>
              <w:spacing w:before="117" w:line="360" w:lineRule="auto"/>
              <w:ind w:left="104"/>
              <w:rPr>
                <w:sz w:val="19"/>
                <w:szCs w:val="19"/>
              </w:rPr>
            </w:pPr>
            <w:r>
              <w:rPr>
                <w:color w:val="1F2933"/>
                <w:spacing w:val="2"/>
                <w:sz w:val="19"/>
                <w:szCs w:val="19"/>
              </w:rPr>
              <w:t>Peak</w:t>
            </w:r>
            <w:r>
              <w:rPr>
                <w:color w:val="1F2933"/>
                <w:spacing w:val="14"/>
                <w:w w:val="102"/>
                <w:sz w:val="19"/>
                <w:szCs w:val="19"/>
              </w:rPr>
              <w:t xml:space="preserve"> </w:t>
            </w:r>
            <w:r>
              <w:rPr>
                <w:color w:val="1F2933"/>
                <w:spacing w:val="2"/>
                <w:sz w:val="19"/>
                <w:szCs w:val="19"/>
              </w:rPr>
              <w:t>state</w:t>
            </w:r>
          </w:p>
        </w:tc>
      </w:tr>
      <w:tr w14:paraId="4D439D68">
        <w:trPr>
          <w:trHeight w:val="338" w:hRule="atLeast"/>
        </w:trPr>
        <w:tc>
          <w:tcPr>
            <w:tcW w:w="1454" w:type="dxa"/>
            <w:tcBorders>
              <w:top w:val="single" w:color="1F2933" w:sz="4" w:space="0"/>
            </w:tcBorders>
            <w:shd w:val="clear"/>
            <w:vAlign w:val="center"/>
          </w:tcPr>
          <w:p w14:paraId="6C4A0942">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spacing w:val="11"/>
                <w:kern w:val="0"/>
                <w:sz w:val="15"/>
                <w:szCs w:val="15"/>
                <w:lang w:val="en-US" w:eastAsia="zh-CN" w:bidi="ar"/>
              </w:rPr>
            </w:pPr>
            <w:r>
              <w:rPr>
                <w:rFonts w:hint="default" w:ascii="Times New Roman" w:hAnsi="Times New Roman" w:cs="Times New Roman"/>
                <w:b w:val="0"/>
                <w:bCs w:val="0"/>
                <w:sz w:val="20"/>
                <w:szCs w:val="16"/>
              </w:rPr>
              <w:t>A: time point</w:t>
            </w:r>
          </w:p>
        </w:tc>
        <w:tc>
          <w:tcPr>
            <w:tcW w:w="2099" w:type="dxa"/>
            <w:tcBorders>
              <w:top w:val="single" w:color="1F2933" w:sz="4" w:space="0"/>
            </w:tcBorders>
            <w:shd w:val="clear"/>
            <w:vAlign w:val="center"/>
          </w:tcPr>
          <w:p w14:paraId="2D82518A">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kern w:val="0"/>
                <w:sz w:val="15"/>
                <w:szCs w:val="15"/>
                <w:lang w:val="en-US" w:eastAsia="zh-CN" w:bidi="ar"/>
              </w:rPr>
            </w:pPr>
            <w:r>
              <w:rPr>
                <w:rFonts w:hint="default" w:ascii="Times New Roman" w:hAnsi="Times New Roman" w:cs="Times New Roman"/>
                <w:b w:val="0"/>
                <w:bCs w:val="0"/>
                <w:sz w:val="20"/>
                <w:szCs w:val="16"/>
              </w:rPr>
              <w:t>day 5</w:t>
            </w:r>
          </w:p>
        </w:tc>
        <w:tc>
          <w:tcPr>
            <w:tcW w:w="700" w:type="dxa"/>
            <w:tcBorders>
              <w:top w:val="single" w:color="1F2933" w:sz="4" w:space="0"/>
            </w:tcBorders>
            <w:shd w:val="clear"/>
            <w:vAlign w:val="center"/>
          </w:tcPr>
          <w:p w14:paraId="047F0805">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spacing w:val="11"/>
                <w:w w:val="114"/>
                <w:kern w:val="0"/>
                <w:sz w:val="15"/>
                <w:szCs w:val="15"/>
                <w:lang w:val="en-US" w:eastAsia="zh-CN" w:bidi="ar"/>
              </w:rPr>
            </w:pPr>
            <w:r>
              <w:rPr>
                <w:rFonts w:hint="default" w:ascii="Times New Roman" w:hAnsi="Times New Roman" w:cs="Times New Roman"/>
                <w:b w:val="0"/>
                <w:bCs w:val="0"/>
                <w:sz w:val="20"/>
                <w:szCs w:val="16"/>
              </w:rPr>
              <w:t>21</w:t>
            </w:r>
          </w:p>
        </w:tc>
        <w:tc>
          <w:tcPr>
            <w:tcW w:w="1387" w:type="dxa"/>
            <w:tcBorders>
              <w:top w:val="single" w:color="1F2933" w:sz="4" w:space="0"/>
            </w:tcBorders>
            <w:shd w:val="clear"/>
            <w:vAlign w:val="center"/>
          </w:tcPr>
          <w:p w14:paraId="054845ED">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spacing w:val="2"/>
                <w:kern w:val="0"/>
                <w:sz w:val="15"/>
                <w:szCs w:val="15"/>
                <w:lang w:val="en-US" w:eastAsia="zh-CN" w:bidi="ar"/>
              </w:rPr>
            </w:pPr>
            <w:r>
              <w:rPr>
                <w:rFonts w:hint="default" w:ascii="Times New Roman" w:hAnsi="Times New Roman" w:cs="Times New Roman"/>
                <w:b w:val="0"/>
                <w:bCs w:val="0"/>
                <w:sz w:val="20"/>
                <w:szCs w:val="16"/>
              </w:rPr>
              <w:t>1.10</w:t>
            </w:r>
          </w:p>
        </w:tc>
        <w:tc>
          <w:tcPr>
            <w:tcW w:w="1319" w:type="dxa"/>
            <w:tcBorders>
              <w:top w:val="single" w:color="1F2933" w:sz="4" w:space="0"/>
            </w:tcBorders>
            <w:shd w:val="clear"/>
            <w:vAlign w:val="center"/>
          </w:tcPr>
          <w:p w14:paraId="3461294D">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spacing w:val="12"/>
                <w:kern w:val="0"/>
                <w:sz w:val="15"/>
                <w:szCs w:val="15"/>
                <w:lang w:val="en-US" w:eastAsia="zh-CN" w:bidi="ar"/>
              </w:rPr>
            </w:pPr>
            <w:r>
              <w:rPr>
                <w:rFonts w:hint="default" w:ascii="Times New Roman" w:hAnsi="Times New Roman" w:cs="Times New Roman"/>
                <w:b w:val="0"/>
                <w:bCs w:val="0"/>
                <w:sz w:val="20"/>
                <w:szCs w:val="16"/>
              </w:rPr>
              <w:t>&lt;0.01</w:t>
            </w:r>
          </w:p>
        </w:tc>
        <w:tc>
          <w:tcPr>
            <w:tcW w:w="1464" w:type="dxa"/>
            <w:tcBorders>
              <w:top w:val="single" w:color="1F2933" w:sz="4" w:space="0"/>
            </w:tcBorders>
            <w:shd w:val="clear"/>
            <w:vAlign w:val="center"/>
          </w:tcPr>
          <w:p w14:paraId="3DB5C415">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kern w:val="0"/>
                <w:sz w:val="15"/>
                <w:szCs w:val="15"/>
                <w:lang w:val="en-US" w:eastAsia="zh-CN" w:bidi="ar"/>
              </w:rPr>
            </w:pPr>
            <w:r>
              <w:rPr>
                <w:rFonts w:hint="default" w:ascii="Times New Roman" w:hAnsi="Times New Roman" w:cs="Times New Roman"/>
                <w:b w:val="0"/>
                <w:bCs w:val="0"/>
                <w:sz w:val="20"/>
                <w:szCs w:val="16"/>
              </w:rPr>
              <w:t>day 5</w:t>
            </w:r>
          </w:p>
        </w:tc>
      </w:tr>
      <w:tr w14:paraId="7E19B916">
        <w:trPr>
          <w:trHeight w:val="275" w:hRule="atLeast"/>
        </w:trPr>
        <w:tc>
          <w:tcPr>
            <w:tcW w:w="1454" w:type="dxa"/>
            <w:shd w:val="clear"/>
            <w:vAlign w:val="center"/>
          </w:tcPr>
          <w:p w14:paraId="37204789">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spacing w:val="11"/>
                <w:kern w:val="0"/>
                <w:sz w:val="15"/>
                <w:szCs w:val="15"/>
                <w:lang w:val="en-US" w:eastAsia="zh-CN" w:bidi="ar"/>
              </w:rPr>
            </w:pPr>
            <w:r>
              <w:rPr>
                <w:rFonts w:hint="default" w:ascii="Times New Roman" w:hAnsi="Times New Roman" w:cs="Times New Roman"/>
                <w:b w:val="0"/>
                <w:bCs w:val="0"/>
                <w:sz w:val="20"/>
                <w:szCs w:val="16"/>
              </w:rPr>
              <w:t>A: time point</w:t>
            </w:r>
          </w:p>
        </w:tc>
        <w:tc>
          <w:tcPr>
            <w:tcW w:w="2099" w:type="dxa"/>
            <w:shd w:val="clear"/>
            <w:vAlign w:val="center"/>
          </w:tcPr>
          <w:p w14:paraId="19F71A37">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kern w:val="0"/>
                <w:sz w:val="15"/>
                <w:szCs w:val="15"/>
                <w:lang w:val="en-US" w:eastAsia="zh-CN" w:bidi="ar"/>
              </w:rPr>
            </w:pPr>
            <w:r>
              <w:rPr>
                <w:rFonts w:hint="default" w:ascii="Times New Roman" w:hAnsi="Times New Roman" w:cs="Times New Roman"/>
                <w:b w:val="0"/>
                <w:bCs w:val="0"/>
                <w:sz w:val="20"/>
                <w:szCs w:val="16"/>
              </w:rPr>
              <w:t>day 8</w:t>
            </w:r>
          </w:p>
        </w:tc>
        <w:tc>
          <w:tcPr>
            <w:tcW w:w="700" w:type="dxa"/>
            <w:shd w:val="clear"/>
            <w:vAlign w:val="center"/>
          </w:tcPr>
          <w:p w14:paraId="00A6BAF3">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spacing w:val="11"/>
                <w:w w:val="114"/>
                <w:kern w:val="0"/>
                <w:sz w:val="15"/>
                <w:szCs w:val="15"/>
                <w:lang w:val="en-US" w:eastAsia="zh-CN" w:bidi="ar"/>
              </w:rPr>
            </w:pPr>
            <w:r>
              <w:rPr>
                <w:rFonts w:hint="default" w:ascii="Times New Roman" w:hAnsi="Times New Roman" w:cs="Times New Roman"/>
                <w:b w:val="0"/>
                <w:bCs w:val="0"/>
                <w:sz w:val="20"/>
                <w:szCs w:val="16"/>
              </w:rPr>
              <w:t>23</w:t>
            </w:r>
          </w:p>
        </w:tc>
        <w:tc>
          <w:tcPr>
            <w:tcW w:w="1387" w:type="dxa"/>
            <w:shd w:val="clear"/>
            <w:vAlign w:val="center"/>
          </w:tcPr>
          <w:p w14:paraId="7F9C7D12">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spacing w:val="2"/>
                <w:kern w:val="0"/>
                <w:sz w:val="15"/>
                <w:szCs w:val="15"/>
                <w:lang w:val="en-US" w:eastAsia="zh-CN" w:bidi="ar"/>
              </w:rPr>
            </w:pPr>
            <w:r>
              <w:rPr>
                <w:rFonts w:hint="default" w:ascii="Times New Roman" w:hAnsi="Times New Roman" w:cs="Times New Roman"/>
                <w:b w:val="0"/>
                <w:bCs w:val="0"/>
                <w:sz w:val="20"/>
                <w:szCs w:val="16"/>
              </w:rPr>
              <w:t>0.44</w:t>
            </w:r>
          </w:p>
        </w:tc>
        <w:tc>
          <w:tcPr>
            <w:tcW w:w="1319" w:type="dxa"/>
            <w:shd w:val="clear"/>
            <w:vAlign w:val="center"/>
          </w:tcPr>
          <w:p w14:paraId="07EB823D">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spacing w:val="12"/>
                <w:kern w:val="0"/>
                <w:sz w:val="15"/>
                <w:szCs w:val="15"/>
                <w:lang w:val="en-US" w:eastAsia="zh-CN" w:bidi="ar"/>
              </w:rPr>
            </w:pPr>
            <w:r>
              <w:rPr>
                <w:rFonts w:hint="default" w:ascii="Times New Roman" w:hAnsi="Times New Roman" w:cs="Times New Roman"/>
                <w:b w:val="0"/>
                <w:bCs w:val="0"/>
                <w:sz w:val="20"/>
                <w:szCs w:val="16"/>
              </w:rPr>
              <w:t>0.01</w:t>
            </w:r>
          </w:p>
        </w:tc>
        <w:tc>
          <w:tcPr>
            <w:tcW w:w="1464" w:type="dxa"/>
            <w:shd w:val="clear"/>
            <w:vAlign w:val="center"/>
          </w:tcPr>
          <w:p w14:paraId="20EA940C">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kern w:val="0"/>
                <w:sz w:val="15"/>
                <w:szCs w:val="15"/>
                <w:lang w:val="en-US" w:eastAsia="zh-CN" w:bidi="ar"/>
              </w:rPr>
            </w:pPr>
            <w:r>
              <w:rPr>
                <w:rFonts w:hint="default" w:ascii="Times New Roman" w:hAnsi="Times New Roman" w:cs="Times New Roman"/>
                <w:b w:val="0"/>
                <w:bCs w:val="0"/>
                <w:sz w:val="20"/>
                <w:szCs w:val="16"/>
              </w:rPr>
              <w:t>day 8</w:t>
            </w:r>
          </w:p>
        </w:tc>
      </w:tr>
      <w:tr w14:paraId="541735C6">
        <w:trPr>
          <w:trHeight w:val="275" w:hRule="atLeast"/>
        </w:trPr>
        <w:tc>
          <w:tcPr>
            <w:tcW w:w="1454" w:type="dxa"/>
            <w:shd w:val="clear"/>
            <w:vAlign w:val="center"/>
          </w:tcPr>
          <w:p w14:paraId="0BDCF48C">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spacing w:val="11"/>
                <w:kern w:val="0"/>
                <w:sz w:val="15"/>
                <w:szCs w:val="15"/>
                <w:lang w:val="en-US" w:eastAsia="zh-CN" w:bidi="ar"/>
              </w:rPr>
            </w:pPr>
            <w:r>
              <w:rPr>
                <w:rFonts w:hint="default" w:ascii="Times New Roman" w:hAnsi="Times New Roman" w:cs="Times New Roman"/>
                <w:b w:val="0"/>
                <w:bCs w:val="0"/>
                <w:sz w:val="20"/>
                <w:szCs w:val="16"/>
              </w:rPr>
              <w:t>A: time point</w:t>
            </w:r>
          </w:p>
        </w:tc>
        <w:tc>
          <w:tcPr>
            <w:tcW w:w="2099" w:type="dxa"/>
            <w:shd w:val="clear"/>
            <w:vAlign w:val="center"/>
          </w:tcPr>
          <w:p w14:paraId="342D693B">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kern w:val="0"/>
                <w:sz w:val="15"/>
                <w:szCs w:val="15"/>
                <w:lang w:val="en-US" w:eastAsia="zh-CN" w:bidi="ar"/>
              </w:rPr>
            </w:pPr>
            <w:r>
              <w:rPr>
                <w:rFonts w:hint="default" w:ascii="Times New Roman" w:hAnsi="Times New Roman" w:cs="Times New Roman"/>
                <w:b w:val="0"/>
                <w:bCs w:val="0"/>
                <w:sz w:val="20"/>
                <w:szCs w:val="16"/>
              </w:rPr>
              <w:t>day 9</w:t>
            </w:r>
          </w:p>
        </w:tc>
        <w:tc>
          <w:tcPr>
            <w:tcW w:w="700" w:type="dxa"/>
            <w:shd w:val="clear"/>
            <w:vAlign w:val="center"/>
          </w:tcPr>
          <w:p w14:paraId="535EF480">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spacing w:val="11"/>
                <w:w w:val="114"/>
                <w:kern w:val="0"/>
                <w:sz w:val="15"/>
                <w:szCs w:val="15"/>
                <w:lang w:val="en-US" w:eastAsia="zh-CN" w:bidi="ar"/>
              </w:rPr>
            </w:pPr>
            <w:r>
              <w:rPr>
                <w:rFonts w:hint="default" w:ascii="Times New Roman" w:hAnsi="Times New Roman" w:cs="Times New Roman"/>
                <w:b w:val="0"/>
                <w:bCs w:val="0"/>
                <w:sz w:val="20"/>
                <w:szCs w:val="16"/>
              </w:rPr>
              <w:t>30</w:t>
            </w:r>
          </w:p>
        </w:tc>
        <w:tc>
          <w:tcPr>
            <w:tcW w:w="1387" w:type="dxa"/>
            <w:shd w:val="clear"/>
            <w:vAlign w:val="center"/>
          </w:tcPr>
          <w:p w14:paraId="4A708E90">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spacing w:val="2"/>
                <w:kern w:val="0"/>
                <w:sz w:val="15"/>
                <w:szCs w:val="15"/>
                <w:lang w:val="en-US" w:eastAsia="zh-CN" w:bidi="ar"/>
              </w:rPr>
            </w:pPr>
            <w:r>
              <w:rPr>
                <w:rFonts w:hint="default" w:ascii="Times New Roman" w:hAnsi="Times New Roman" w:cs="Times New Roman"/>
                <w:b w:val="0"/>
                <w:bCs w:val="0"/>
                <w:sz w:val="20"/>
                <w:szCs w:val="16"/>
              </w:rPr>
              <w:t>0.55</w:t>
            </w:r>
          </w:p>
        </w:tc>
        <w:tc>
          <w:tcPr>
            <w:tcW w:w="1319" w:type="dxa"/>
            <w:shd w:val="clear"/>
            <w:vAlign w:val="center"/>
          </w:tcPr>
          <w:p w14:paraId="0AA247B7">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spacing w:val="12"/>
                <w:kern w:val="0"/>
                <w:sz w:val="15"/>
                <w:szCs w:val="15"/>
                <w:lang w:val="en-US" w:eastAsia="zh-CN" w:bidi="ar"/>
              </w:rPr>
            </w:pPr>
            <w:r>
              <w:rPr>
                <w:rFonts w:hint="default" w:ascii="Times New Roman" w:hAnsi="Times New Roman" w:cs="Times New Roman"/>
                <w:b w:val="0"/>
                <w:bCs w:val="0"/>
                <w:sz w:val="20"/>
                <w:szCs w:val="16"/>
              </w:rPr>
              <w:t>&lt;0.01</w:t>
            </w:r>
          </w:p>
        </w:tc>
        <w:tc>
          <w:tcPr>
            <w:tcW w:w="1464" w:type="dxa"/>
            <w:shd w:val="clear"/>
            <w:vAlign w:val="center"/>
          </w:tcPr>
          <w:p w14:paraId="512DE8B8">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kern w:val="0"/>
                <w:sz w:val="15"/>
                <w:szCs w:val="15"/>
                <w:lang w:val="en-US" w:eastAsia="zh-CN" w:bidi="ar"/>
              </w:rPr>
            </w:pPr>
            <w:r>
              <w:rPr>
                <w:rFonts w:hint="default" w:ascii="Times New Roman" w:hAnsi="Times New Roman" w:cs="Times New Roman"/>
                <w:b w:val="0"/>
                <w:bCs w:val="0"/>
                <w:sz w:val="20"/>
                <w:szCs w:val="16"/>
              </w:rPr>
              <w:t>day 9</w:t>
            </w:r>
          </w:p>
        </w:tc>
      </w:tr>
      <w:tr w14:paraId="7DDCE85A">
        <w:trPr>
          <w:trHeight w:val="276" w:hRule="atLeast"/>
        </w:trPr>
        <w:tc>
          <w:tcPr>
            <w:tcW w:w="1454" w:type="dxa"/>
            <w:shd w:val="clear"/>
            <w:vAlign w:val="center"/>
          </w:tcPr>
          <w:p w14:paraId="2553C5A0">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spacing w:val="11"/>
                <w:kern w:val="0"/>
                <w:sz w:val="15"/>
                <w:szCs w:val="15"/>
                <w:lang w:val="en-US" w:eastAsia="zh-CN" w:bidi="ar"/>
              </w:rPr>
            </w:pPr>
            <w:r>
              <w:rPr>
                <w:rFonts w:hint="default" w:ascii="Times New Roman" w:hAnsi="Times New Roman" w:cs="Times New Roman"/>
                <w:b w:val="0"/>
                <w:bCs w:val="0"/>
                <w:sz w:val="20"/>
                <w:szCs w:val="16"/>
              </w:rPr>
              <w:t>B: cell type</w:t>
            </w:r>
          </w:p>
        </w:tc>
        <w:tc>
          <w:tcPr>
            <w:tcW w:w="2099" w:type="dxa"/>
            <w:shd w:val="clear"/>
            <w:vAlign w:val="center"/>
          </w:tcPr>
          <w:p w14:paraId="594A6359">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kern w:val="0"/>
                <w:sz w:val="15"/>
                <w:szCs w:val="15"/>
                <w:lang w:val="en-US" w:eastAsia="zh-CN" w:bidi="ar"/>
              </w:rPr>
            </w:pPr>
            <w:r>
              <w:rPr>
                <w:rFonts w:hint="default" w:ascii="Times New Roman" w:hAnsi="Times New Roman" w:cs="Times New Roman"/>
                <w:b w:val="0"/>
                <w:bCs w:val="0"/>
                <w:sz w:val="20"/>
                <w:szCs w:val="16"/>
              </w:rPr>
              <w:t>Krt8+ ADI</w:t>
            </w:r>
          </w:p>
        </w:tc>
        <w:tc>
          <w:tcPr>
            <w:tcW w:w="700" w:type="dxa"/>
            <w:shd w:val="clear"/>
            <w:vAlign w:val="center"/>
          </w:tcPr>
          <w:p w14:paraId="1EB7F6EB">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spacing w:val="11"/>
                <w:w w:val="114"/>
                <w:kern w:val="0"/>
                <w:sz w:val="15"/>
                <w:szCs w:val="15"/>
                <w:lang w:val="en-US" w:eastAsia="zh-CN" w:bidi="ar"/>
              </w:rPr>
            </w:pPr>
            <w:r>
              <w:rPr>
                <w:rFonts w:hint="default" w:ascii="Times New Roman" w:hAnsi="Times New Roman" w:cs="Times New Roman"/>
                <w:b w:val="0"/>
                <w:bCs w:val="0"/>
                <w:sz w:val="20"/>
                <w:szCs w:val="16"/>
              </w:rPr>
              <w:t>11</w:t>
            </w:r>
          </w:p>
        </w:tc>
        <w:tc>
          <w:tcPr>
            <w:tcW w:w="1387" w:type="dxa"/>
            <w:shd w:val="clear"/>
            <w:vAlign w:val="center"/>
          </w:tcPr>
          <w:p w14:paraId="43FD8F78">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spacing w:val="2"/>
                <w:kern w:val="0"/>
                <w:sz w:val="15"/>
                <w:szCs w:val="15"/>
                <w:lang w:val="en-US" w:eastAsia="zh-CN" w:bidi="ar"/>
              </w:rPr>
            </w:pPr>
            <w:r>
              <w:rPr>
                <w:rFonts w:hint="default" w:ascii="Times New Roman" w:hAnsi="Times New Roman" w:cs="Times New Roman"/>
                <w:b w:val="0"/>
                <w:bCs w:val="0"/>
                <w:sz w:val="20"/>
                <w:szCs w:val="16"/>
              </w:rPr>
              <w:t>2.61</w:t>
            </w:r>
          </w:p>
        </w:tc>
        <w:tc>
          <w:tcPr>
            <w:tcW w:w="1319" w:type="dxa"/>
            <w:shd w:val="clear"/>
            <w:vAlign w:val="center"/>
          </w:tcPr>
          <w:p w14:paraId="41D43F39">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spacing w:val="12"/>
                <w:kern w:val="0"/>
                <w:sz w:val="15"/>
                <w:szCs w:val="15"/>
                <w:lang w:val="en-US" w:eastAsia="zh-CN" w:bidi="ar"/>
              </w:rPr>
            </w:pPr>
            <w:r>
              <w:rPr>
                <w:rFonts w:hint="default" w:ascii="Times New Roman" w:hAnsi="Times New Roman" w:cs="Times New Roman"/>
                <w:b w:val="0"/>
                <w:bCs w:val="0"/>
                <w:sz w:val="20"/>
                <w:szCs w:val="16"/>
              </w:rPr>
              <w:t>0.01</w:t>
            </w:r>
          </w:p>
        </w:tc>
        <w:tc>
          <w:tcPr>
            <w:tcW w:w="1464" w:type="dxa"/>
            <w:shd w:val="clear"/>
            <w:vAlign w:val="center"/>
          </w:tcPr>
          <w:p w14:paraId="501D0627">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kern w:val="0"/>
                <w:sz w:val="15"/>
                <w:szCs w:val="15"/>
                <w:lang w:val="en-US" w:eastAsia="zh-CN" w:bidi="ar"/>
              </w:rPr>
            </w:pPr>
            <w:r>
              <w:rPr>
                <w:rFonts w:hint="default" w:ascii="Times New Roman" w:hAnsi="Times New Roman" w:cs="Times New Roman"/>
                <w:b w:val="0"/>
                <w:bCs w:val="0"/>
                <w:sz w:val="20"/>
                <w:szCs w:val="16"/>
              </w:rPr>
              <w:t>Krt8+ ADI</w:t>
            </w:r>
          </w:p>
        </w:tc>
      </w:tr>
      <w:tr w14:paraId="6DDEC3A4">
        <w:trPr>
          <w:trHeight w:val="561" w:hRule="atLeast"/>
        </w:trPr>
        <w:tc>
          <w:tcPr>
            <w:tcW w:w="1454" w:type="dxa"/>
            <w:tcBorders/>
            <w:shd w:val="clear"/>
            <w:vAlign w:val="center"/>
          </w:tcPr>
          <w:p w14:paraId="744B3E0F">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spacing w:val="11"/>
                <w:kern w:val="0"/>
                <w:sz w:val="15"/>
                <w:szCs w:val="15"/>
                <w:lang w:val="en-US" w:eastAsia="zh-CN" w:bidi="ar"/>
              </w:rPr>
            </w:pPr>
            <w:r>
              <w:rPr>
                <w:rFonts w:hint="default" w:ascii="Times New Roman" w:hAnsi="Times New Roman" w:cs="Times New Roman"/>
                <w:b w:val="0"/>
                <w:bCs w:val="0"/>
                <w:sz w:val="20"/>
                <w:szCs w:val="16"/>
              </w:rPr>
              <w:t>B: cell type</w:t>
            </w:r>
          </w:p>
        </w:tc>
        <w:tc>
          <w:tcPr>
            <w:tcW w:w="2099" w:type="dxa"/>
            <w:tcBorders/>
            <w:shd w:val="clear"/>
            <w:vAlign w:val="center"/>
          </w:tcPr>
          <w:p w14:paraId="60BC81B0">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kern w:val="0"/>
                <w:sz w:val="15"/>
                <w:szCs w:val="15"/>
                <w:lang w:val="en-US" w:eastAsia="zh-CN" w:bidi="ar"/>
              </w:rPr>
            </w:pPr>
            <w:r>
              <w:rPr>
                <w:rFonts w:hint="default" w:ascii="Times New Roman" w:hAnsi="Times New Roman" w:cs="Times New Roman"/>
                <w:b w:val="0"/>
                <w:bCs w:val="0"/>
                <w:sz w:val="20"/>
                <w:szCs w:val="16"/>
              </w:rPr>
              <w:t>AT1</w:t>
            </w:r>
          </w:p>
        </w:tc>
        <w:tc>
          <w:tcPr>
            <w:tcW w:w="700" w:type="dxa"/>
            <w:tcBorders/>
            <w:shd w:val="clear"/>
            <w:vAlign w:val="center"/>
          </w:tcPr>
          <w:p w14:paraId="776B15A7">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spacing w:val="11"/>
                <w:w w:val="114"/>
                <w:kern w:val="0"/>
                <w:sz w:val="15"/>
                <w:szCs w:val="15"/>
                <w:lang w:val="en-US" w:eastAsia="zh-CN" w:bidi="ar"/>
              </w:rPr>
            </w:pPr>
            <w:r>
              <w:rPr>
                <w:rFonts w:hint="default" w:ascii="Times New Roman" w:hAnsi="Times New Roman" w:cs="Times New Roman"/>
                <w:b w:val="0"/>
                <w:bCs w:val="0"/>
                <w:sz w:val="20"/>
                <w:szCs w:val="16"/>
              </w:rPr>
              <w:t>11</w:t>
            </w:r>
          </w:p>
        </w:tc>
        <w:tc>
          <w:tcPr>
            <w:tcW w:w="1387" w:type="dxa"/>
            <w:tcBorders/>
            <w:shd w:val="clear"/>
            <w:vAlign w:val="center"/>
          </w:tcPr>
          <w:p w14:paraId="66839763">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spacing w:val="2"/>
                <w:kern w:val="0"/>
                <w:sz w:val="15"/>
                <w:szCs w:val="15"/>
                <w:lang w:val="en-US" w:eastAsia="zh-CN" w:bidi="ar"/>
              </w:rPr>
            </w:pPr>
            <w:r>
              <w:rPr>
                <w:rFonts w:hint="default" w:ascii="Times New Roman" w:hAnsi="Times New Roman" w:cs="Times New Roman"/>
                <w:b w:val="0"/>
                <w:bCs w:val="0"/>
                <w:sz w:val="20"/>
                <w:szCs w:val="16"/>
              </w:rPr>
              <w:t>1.18</w:t>
            </w:r>
          </w:p>
        </w:tc>
        <w:tc>
          <w:tcPr>
            <w:tcW w:w="1319" w:type="dxa"/>
            <w:tcBorders/>
            <w:shd w:val="clear"/>
            <w:vAlign w:val="center"/>
          </w:tcPr>
          <w:p w14:paraId="1A6CD40C">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spacing w:val="12"/>
                <w:kern w:val="0"/>
                <w:sz w:val="15"/>
                <w:szCs w:val="15"/>
                <w:lang w:val="en-US" w:eastAsia="zh-CN" w:bidi="ar"/>
              </w:rPr>
            </w:pPr>
            <w:r>
              <w:rPr>
                <w:rFonts w:hint="default" w:ascii="Times New Roman" w:hAnsi="Times New Roman" w:cs="Times New Roman"/>
                <w:b w:val="0"/>
                <w:bCs w:val="0"/>
                <w:sz w:val="20"/>
                <w:szCs w:val="16"/>
              </w:rPr>
              <w:t>0.04</w:t>
            </w:r>
          </w:p>
        </w:tc>
        <w:tc>
          <w:tcPr>
            <w:tcW w:w="1464" w:type="dxa"/>
            <w:tcBorders/>
            <w:shd w:val="clear"/>
            <w:vAlign w:val="center"/>
          </w:tcPr>
          <w:p w14:paraId="4242D3CB">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kern w:val="0"/>
                <w:sz w:val="15"/>
                <w:szCs w:val="15"/>
                <w:lang w:val="en-US" w:eastAsia="zh-CN" w:bidi="ar"/>
              </w:rPr>
            </w:pPr>
            <w:r>
              <w:rPr>
                <w:rFonts w:hint="default" w:ascii="Times New Roman" w:hAnsi="Times New Roman" w:cs="Times New Roman"/>
                <w:b w:val="0"/>
                <w:bCs w:val="0"/>
                <w:sz w:val="20"/>
                <w:szCs w:val="16"/>
              </w:rPr>
              <w:t>Mki67+ Proliferation</w:t>
            </w:r>
          </w:p>
        </w:tc>
      </w:tr>
      <w:tr w14:paraId="76187D5D">
        <w:trPr>
          <w:trHeight w:val="561" w:hRule="atLeast"/>
        </w:trPr>
        <w:tc>
          <w:tcPr>
            <w:tcW w:w="1454" w:type="dxa"/>
            <w:tcBorders>
              <w:bottom w:val="single" w:color="1F2933" w:sz="6" w:space="0"/>
            </w:tcBorders>
            <w:shd w:val="clear"/>
            <w:vAlign w:val="center"/>
          </w:tcPr>
          <w:p w14:paraId="3E43DC31">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spacing w:val="11"/>
                <w:kern w:val="0"/>
                <w:sz w:val="15"/>
                <w:szCs w:val="15"/>
                <w:lang w:val="en-US" w:eastAsia="zh-CN" w:bidi="ar"/>
              </w:rPr>
            </w:pPr>
            <w:r>
              <w:rPr>
                <w:rFonts w:hint="default" w:ascii="Times New Roman" w:hAnsi="Times New Roman" w:cs="Times New Roman"/>
                <w:b w:val="0"/>
                <w:bCs w:val="0"/>
                <w:sz w:val="20"/>
                <w:szCs w:val="16"/>
              </w:rPr>
              <w:t>B: cell type</w:t>
            </w:r>
          </w:p>
        </w:tc>
        <w:tc>
          <w:tcPr>
            <w:tcW w:w="2099" w:type="dxa"/>
            <w:tcBorders>
              <w:bottom w:val="single" w:color="1F2933" w:sz="6" w:space="0"/>
            </w:tcBorders>
            <w:shd w:val="clear"/>
            <w:vAlign w:val="center"/>
          </w:tcPr>
          <w:p w14:paraId="19CF4BAA">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kern w:val="0"/>
                <w:sz w:val="15"/>
                <w:szCs w:val="15"/>
                <w:lang w:val="en-US" w:eastAsia="zh-CN" w:bidi="ar"/>
              </w:rPr>
            </w:pPr>
            <w:r>
              <w:rPr>
                <w:rFonts w:hint="default" w:ascii="Times New Roman" w:hAnsi="Times New Roman" w:cs="Times New Roman"/>
                <w:b w:val="0"/>
                <w:bCs w:val="0"/>
                <w:sz w:val="20"/>
                <w:szCs w:val="16"/>
              </w:rPr>
              <w:t>Mki67+ Proliferation</w:t>
            </w:r>
          </w:p>
        </w:tc>
        <w:tc>
          <w:tcPr>
            <w:tcW w:w="700" w:type="dxa"/>
            <w:tcBorders>
              <w:bottom w:val="single" w:color="1F2933" w:sz="6" w:space="0"/>
            </w:tcBorders>
            <w:shd w:val="clear"/>
            <w:vAlign w:val="center"/>
          </w:tcPr>
          <w:p w14:paraId="429C0A25">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spacing w:val="11"/>
                <w:w w:val="114"/>
                <w:kern w:val="0"/>
                <w:sz w:val="15"/>
                <w:szCs w:val="15"/>
                <w:lang w:val="en-US" w:eastAsia="zh-CN" w:bidi="ar"/>
              </w:rPr>
            </w:pPr>
            <w:r>
              <w:rPr>
                <w:rFonts w:hint="default" w:ascii="Times New Roman" w:hAnsi="Times New Roman" w:cs="Times New Roman"/>
                <w:b w:val="0"/>
                <w:bCs w:val="0"/>
                <w:sz w:val="20"/>
                <w:szCs w:val="16"/>
              </w:rPr>
              <w:t>22</w:t>
            </w:r>
          </w:p>
        </w:tc>
        <w:tc>
          <w:tcPr>
            <w:tcW w:w="1387" w:type="dxa"/>
            <w:tcBorders>
              <w:bottom w:val="single" w:color="1F2933" w:sz="6" w:space="0"/>
            </w:tcBorders>
            <w:shd w:val="clear"/>
            <w:vAlign w:val="center"/>
          </w:tcPr>
          <w:p w14:paraId="5F9207E0">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spacing w:val="2"/>
                <w:kern w:val="0"/>
                <w:sz w:val="15"/>
                <w:szCs w:val="15"/>
                <w:lang w:val="en-US" w:eastAsia="zh-CN" w:bidi="ar"/>
              </w:rPr>
            </w:pPr>
            <w:r>
              <w:rPr>
                <w:rFonts w:hint="default" w:ascii="Times New Roman" w:hAnsi="Times New Roman" w:cs="Times New Roman"/>
                <w:b w:val="0"/>
                <w:bCs w:val="0"/>
                <w:sz w:val="20"/>
                <w:szCs w:val="16"/>
              </w:rPr>
              <w:t>1.00</w:t>
            </w:r>
          </w:p>
        </w:tc>
        <w:tc>
          <w:tcPr>
            <w:tcW w:w="1319" w:type="dxa"/>
            <w:tcBorders>
              <w:bottom w:val="single" w:color="1F2933" w:sz="6" w:space="0"/>
            </w:tcBorders>
            <w:shd w:val="clear"/>
            <w:vAlign w:val="center"/>
          </w:tcPr>
          <w:p w14:paraId="06E167B0">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spacing w:val="12"/>
                <w:kern w:val="0"/>
                <w:sz w:val="15"/>
                <w:szCs w:val="15"/>
                <w:lang w:val="en-US" w:eastAsia="zh-CN" w:bidi="ar"/>
              </w:rPr>
            </w:pPr>
            <w:r>
              <w:rPr>
                <w:rFonts w:hint="default" w:ascii="Times New Roman" w:hAnsi="Times New Roman" w:cs="Times New Roman"/>
                <w:b w:val="0"/>
                <w:bCs w:val="0"/>
                <w:sz w:val="20"/>
                <w:szCs w:val="16"/>
              </w:rPr>
              <w:t>&lt;0.01</w:t>
            </w:r>
          </w:p>
        </w:tc>
        <w:tc>
          <w:tcPr>
            <w:tcW w:w="1464" w:type="dxa"/>
            <w:tcBorders>
              <w:bottom w:val="single" w:color="1F2933" w:sz="6" w:space="0"/>
            </w:tcBorders>
            <w:shd w:val="clear"/>
            <w:vAlign w:val="center"/>
          </w:tcPr>
          <w:p w14:paraId="35B011B4">
            <w:pPr>
              <w:pStyle w:val="5"/>
              <w:keepNext w:val="0"/>
              <w:keepLines w:val="0"/>
              <w:widowControl/>
              <w:suppressLineNumbers w:val="0"/>
              <w:spacing w:line="360" w:lineRule="auto"/>
              <w:ind w:left="0" w:leftChars="0" w:right="0" w:rightChars="0"/>
              <w:jc w:val="center"/>
              <w:rPr>
                <w:rFonts w:hint="default" w:ascii="Times New Roman" w:hAnsi="Times New Roman" w:eastAsia="Arial" w:cs="Times New Roman"/>
                <w:b w:val="0"/>
                <w:bCs w:val="0"/>
                <w:snapToGrid w:val="0"/>
                <w:color w:val="1F2933"/>
                <w:kern w:val="0"/>
                <w:sz w:val="15"/>
                <w:szCs w:val="15"/>
                <w:lang w:val="en-US" w:eastAsia="zh-CN" w:bidi="ar"/>
              </w:rPr>
            </w:pPr>
            <w:r>
              <w:rPr>
                <w:rFonts w:hint="default" w:ascii="Times New Roman" w:hAnsi="Times New Roman" w:cs="Times New Roman"/>
                <w:b w:val="0"/>
                <w:bCs w:val="0"/>
                <w:sz w:val="20"/>
                <w:szCs w:val="16"/>
              </w:rPr>
              <w:t>Mki67+ Proliferation</w:t>
            </w:r>
          </w:p>
        </w:tc>
      </w:tr>
    </w:tbl>
    <w:p w14:paraId="263EEA80">
      <w:pPr>
        <w:pStyle w:val="4"/>
        <w:spacing w:before="61" w:line="360" w:lineRule="auto"/>
        <w:ind w:left="6" w:right="10" w:hanging="6"/>
        <w:jc w:val="both"/>
        <w:rPr>
          <w:color w:val="1F2933"/>
          <w:spacing w:val="13"/>
          <w:sz w:val="21"/>
          <w:szCs w:val="21"/>
        </w:rPr>
      </w:pPr>
      <w:r>
        <w:rPr>
          <w:color w:val="1F2933"/>
          <w:spacing w:val="13"/>
          <w:sz w:val="21"/>
          <w:szCs w:val="21"/>
        </w:rPr>
        <w:drawing>
          <wp:inline distT="0" distB="0" distL="114300" distR="114300">
            <wp:extent cx="5755640" cy="3236595"/>
            <wp:effectExtent l="0" t="0" r="10160" b="14605"/>
            <wp:docPr id="10" name="图片 10" descr="截屏2026-05-26 05.5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截屏2026-05-26 05.51.58"/>
                    <pic:cNvPicPr>
                      <a:picLocks noChangeAspect="1"/>
                    </pic:cNvPicPr>
                  </pic:nvPicPr>
                  <pic:blipFill>
                    <a:blip r:embed="rId14"/>
                    <a:stretch>
                      <a:fillRect/>
                    </a:stretch>
                  </pic:blipFill>
                  <pic:spPr>
                    <a:xfrm>
                      <a:off x="0" y="0"/>
                      <a:ext cx="5755640" cy="3236595"/>
                    </a:xfrm>
                    <a:prstGeom prst="rect">
                      <a:avLst/>
                    </a:prstGeom>
                  </pic:spPr>
                </pic:pic>
              </a:graphicData>
            </a:graphic>
          </wp:inline>
        </w:drawing>
      </w:r>
      <w:r>
        <w:rPr>
          <w:color w:val="1F2933"/>
          <w:spacing w:val="13"/>
          <w:sz w:val="21"/>
          <w:szCs w:val="21"/>
        </w:rPr>
        <w:br w:type="textWrapping"/>
      </w:r>
      <w:r>
        <w:rPr>
          <w:color w:val="1F2933"/>
          <w:spacing w:val="13"/>
          <w:sz w:val="21"/>
          <w:szCs w:val="21"/>
        </w:rPr>
        <w:t>Figure 6. Ic.shrink across time points for the top Analysis A CTS module (day 5 candidate).</w:t>
      </w:r>
    </w:p>
    <w:p w14:paraId="5E8AEFC6">
      <w:pPr>
        <w:pStyle w:val="4"/>
        <w:spacing w:before="61" w:line="360" w:lineRule="auto"/>
        <w:ind w:left="6" w:right="10" w:hanging="6"/>
        <w:jc w:val="both"/>
        <w:rPr>
          <w:color w:val="1F2933"/>
          <w:spacing w:val="13"/>
          <w:sz w:val="21"/>
          <w:szCs w:val="21"/>
        </w:rPr>
      </w:pPr>
      <w:r>
        <w:rPr>
          <w:color w:val="1F2933"/>
          <w:spacing w:val="13"/>
          <w:sz w:val="21"/>
          <w:szCs w:val="21"/>
        </w:rPr>
        <w:drawing>
          <wp:inline distT="0" distB="0" distL="114300" distR="114300">
            <wp:extent cx="5760720" cy="3837305"/>
            <wp:effectExtent l="0" t="0" r="5080" b="23495"/>
            <wp:docPr id="11" name="图片 11" descr="截屏2026-05-26 05.5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截屏2026-05-26 05.52.19"/>
                    <pic:cNvPicPr>
                      <a:picLocks noChangeAspect="1"/>
                    </pic:cNvPicPr>
                  </pic:nvPicPr>
                  <pic:blipFill>
                    <a:blip r:embed="rId15"/>
                    <a:stretch>
                      <a:fillRect/>
                    </a:stretch>
                  </pic:blipFill>
                  <pic:spPr>
                    <a:xfrm>
                      <a:off x="0" y="0"/>
                      <a:ext cx="5760720" cy="3837305"/>
                    </a:xfrm>
                    <a:prstGeom prst="rect">
                      <a:avLst/>
                    </a:prstGeom>
                  </pic:spPr>
                </pic:pic>
              </a:graphicData>
            </a:graphic>
          </wp:inline>
        </w:drawing>
      </w:r>
      <w:r>
        <w:rPr>
          <w:color w:val="1F2933"/>
          <w:spacing w:val="13"/>
          <w:sz w:val="21"/>
          <w:szCs w:val="21"/>
        </w:rPr>
        <w:br w:type="textWrapping"/>
      </w:r>
      <w:r>
        <w:rPr>
          <w:color w:val="1F2933"/>
          <w:spacing w:val="13"/>
          <w:sz w:val="21"/>
          <w:szCs w:val="21"/>
        </w:rPr>
        <w:t>Figure 7. Gene-permutation null distribution versus observed ΔIc.shrink (Analysis A).</w:t>
      </w:r>
    </w:p>
    <w:p w14:paraId="001868AA">
      <w:pPr>
        <w:spacing w:line="360" w:lineRule="auto"/>
        <w:rPr>
          <w:sz w:val="21"/>
          <w:szCs w:val="21"/>
        </w:rPr>
      </w:pPr>
    </w:p>
    <w:p w14:paraId="30C30254">
      <w:pPr>
        <w:spacing w:line="360" w:lineRule="auto"/>
        <w:rPr>
          <w:sz w:val="24"/>
          <w:szCs w:val="24"/>
        </w:rPr>
      </w:pPr>
      <w:r>
        <w:rPr>
          <w:rFonts w:hint="default" w:ascii="Arial Bold" w:hAnsi="Arial Bold" w:cs="Arial Bold"/>
          <w:b/>
          <w:bCs/>
          <w:sz w:val="24"/>
          <w:szCs w:val="24"/>
        </w:rPr>
        <w:t>3.7 Analysis A — interpreting the result</w:t>
      </w:r>
    </w:p>
    <w:p w14:paraId="2937AC27">
      <w:pPr>
        <w:pStyle w:val="4"/>
        <w:spacing w:before="61" w:line="360" w:lineRule="auto"/>
        <w:ind w:right="37"/>
        <w:jc w:val="both"/>
        <w:rPr>
          <w:color w:val="1F2933"/>
          <w:spacing w:val="3"/>
          <w:sz w:val="21"/>
          <w:szCs w:val="21"/>
        </w:rPr>
      </w:pPr>
      <w:r>
        <w:rPr>
          <w:color w:val="1F2933"/>
          <w:spacing w:val="3"/>
          <w:sz w:val="21"/>
          <w:szCs w:val="21"/>
        </w:rPr>
        <w:t>The timing of significant CTS candidates is biologically plausible relative to Strunz et al. (2020): early activated AT2 expansion precedes enrichment of Krt8+ ADI and later AT1-associated cells. Non-significant or weaker modules at sparse time points likely reflect heterogeneity within each time label rather than absence of repair dynamics. Time-point states are therefore useful for asking when the epithelial compartment appears most unstable, but not for assigning lineage direction alone.</w:t>
      </w:r>
    </w:p>
    <w:p w14:paraId="2E3839B5">
      <w:pPr>
        <w:spacing w:line="360" w:lineRule="auto"/>
        <w:rPr>
          <w:sz w:val="21"/>
          <w:szCs w:val="21"/>
        </w:rPr>
      </w:pPr>
    </w:p>
    <w:p w14:paraId="10B3ADEC">
      <w:pPr>
        <w:spacing w:line="360" w:lineRule="auto"/>
        <w:rPr>
          <w:sz w:val="24"/>
          <w:szCs w:val="24"/>
        </w:rPr>
      </w:pPr>
      <w:r>
        <w:rPr>
          <w:rFonts w:hint="default" w:ascii="Arial Bold" w:hAnsi="Arial Bold" w:cs="Arial Bold"/>
          <w:b/>
          <w:bCs/>
          <w:sz w:val="24"/>
          <w:szCs w:val="24"/>
        </w:rPr>
        <w:t>3.8 Analysis B — cell type as state</w:t>
      </w:r>
    </w:p>
    <w:p w14:paraId="1CA7B7C3">
      <w:pPr>
        <w:pStyle w:val="4"/>
        <w:spacing w:before="61" w:line="360" w:lineRule="auto"/>
        <w:ind w:right="37"/>
        <w:jc w:val="both"/>
        <w:rPr>
          <w:color w:val="1F2933"/>
          <w:spacing w:val="3"/>
          <w:sz w:val="21"/>
          <w:szCs w:val="21"/>
        </w:rPr>
      </w:pPr>
      <w:r>
        <w:rPr>
          <w:color w:val="1F2933"/>
          <w:spacing w:val="3"/>
          <w:sz w:val="21"/>
          <w:szCs w:val="21"/>
        </w:rPr>
        <w:t>When annotated cell type was used as the state definition, BioTIP identified three CTS modules: Krt8+ ADI (11 genes, ΔIc.shrink = 2.61, p = 0.01), AT1 (11 genes, ΔIc.shrink = 1.18, p = 0.04) and Mki67+ proliferation (22 genes, ΔIc.shrink = 1.00, p &lt; 0.01). Ic.shrink for the Krt8+ ADI module peaked in that cell type (Figure 9). MCI values were distributed across modules within each cell type (Figure 8). The Krt8+ ADI result aligns with the proposed transitional state between AT2 and AT1 (Strunz et al., 2020).</w:t>
      </w:r>
    </w:p>
    <w:p w14:paraId="4887B953">
      <w:pPr>
        <w:pStyle w:val="4"/>
        <w:spacing w:before="61" w:line="360" w:lineRule="auto"/>
        <w:ind w:right="37"/>
        <w:jc w:val="both"/>
        <w:rPr>
          <w:color w:val="1F2933"/>
          <w:spacing w:val="3"/>
          <w:sz w:val="21"/>
          <w:szCs w:val="21"/>
        </w:rPr>
      </w:pPr>
      <w:r>
        <w:rPr>
          <w:color w:val="1F2933"/>
          <w:spacing w:val="3"/>
          <w:sz w:val="21"/>
          <w:szCs w:val="21"/>
        </w:rPr>
        <w:drawing>
          <wp:inline distT="0" distB="0" distL="114300" distR="114300">
            <wp:extent cx="5526405" cy="2757170"/>
            <wp:effectExtent l="0" t="0" r="10795" b="11430"/>
            <wp:docPr id="13" name="图片 13" descr="截屏2026-05-26 05.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截屏2026-05-26 05.58.03"/>
                    <pic:cNvPicPr>
                      <a:picLocks noChangeAspect="1"/>
                    </pic:cNvPicPr>
                  </pic:nvPicPr>
                  <pic:blipFill>
                    <a:blip r:embed="rId16"/>
                    <a:stretch>
                      <a:fillRect/>
                    </a:stretch>
                  </pic:blipFill>
                  <pic:spPr>
                    <a:xfrm>
                      <a:off x="0" y="0"/>
                      <a:ext cx="5526405" cy="2757170"/>
                    </a:xfrm>
                    <a:prstGeom prst="rect">
                      <a:avLst/>
                    </a:prstGeom>
                  </pic:spPr>
                </pic:pic>
              </a:graphicData>
            </a:graphic>
          </wp:inline>
        </w:drawing>
      </w:r>
      <w:r>
        <w:rPr>
          <w:color w:val="1F2933"/>
          <w:spacing w:val="3"/>
          <w:sz w:val="21"/>
          <w:szCs w:val="21"/>
        </w:rPr>
        <w:br w:type="textWrapping"/>
      </w:r>
      <w:r>
        <w:rPr>
          <w:color w:val="1F2933"/>
          <w:spacing w:val="3"/>
          <w:sz w:val="21"/>
          <w:szCs w:val="21"/>
        </w:rPr>
        <w:t>Figure 8. MCI modules per cell type (Analysis B).</w:t>
      </w:r>
    </w:p>
    <w:p w14:paraId="7835FE17">
      <w:pPr>
        <w:pStyle w:val="4"/>
        <w:spacing w:before="61" w:line="360" w:lineRule="auto"/>
        <w:ind w:right="37"/>
        <w:jc w:val="both"/>
        <w:rPr>
          <w:color w:val="1F2933"/>
          <w:spacing w:val="3"/>
          <w:sz w:val="21"/>
          <w:szCs w:val="21"/>
        </w:rPr>
      </w:pPr>
      <w:r>
        <w:rPr>
          <w:color w:val="1F2933"/>
          <w:spacing w:val="3"/>
          <w:sz w:val="21"/>
          <w:szCs w:val="21"/>
        </w:rPr>
        <w:drawing>
          <wp:inline distT="0" distB="0" distL="114300" distR="114300">
            <wp:extent cx="5425440" cy="3505200"/>
            <wp:effectExtent l="0" t="0" r="10160" b="0"/>
            <wp:docPr id="12" name="图片 12" descr="截屏2026-05-26 05.5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截屏2026-05-26 05.57.25"/>
                    <pic:cNvPicPr>
                      <a:picLocks noChangeAspect="1"/>
                    </pic:cNvPicPr>
                  </pic:nvPicPr>
                  <pic:blipFill>
                    <a:blip r:embed="rId17"/>
                    <a:stretch>
                      <a:fillRect/>
                    </a:stretch>
                  </pic:blipFill>
                  <pic:spPr>
                    <a:xfrm>
                      <a:off x="0" y="0"/>
                      <a:ext cx="5425440" cy="3505200"/>
                    </a:xfrm>
                    <a:prstGeom prst="rect">
                      <a:avLst/>
                    </a:prstGeom>
                  </pic:spPr>
                </pic:pic>
              </a:graphicData>
            </a:graphic>
          </wp:inline>
        </w:drawing>
      </w:r>
      <w:r>
        <w:rPr>
          <w:color w:val="1F2933"/>
          <w:spacing w:val="3"/>
          <w:sz w:val="21"/>
          <w:szCs w:val="21"/>
        </w:rPr>
        <w:br w:type="textWrapping"/>
      </w:r>
      <w:r>
        <w:rPr>
          <w:color w:val="1F2933"/>
          <w:spacing w:val="3"/>
          <w:sz w:val="21"/>
          <w:szCs w:val="21"/>
        </w:rPr>
        <w:t>Figure 9. Ic.shrink across cell types for the Krt8+ ADI CTS module.</w:t>
      </w:r>
    </w:p>
    <w:p w14:paraId="7CB34292">
      <w:pPr>
        <w:pStyle w:val="4"/>
        <w:spacing w:before="61" w:line="360" w:lineRule="auto"/>
        <w:ind w:right="37"/>
        <w:jc w:val="both"/>
        <w:rPr>
          <w:color w:val="1F2933"/>
          <w:spacing w:val="3"/>
          <w:sz w:val="21"/>
          <w:szCs w:val="21"/>
        </w:rPr>
      </w:pPr>
      <w:r>
        <w:rPr>
          <w:color w:val="1F2933"/>
          <w:spacing w:val="3"/>
          <w:sz w:val="21"/>
          <w:szCs w:val="21"/>
        </w:rPr>
        <w:drawing>
          <wp:inline distT="0" distB="0" distL="114300" distR="114300">
            <wp:extent cx="4827270" cy="3215640"/>
            <wp:effectExtent l="0" t="0" r="24130" b="10160"/>
            <wp:docPr id="14" name="图片 14" descr="截屏2026-05-26 05.5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截屏2026-05-26 05.58.37"/>
                    <pic:cNvPicPr>
                      <a:picLocks noChangeAspect="1"/>
                    </pic:cNvPicPr>
                  </pic:nvPicPr>
                  <pic:blipFill>
                    <a:blip r:embed="rId18"/>
                    <a:stretch>
                      <a:fillRect/>
                    </a:stretch>
                  </pic:blipFill>
                  <pic:spPr>
                    <a:xfrm>
                      <a:off x="0" y="0"/>
                      <a:ext cx="4827270" cy="3215640"/>
                    </a:xfrm>
                    <a:prstGeom prst="rect">
                      <a:avLst/>
                    </a:prstGeom>
                  </pic:spPr>
                </pic:pic>
              </a:graphicData>
            </a:graphic>
          </wp:inline>
        </w:drawing>
      </w:r>
      <w:r>
        <w:rPr>
          <w:color w:val="1F2933"/>
          <w:spacing w:val="3"/>
          <w:sz w:val="21"/>
          <w:szCs w:val="21"/>
        </w:rPr>
        <w:br w:type="textWrapping"/>
      </w:r>
      <w:r>
        <w:rPr>
          <w:color w:val="1F2933"/>
          <w:spacing w:val="3"/>
          <w:sz w:val="21"/>
          <w:szCs w:val="21"/>
        </w:rPr>
        <w:t>Figure 10. Permutation test for the Krt8+ ADI CTS module (Analysis B).</w:t>
      </w:r>
    </w:p>
    <w:p w14:paraId="068F1C2D">
      <w:pPr>
        <w:spacing w:line="360" w:lineRule="auto"/>
        <w:rPr>
          <w:sz w:val="21"/>
          <w:szCs w:val="21"/>
        </w:rPr>
      </w:pPr>
    </w:p>
    <w:p w14:paraId="73AF68EF">
      <w:pPr>
        <w:spacing w:line="360" w:lineRule="auto"/>
        <w:rPr>
          <w:rFonts w:hint="default" w:ascii="Arial Bold" w:hAnsi="Arial Bold" w:cs="Arial Bold"/>
          <w:b/>
          <w:bCs/>
          <w:sz w:val="24"/>
          <w:szCs w:val="24"/>
        </w:rPr>
      </w:pPr>
      <w:r>
        <w:rPr>
          <w:rFonts w:hint="default" w:ascii="Arial Bold" w:hAnsi="Arial Bold" w:cs="Arial Bold"/>
          <w:b/>
          <w:bCs/>
          <w:sz w:val="24"/>
          <w:szCs w:val="24"/>
        </w:rPr>
        <w:t>3.9 Compare analyses A and B</w:t>
      </w:r>
    </w:p>
    <w:p w14:paraId="5D649D6A">
      <w:pPr>
        <w:pStyle w:val="4"/>
        <w:spacing w:before="61" w:line="360" w:lineRule="auto"/>
        <w:ind w:right="37"/>
        <w:jc w:val="both"/>
        <w:rPr>
          <w:color w:val="1F2933"/>
          <w:spacing w:val="3"/>
          <w:sz w:val="21"/>
          <w:szCs w:val="21"/>
        </w:rPr>
      </w:pPr>
      <w:r>
        <w:rPr>
          <w:color w:val="1F2933"/>
          <w:spacing w:val="3"/>
          <w:sz w:val="21"/>
          <w:szCs w:val="21"/>
        </w:rPr>
        <w:t>The two BioTIP analyses are complementary rather than directly interchangeable. Time-point states preserve temporal order and highlight mid-acute injury phases (days 5, 8 and 9). Cell-type states pool cells across time and instead identify which annotated programmes carry criticality—notably Krt8+ ADI and proliferation. Analysis B therefore emphasizes which cell programme resembles a tipping module, whereas Analysis A emphasizes when the population appears most unstable (Figure 11). Module sizes were generally larger in Analysis B, suggesting that cell-type homogeneity strengthens co-expression signals relative to heterogeneous time-point mixtures.</w:t>
      </w:r>
    </w:p>
    <w:p w14:paraId="637E7A6C">
      <w:pPr>
        <w:pStyle w:val="4"/>
        <w:spacing w:before="61" w:line="360" w:lineRule="auto"/>
        <w:ind w:right="37"/>
        <w:jc w:val="both"/>
        <w:rPr>
          <w:color w:val="1F2933"/>
          <w:spacing w:val="3"/>
          <w:sz w:val="21"/>
          <w:szCs w:val="21"/>
        </w:rPr>
      </w:pPr>
      <w:r>
        <w:rPr>
          <w:color w:val="1F2933"/>
          <w:spacing w:val="3"/>
          <w:sz w:val="21"/>
          <w:szCs w:val="21"/>
        </w:rPr>
        <w:drawing>
          <wp:inline distT="0" distB="0" distL="114300" distR="114300">
            <wp:extent cx="4946015" cy="2987675"/>
            <wp:effectExtent l="0" t="0" r="6985" b="9525"/>
            <wp:docPr id="15" name="图片 15" descr="截屏2026-05-26 06.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截屏2026-05-26 06.00.21"/>
                    <pic:cNvPicPr>
                      <a:picLocks noChangeAspect="1"/>
                    </pic:cNvPicPr>
                  </pic:nvPicPr>
                  <pic:blipFill>
                    <a:blip r:embed="rId19"/>
                    <a:stretch>
                      <a:fillRect/>
                    </a:stretch>
                  </pic:blipFill>
                  <pic:spPr>
                    <a:xfrm>
                      <a:off x="0" y="0"/>
                      <a:ext cx="4946015" cy="2987675"/>
                    </a:xfrm>
                    <a:prstGeom prst="rect">
                      <a:avLst/>
                    </a:prstGeom>
                  </pic:spPr>
                </pic:pic>
              </a:graphicData>
            </a:graphic>
          </wp:inline>
        </w:drawing>
      </w:r>
      <w:r>
        <w:rPr>
          <w:color w:val="1F2933"/>
          <w:spacing w:val="3"/>
          <w:sz w:val="21"/>
          <w:szCs w:val="21"/>
        </w:rPr>
        <w:br w:type="textWrapping"/>
      </w:r>
      <w:r>
        <w:rPr>
          <w:color w:val="1F2933"/>
          <w:spacing w:val="3"/>
          <w:sz w:val="21"/>
          <w:szCs w:val="21"/>
        </w:rPr>
        <w:t>Figure 11. ΔIc.shrink for all CTS candidates in Analyses A and B.</w:t>
      </w:r>
    </w:p>
    <w:p w14:paraId="5C3DAD57">
      <w:pPr>
        <w:spacing w:line="360" w:lineRule="auto"/>
        <w:rPr>
          <w:sz w:val="21"/>
          <w:szCs w:val="21"/>
        </w:rPr>
      </w:pPr>
    </w:p>
    <w:p w14:paraId="39962E96">
      <w:pPr>
        <w:spacing w:line="360" w:lineRule="auto"/>
        <w:rPr>
          <w:color w:val="1F2933"/>
          <w:spacing w:val="3"/>
          <w:sz w:val="21"/>
          <w:szCs w:val="21"/>
        </w:rPr>
      </w:pPr>
      <w:r>
        <w:rPr>
          <w:rFonts w:hint="default" w:ascii="Arial Bold" w:hAnsi="Arial Bold" w:cs="Arial Bold"/>
          <w:b/>
          <w:bCs/>
          <w:sz w:val="24"/>
          <w:szCs w:val="24"/>
        </w:rPr>
        <w:t>3.10 Brief comment on the BioTIP method</w:t>
      </w:r>
    </w:p>
    <w:p w14:paraId="3CAC18FE">
      <w:pPr>
        <w:pStyle w:val="4"/>
        <w:spacing w:before="61" w:line="360" w:lineRule="auto"/>
        <w:ind w:right="37"/>
        <w:jc w:val="both"/>
        <w:rPr>
          <w:color w:val="1F2933"/>
          <w:spacing w:val="3"/>
          <w:sz w:val="21"/>
          <w:szCs w:val="21"/>
        </w:rPr>
      </w:pPr>
      <w:r>
        <w:rPr>
          <w:rFonts w:hint="eastAsia"/>
          <w:color w:val="1F2933"/>
          <w:spacing w:val="3"/>
          <w:sz w:val="21"/>
          <w:szCs w:val="21"/>
        </w:rPr>
        <w:t>BioTIP is helpful when state labels match real biology, but results depend on RTF cutoff, network FDR and how states are defined. It reports coordinated gene fluctuation, not proven lineage direction. For GSE141259, the method was most informative with cell-type states (Krt8+ ADI), while time-point states captured mid-injury timing (days 5, 8 and 9).</w:t>
      </w:r>
    </w:p>
    <w:p w14:paraId="0120A179">
      <w:pPr>
        <w:spacing w:line="360" w:lineRule="auto"/>
        <w:rPr>
          <w:sz w:val="21"/>
          <w:szCs w:val="21"/>
        </w:rPr>
      </w:pPr>
    </w:p>
    <w:p w14:paraId="67F6C9D6">
      <w:pPr>
        <w:spacing w:before="66" w:line="360" w:lineRule="auto"/>
        <w:ind w:left="4"/>
        <w:outlineLvl w:val="0"/>
        <w:rPr>
          <w:rFonts w:ascii="Arial" w:hAnsi="Arial" w:eastAsia="Arial" w:cs="Arial"/>
          <w:b/>
          <w:bCs/>
          <w:color w:val="1F2933"/>
          <w:sz w:val="28"/>
          <w:szCs w:val="28"/>
        </w:rPr>
      </w:pPr>
      <w:r>
        <w:rPr>
          <w:rFonts w:ascii="Arial" w:hAnsi="Arial" w:eastAsia="Arial" w:cs="Arial"/>
          <w:b/>
          <w:bCs/>
          <w:color w:val="1F2933"/>
          <w:sz w:val="28"/>
          <w:szCs w:val="28"/>
        </w:rPr>
        <w:t>4 Discussion</w:t>
      </w:r>
    </w:p>
    <w:p w14:paraId="47DF5ACB">
      <w:pPr>
        <w:spacing w:before="66" w:line="360" w:lineRule="auto"/>
        <w:outlineLvl w:val="0"/>
        <w:rPr>
          <w:rFonts w:hint="default" w:ascii="Arial Bold" w:hAnsi="Arial Bold" w:eastAsia="Arial" w:cs="Arial Bold"/>
          <w:b/>
          <w:bCs/>
          <w:color w:val="1F2933"/>
          <w:sz w:val="24"/>
          <w:szCs w:val="24"/>
        </w:rPr>
      </w:pPr>
      <w:r>
        <w:rPr>
          <w:rFonts w:hint="default" w:ascii="Arial Bold" w:hAnsi="Arial Bold" w:eastAsia="Arial" w:cs="Arial Bold"/>
          <w:b/>
          <w:bCs/>
          <w:color w:val="1F2933"/>
          <w:sz w:val="24"/>
          <w:szCs w:val="24"/>
        </w:rPr>
        <w:t>4.1 Integration with the study question</w:t>
      </w:r>
    </w:p>
    <w:p w14:paraId="0F5E4868">
      <w:pPr>
        <w:spacing w:before="66" w:line="360" w:lineRule="auto"/>
        <w:outlineLvl w:val="0"/>
        <w:rPr>
          <w:color w:val="1F2933"/>
          <w:spacing w:val="3"/>
          <w:sz w:val="21"/>
          <w:szCs w:val="21"/>
        </w:rPr>
      </w:pPr>
      <w:r>
        <w:rPr>
          <w:color w:val="1F2933"/>
          <w:spacing w:val="3"/>
          <w:sz w:val="21"/>
          <w:szCs w:val="21"/>
        </w:rPr>
        <w:t xml:space="preserve">Despite caveats, the results are coherent with the published view of post-injury alveolar repair. The strongest time-point signals fall after early AT2 activation, while cell-type analysis highlights Krt8+ ADI and proliferative programmes. </w:t>
      </w:r>
    </w:p>
    <w:p w14:paraId="6A3EAEEA">
      <w:pPr>
        <w:spacing w:line="360" w:lineRule="auto"/>
        <w:rPr>
          <w:sz w:val="24"/>
          <w:szCs w:val="24"/>
        </w:rPr>
      </w:pPr>
    </w:p>
    <w:p w14:paraId="210DEF69">
      <w:pPr>
        <w:spacing w:before="66" w:line="360" w:lineRule="auto"/>
        <w:ind w:left="4"/>
        <w:outlineLvl w:val="0"/>
        <w:rPr>
          <w:rFonts w:hint="default" w:ascii="Times New Roman" w:hAnsi="Times New Roman" w:cs="Times New Roman"/>
          <w:color w:val="1F2933"/>
          <w:spacing w:val="3"/>
          <w:kern w:val="0"/>
          <w:sz w:val="24"/>
          <w:szCs w:val="24"/>
        </w:rPr>
      </w:pPr>
      <w:r>
        <w:rPr>
          <w:rFonts w:ascii="Arial" w:hAnsi="Arial" w:eastAsia="Arial" w:cs="Arial"/>
          <w:b/>
          <w:bCs/>
          <w:color w:val="1F2933"/>
          <w:sz w:val="24"/>
          <w:szCs w:val="24"/>
        </w:rPr>
        <w:t>4.2 Limitations</w:t>
      </w:r>
    </w:p>
    <w:p w14:paraId="3604F7F6">
      <w:pPr>
        <w:pStyle w:val="5"/>
        <w:keepNext w:val="0"/>
        <w:keepLines w:val="0"/>
        <w:widowControl/>
        <w:suppressLineNumbers w:val="0"/>
        <w:kinsoku w:val="0"/>
        <w:autoSpaceDE w:val="0"/>
        <w:autoSpaceDN w:val="0"/>
        <w:adjustRightInd w:val="0"/>
        <w:snapToGrid w:val="0"/>
        <w:spacing w:before="61" w:beforeAutospacing="0" w:after="0" w:afterAutospacing="0" w:line="360" w:lineRule="auto"/>
        <w:ind w:left="0" w:right="37"/>
        <w:jc w:val="both"/>
        <w:textAlignment w:val="baseline"/>
        <w:rPr>
          <w:rFonts w:hint="default" w:ascii="Times New Roman" w:hAnsi="Times New Roman" w:cs="Times New Roman"/>
          <w:snapToGrid/>
          <w:color w:val="1F2933"/>
          <w:spacing w:val="3"/>
          <w:kern w:val="0"/>
          <w:sz w:val="21"/>
          <w:szCs w:val="21"/>
          <w:lang w:val="en-US" w:eastAsia="zh-CN" w:bidi="ar"/>
        </w:rPr>
      </w:pPr>
      <w:r>
        <w:rPr>
          <w:rFonts w:hint="default" w:ascii="Times New Roman" w:hAnsi="Times New Roman" w:cs="Times New Roman"/>
          <w:snapToGrid/>
          <w:color w:val="1F2933"/>
          <w:spacing w:val="3"/>
          <w:kern w:val="0"/>
          <w:sz w:val="21"/>
          <w:szCs w:val="21"/>
          <w:lang w:val="en-US" w:eastAsia="zh-CN" w:bidi="ar"/>
        </w:rPr>
        <w:t>BioTIP relies on state definitions supplied by the analyst, and both time points and cell labels are imperfect summaries of a continuous injury response. Downsampling and gene filtering were applied to obtain stable networks on a standard workstation; weaker modules might appear under larger, fully powered runs. Permutation tests randomise genes rather than cells, so significant ΔIc.shrink should be interpreted as coordinated expression statistics rather than definitive evidence of directionality. Finally, the gastrulation case study used cluster labels rather than the full 19-cluster tutorial setting, which should be considered when comparing figures to the original BioTIP walkthrough.</w:t>
      </w:r>
    </w:p>
    <w:p w14:paraId="44071A8F">
      <w:pPr>
        <w:spacing w:line="360" w:lineRule="auto"/>
        <w:rPr>
          <w:sz w:val="21"/>
          <w:szCs w:val="21"/>
        </w:rPr>
      </w:pPr>
    </w:p>
    <w:p w14:paraId="04A5B747">
      <w:pPr>
        <w:spacing w:before="66" w:line="360" w:lineRule="auto"/>
        <w:ind w:left="24"/>
        <w:rPr>
          <w:rFonts w:hint="default" w:ascii="Arial" w:hAnsi="Arial" w:eastAsia="Arial" w:cs="Arial"/>
          <w:b/>
          <w:bCs/>
          <w:color w:val="1F2933"/>
          <w:spacing w:val="3"/>
          <w:sz w:val="24"/>
          <w:szCs w:val="24"/>
        </w:rPr>
      </w:pPr>
      <w:r>
        <w:rPr>
          <w:rFonts w:ascii="Arial" w:hAnsi="Arial" w:eastAsia="Arial" w:cs="Arial"/>
          <w:b/>
          <w:bCs/>
          <w:color w:val="1F2933"/>
          <w:spacing w:val="3"/>
          <w:sz w:val="24"/>
          <w:szCs w:val="24"/>
        </w:rPr>
        <w:t>References</w:t>
      </w:r>
    </w:p>
    <w:p w14:paraId="48C56D1B">
      <w:pPr>
        <w:pStyle w:val="4"/>
        <w:spacing w:before="215" w:line="360" w:lineRule="auto"/>
        <w:ind w:right="39"/>
        <w:rPr>
          <w:color w:val="1F2933"/>
          <w:spacing w:val="6"/>
          <w:sz w:val="21"/>
          <w:szCs w:val="21"/>
        </w:rPr>
      </w:pPr>
      <w:r>
        <w:rPr>
          <w:rFonts w:hint="default"/>
          <w:color w:val="1F2933"/>
          <w:spacing w:val="6"/>
          <w:sz w:val="21"/>
          <w:szCs w:val="21"/>
        </w:rPr>
        <w:t>[1] Maximilian Strunz, Lukas M. Simon, Mohd Ansari, Jatin J. Kathiriya, Ilias Angelidis, Christoph H. Mayr, Georgios Tsidiridis, Markus Lange, Lukas F. Mattner, Mary Yee, et al. Alveolar regeneration through a Krt8+ transitional stem cell state that persists in human lung fibrosis. Nature Communications, 11:3559, 2020.</w:t>
      </w:r>
    </w:p>
    <w:p w14:paraId="5E275561">
      <w:pPr>
        <w:pStyle w:val="4"/>
        <w:spacing w:before="215" w:line="360" w:lineRule="auto"/>
        <w:ind w:left="355" w:right="39" w:hanging="331"/>
        <w:rPr>
          <w:rFonts w:hint="default"/>
          <w:color w:val="1F2933"/>
          <w:spacing w:val="6"/>
          <w:sz w:val="21"/>
          <w:szCs w:val="21"/>
        </w:rPr>
      </w:pPr>
      <w:r>
        <w:rPr>
          <w:rFonts w:hint="default"/>
          <w:color w:val="1F2933"/>
          <w:spacing w:val="6"/>
          <w:sz w:val="21"/>
          <w:szCs w:val="21"/>
        </w:rPr>
        <w:t>[2] X. Yang, H. Huang, Y. Fang, D. Jin, H. Lu, J. Xu, et al. BioTIP: a systems biology tool for identifying critical transitions in omics data. Nucleic Acids Research, 50(16):e91, 2022.</w:t>
      </w:r>
    </w:p>
    <w:p w14:paraId="07AFA730">
      <w:pPr>
        <w:pStyle w:val="4"/>
        <w:spacing w:before="215" w:line="360" w:lineRule="auto"/>
        <w:ind w:left="355" w:right="39" w:hanging="331"/>
        <w:rPr>
          <w:rFonts w:hint="default"/>
          <w:color w:val="1F2933"/>
          <w:spacing w:val="6"/>
          <w:sz w:val="21"/>
          <w:szCs w:val="21"/>
        </w:rPr>
      </w:pPr>
      <w:r>
        <w:rPr>
          <w:rFonts w:hint="default"/>
          <w:color w:val="1F2933"/>
          <w:spacing w:val="6"/>
          <w:sz w:val="21"/>
          <w:szCs w:val="21"/>
        </w:rPr>
        <w:t>[3] B. Pijuan-Sala, J.A. Griffiths, C. Guibentif, T.W. Hiscock, J. Mottram, C. Heger, et al. A single-cell molecular map of mouse gastrulation and early organogenesis. Nature, 566:490–495, 2019.</w:t>
      </w:r>
    </w:p>
    <w:p w14:paraId="6147BBF1">
      <w:pPr>
        <w:spacing w:before="66" w:line="360" w:lineRule="auto"/>
        <w:ind w:left="24"/>
        <w:rPr>
          <w:rFonts w:ascii="Arial" w:hAnsi="Arial" w:eastAsia="Arial" w:cs="Arial"/>
          <w:b/>
          <w:bCs/>
          <w:color w:val="1F2933"/>
          <w:spacing w:val="3"/>
          <w:sz w:val="23"/>
          <w:szCs w:val="23"/>
        </w:rPr>
      </w:pPr>
    </w:p>
    <w:p w14:paraId="08FE61AE">
      <w:pPr>
        <w:spacing w:before="66" w:line="360" w:lineRule="auto"/>
        <w:ind w:left="24"/>
        <w:rPr>
          <w:rFonts w:hint="default" w:ascii="Arial" w:hAnsi="Arial" w:eastAsia="Arial" w:cs="Arial"/>
          <w:b/>
          <w:bCs/>
          <w:color w:val="1F2933"/>
          <w:spacing w:val="3"/>
          <w:sz w:val="24"/>
          <w:szCs w:val="24"/>
        </w:rPr>
      </w:pPr>
      <w:r>
        <w:rPr>
          <w:rFonts w:ascii="Arial" w:hAnsi="Arial" w:eastAsia="Arial" w:cs="Arial"/>
          <w:b/>
          <w:bCs/>
          <w:color w:val="1F2933"/>
          <w:spacing w:val="3"/>
          <w:sz w:val="24"/>
          <w:szCs w:val="24"/>
        </w:rPr>
        <w:t>Supplementary materials</w:t>
      </w:r>
    </w:p>
    <w:p w14:paraId="61845479">
      <w:pPr>
        <w:pStyle w:val="4"/>
        <w:spacing w:before="215" w:line="240" w:lineRule="auto"/>
        <w:ind w:left="355" w:right="39" w:hanging="331"/>
        <w:rPr>
          <w:rFonts w:hint="default"/>
          <w:color w:val="1F2933"/>
          <w:spacing w:val="6"/>
          <w:sz w:val="21"/>
          <w:szCs w:val="21"/>
        </w:rPr>
      </w:pPr>
      <w:r>
        <w:rPr>
          <w:rFonts w:hint="default"/>
          <w:color w:val="1F2933"/>
          <w:spacing w:val="6"/>
          <w:sz w:val="21"/>
          <w:szCs w:val="21"/>
        </w:rPr>
        <w:t>Key R scripts (project folder GP2 ICA1 5.22):</w:t>
      </w:r>
    </w:p>
    <w:p w14:paraId="5C07496A">
      <w:pPr>
        <w:pStyle w:val="4"/>
        <w:spacing w:before="215" w:line="240" w:lineRule="auto"/>
        <w:ind w:right="39"/>
        <w:rPr>
          <w:rFonts w:hint="default"/>
          <w:color w:val="1F2933"/>
          <w:spacing w:val="6"/>
          <w:sz w:val="21"/>
          <w:szCs w:val="21"/>
        </w:rPr>
      </w:pPr>
      <w:r>
        <w:rPr>
          <w:rFonts w:hint="default"/>
          <w:color w:val="1F2933"/>
          <w:spacing w:val="6"/>
          <w:sz w:val="21"/>
          <w:szCs w:val="21"/>
        </w:rPr>
        <w:t>02_modules/M010_biotip_case_study/03_code/run_gse87038_case_study_simplified.R</w:t>
      </w:r>
    </w:p>
    <w:p w14:paraId="035D7B43">
      <w:pPr>
        <w:pStyle w:val="4"/>
        <w:spacing w:before="215" w:line="240" w:lineRule="auto"/>
        <w:ind w:right="39"/>
        <w:rPr>
          <w:rFonts w:hint="default"/>
          <w:color w:val="1F2933"/>
          <w:spacing w:val="6"/>
          <w:sz w:val="21"/>
          <w:szCs w:val="21"/>
        </w:rPr>
      </w:pPr>
      <w:r>
        <w:rPr>
          <w:rFonts w:hint="default"/>
          <w:color w:val="1F2933"/>
          <w:spacing w:val="6"/>
          <w:sz w:val="21"/>
          <w:szCs w:val="21"/>
        </w:rPr>
        <w:t>02_modules/M030_gse141259_preprocessing/03_code/preprocess_gse141259.R</w:t>
      </w:r>
    </w:p>
    <w:p w14:paraId="69649024">
      <w:pPr>
        <w:pStyle w:val="4"/>
        <w:spacing w:before="215" w:line="240" w:lineRule="auto"/>
        <w:ind w:right="39"/>
        <w:rPr>
          <w:rFonts w:hint="default"/>
          <w:color w:val="1F2933"/>
          <w:spacing w:val="6"/>
          <w:sz w:val="21"/>
          <w:szCs w:val="21"/>
        </w:rPr>
      </w:pPr>
      <w:r>
        <w:rPr>
          <w:rFonts w:hint="default"/>
          <w:color w:val="1F2933"/>
          <w:spacing w:val="6"/>
          <w:sz w:val="21"/>
          <w:szCs w:val="21"/>
        </w:rPr>
        <w:t>STEP6_run_lung_AB_figures.R and STEP6B_fix_analysisB_figures.R</w:t>
      </w:r>
    </w:p>
    <w:p w14:paraId="65EBD8EB">
      <w:pPr>
        <w:pStyle w:val="4"/>
        <w:spacing w:before="215" w:line="240" w:lineRule="auto"/>
        <w:ind w:right="39"/>
        <w:rPr>
          <w:rFonts w:hint="eastAsia" w:eastAsia="宋体"/>
          <w:sz w:val="21"/>
          <w:szCs w:val="21"/>
          <w:lang w:eastAsia="zh-CN"/>
        </w:rPr>
        <w:sectPr>
          <w:footerReference r:id="rId6" w:type="default"/>
          <w:pgSz w:w="11906" w:h="16838"/>
          <w:pgMar w:top="1430" w:right="1400" w:bottom="988" w:left="1439" w:header="0" w:footer="796" w:gutter="0"/>
          <w:cols w:space="720" w:num="1"/>
        </w:sectPr>
      </w:pPr>
      <w:r>
        <w:rPr>
          <w:rFonts w:hint="default"/>
          <w:color w:val="1F2933"/>
          <w:spacing w:val="6"/>
          <w:sz w:val="21"/>
          <w:szCs w:val="21"/>
        </w:rPr>
        <w:t>Session information: R 4.5.2; BioTIP 1.23.0; Seurat 5.5.0; GEOquery 2.78.0</w:t>
      </w:r>
      <w:r>
        <w:rPr>
          <w:rFonts w:hint="eastAsia" w:eastAsia="宋体"/>
          <w:color w:val="1F2933"/>
          <w:spacing w:val="6"/>
          <w:sz w:val="21"/>
          <w:szCs w:val="21"/>
          <w:lang w:eastAsia="zh-CN"/>
        </w:rPr>
        <w:t>。</w:t>
      </w:r>
    </w:p>
    <w:p w14:paraId="28FA98BE">
      <w:pPr>
        <w:pStyle w:val="4"/>
        <w:spacing w:before="215" w:line="360" w:lineRule="auto"/>
        <w:ind w:right="39"/>
        <w:rPr>
          <w:rFonts w:hint="default"/>
          <w:color w:val="1F2933"/>
          <w:spacing w:val="6"/>
          <w:sz w:val="21"/>
          <w:szCs w:val="21"/>
        </w:rPr>
      </w:pPr>
    </w:p>
    <w:sectPr>
      <w:footerReference r:id="rId7" w:type="default"/>
      <w:pgSz w:w="11906" w:h="16838"/>
      <w:pgMar w:top="1431" w:right="1400" w:bottom="991" w:left="1433" w:header="0" w:footer="79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Arial Bold">
    <w:panose1 w:val="020B0604020202090204"/>
    <w:charset w:val="00"/>
    <w:family w:val="auto"/>
    <w:pitch w:val="default"/>
    <w:sig w:usb0="E0000AFF" w:usb1="00007843" w:usb2="00000001" w:usb3="00000000" w:csb0="400001BF" w:csb1="DFF70000"/>
  </w:font>
  <w:font w:name="Arial">
    <w:panose1 w:val="020B0604020202090204"/>
    <w:charset w:val="00"/>
    <w:family w:val="auto"/>
    <w:pitch w:val="default"/>
    <w:sig w:usb0="E0000AFF" w:usb1="00007843" w:usb2="00000001" w:usb3="00000000" w:csb0="400001BF" w:csb1="DFF7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Times New Roman Bold">
    <w:panose1 w:val="02020503050405090304"/>
    <w:charset w:val="00"/>
    <w:family w:val="auto"/>
    <w:pitch w:val="default"/>
    <w:sig w:usb0="E0000AFF" w:usb1="00007843" w:usb2="00000001" w:usb3="00000000" w:csb0="400001BF" w:csb1="DFF7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6D8092">
    <w:pPr>
      <w:pStyle w:val="4"/>
      <w:spacing w:line="183" w:lineRule="auto"/>
      <w:ind w:left="4490"/>
      <w:rPr>
        <w:sz w:val="21"/>
        <w:szCs w:val="21"/>
      </w:rPr>
    </w:pPr>
    <w:r>
      <w:rPr>
        <w:color w:val="5C6670"/>
        <w:sz w:val="21"/>
        <w:szCs w:val="21"/>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9E6CB0">
    <w:pPr>
      <w:pStyle w:val="4"/>
      <w:spacing w:line="180" w:lineRule="auto"/>
      <w:ind w:left="4469"/>
      <w:rPr>
        <w:sz w:val="21"/>
        <w:szCs w:val="21"/>
      </w:rPr>
    </w:pPr>
    <w:r>
      <w:rPr>
        <w:color w:val="1F2933"/>
        <w:sz w:val="21"/>
        <w:szCs w:val="21"/>
      </w:rPr>
      <w:t>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1880B">
    <w:pPr>
      <w:pStyle w:val="4"/>
      <w:spacing w:line="183" w:lineRule="auto"/>
      <w:ind w:left="4474"/>
      <w:rPr>
        <w:sz w:val="21"/>
        <w:szCs w:val="21"/>
      </w:rPr>
    </w:pPr>
    <w:r>
      <w:rPr>
        <w:color w:val="1F2933"/>
        <w:sz w:val="21"/>
        <w:szCs w:val="21"/>
      </w:rPr>
      <w:t>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ulTrailSpace/>
    <w:doNotExpandShiftReturn/>
    <w:adjustLineHeightInTable/>
    <w:doNotWrapTextWithPunct/>
    <w:doNotUseEastAsianBreakRules/>
    <w:useFELayout/>
    <w:compatSetting w:name="compatibilityMode" w:uri="http://schemas.microsoft.com/office/word" w:val="14"/>
  </w:compat>
  <w:rsids>
    <w:rsidRoot w:val="00000000"/>
    <w:rsid w:val="47FDDE6B"/>
    <w:rsid w:val="4A7FA806"/>
    <w:rsid w:val="4FF37CE6"/>
    <w:rsid w:val="5EFDAE03"/>
    <w:rsid w:val="7F7F2288"/>
    <w:rsid w:val="96D74CB3"/>
    <w:rsid w:val="EFFE5C84"/>
    <w:rsid w:val="FFDFCA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Body Text"/>
    <w:basedOn w:val="1"/>
    <w:semiHidden/>
    <w:qFormat/>
    <w:uiPriority w:val="0"/>
    <w:rPr>
      <w:rFonts w:ascii="Times New Roman" w:hAnsi="Times New Roman" w:eastAsia="Times New Roman" w:cs="Times New Roman"/>
      <w:sz w:val="19"/>
      <w:szCs w:val="19"/>
      <w:lang w:val="en-US" w:eastAsia="en-US" w:bidi="ar-SA"/>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TML Code"/>
    <w:basedOn w:val="7"/>
    <w:uiPriority w:val="0"/>
    <w:rPr>
      <w:rFonts w:ascii="Courier New" w:hAnsi="Courier New"/>
      <w:sz w:val="20"/>
    </w:rPr>
  </w:style>
  <w:style w:type="table" w:customStyle="1" w:styleId="11">
    <w:name w:val="Table Normal"/>
    <w:semiHidden/>
    <w:unhideWhenUsed/>
    <w:qFormat/>
    <w:uiPriority w:val="0"/>
    <w:tblPr>
      <w:tblCellMar>
        <w:top w:w="0" w:type="dxa"/>
        <w:left w:w="0" w:type="dxa"/>
        <w:bottom w:w="0" w:type="dxa"/>
        <w:right w:w="0" w:type="dxa"/>
      </w:tblCellMar>
    </w:tblPr>
  </w:style>
  <w:style w:type="paragraph" w:customStyle="1" w:styleId="12">
    <w:name w:val="Table Text"/>
    <w:basedOn w:val="1"/>
    <w:semiHidden/>
    <w:qFormat/>
    <w:uiPriority w:val="0"/>
    <w:rPr>
      <w:rFonts w:ascii="Times New Roman" w:hAnsi="Times New Roman" w:eastAsia="Times New Roman" w:cs="Times New Roma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2280</Words>
  <Characters>13410</Characters>
  <Lines>1</Lines>
  <Paragraphs>1</Paragraphs>
  <TotalTime>1503</TotalTime>
  <ScaleCrop>false</ScaleCrop>
  <LinksUpToDate>false</LinksUpToDate>
  <CharactersWithSpaces>15564</CharactersWithSpaces>
  <Application>WPS Office_12.1.25869.25869_F1E327BC-269C-435d-A152-05C5408002CA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2026-05-12T05:31:00Z</dcterms:created>
  <dc:creator>Data</dc:creator>
  <cp:lastModifiedBy>刘同桐</cp:lastModifiedBy>
  <dcterms:modified xsi:type="dcterms:W3CDTF">2026-06-10T03:53:16Z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2026-05-11T22:45:10Z</vt:filetime>
  </property>
  <property fmtid="{D5CDD505-2E9C-101B-9397-08002B2CF9AE}" pid="4" name="KSOProductBuildVer">
    <vt:lpwstr>2052-12.1.25869.25869</vt:lpwstr>
  </property>
  <property fmtid="{D5CDD505-2E9C-101B-9397-08002B2CF9AE}" pid="5" name="ICV">
    <vt:lpwstr>7E2B5B8CA77F06BEE7B4146AC34066E0_42</vt:lpwstr>
  </property>
</Properties>
</file>