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72"/>
        </w:rPr>
        <w:t>MHISTREE</w:t>
      </w:r>
    </w:p>
    <w:p>
      <w:pPr>
        <w:jc w:val="center"/>
      </w:pPr>
      <w:r>
        <w:rPr>
          <w:b/>
          <w:sz w:val="40"/>
        </w:rPr>
        <w:t>Complete Product, Clinical Workflow &amp; MVP Engineering Specification</w:t>
      </w:r>
    </w:p>
    <w:p>
      <w:pPr>
        <w:jc w:val="center"/>
      </w:pPr>
      <w:r>
        <w:rPr>
          <w:sz w:val="24"/>
        </w:rPr>
        <w:t>Longitudinal Health Companion | Patient + AI + Clinician + HMO/NHIA Data Layer</w:t>
      </w:r>
    </w:p>
    <w:p>
      <w:pPr>
        <w:spacing w:after="100" w:line="259" w:lineRule="auto"/>
      </w:pPr>
      <w:r>
        <w:t>Version 2.0 - MVP implementation specification</w:t>
      </w:r>
    </w:p>
    <w:p>
      <w:pPr>
        <w:spacing w:after="100" w:line="259" w:lineRule="auto"/>
      </w:pPr>
      <w:r>
        <w:t>Audience: founders, product managers, frontend/backend developers, AI engineers, data engineers, security/privacy engineers, clinicians, hospital administrators, HMO/claims stakeholders, QA engineers and implementation agents.</w:t>
      </w:r>
    </w:p>
    <w:p>
      <w:pPr>
        <w:spacing w:after="100" w:line="259" w:lineRule="auto"/>
      </w:pPr>
      <w:r>
        <w:t>Purpose: turn the supplied Mhistree architectural blueprint into an implementable MVP with explicit workflows, data contracts, memory behavior, clinical safety boundaries, access controls, and acceptance criteria.</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pPr>
              <w:spacing w:after="0"/>
            </w:pPr>
            <w:r/>
            <w:r>
              <w:rPr>
                <w:b/>
                <w:sz w:val="17"/>
              </w:rPr>
              <w:t>Document rule</w:t>
            </w:r>
          </w:p>
        </w:tc>
        <w:tc>
          <w:tcPr>
            <w:tcW w:type="dxa" w:w="5112"/>
            <w:vAlign w:val="center"/>
            <w:shd w:fill="D9EAF7"/>
          </w:tcPr>
          <w:p>
            <w:pPr>
              <w:spacing w:after="0"/>
            </w:pPr>
            <w:r/>
            <w:r>
              <w:rPr>
                <w:b/>
                <w:sz w:val="17"/>
              </w:rPr>
              <w:t>Meaning</w:t>
            </w:r>
          </w:p>
        </w:tc>
      </w:tr>
      <w:tr>
        <w:tc>
          <w:tcPr>
            <w:tcW w:type="dxa" w:w="5112"/>
            <w:vAlign w:val="center"/>
          </w:tcPr>
          <w:p>
            <w:pPr>
              <w:spacing w:after="0"/>
            </w:pPr>
            <w:r/>
            <w:r>
              <w:rPr>
                <w:b w:val="0"/>
                <w:sz w:val="17"/>
              </w:rPr>
              <w:t>Source-derived requirements</w:t>
            </w:r>
          </w:p>
        </w:tc>
        <w:tc>
          <w:tcPr>
            <w:tcW w:type="dxa" w:w="5112"/>
            <w:vAlign w:val="center"/>
          </w:tcPr>
          <w:p>
            <w:pPr>
              <w:spacing w:after="0"/>
            </w:pPr>
            <w:r/>
            <w:r>
              <w:rPr>
                <w:b w:val="0"/>
                <w:sz w:val="17"/>
              </w:rPr>
              <w:t>Preserve the product ideas supplied by the Mhistree blueprint: dual context, patient-controlled lease access, clinician AI workspace, probabilistic hypotheses, longitudinal timeline, HMO compaction.</w:t>
            </w:r>
          </w:p>
        </w:tc>
      </w:tr>
      <w:tr>
        <w:tc>
          <w:tcPr>
            <w:tcW w:type="dxa" w:w="5112"/>
            <w:vAlign w:val="center"/>
          </w:tcPr>
          <w:p>
            <w:pPr>
              <w:spacing w:after="0"/>
            </w:pPr>
            <w:r/>
            <w:r>
              <w:rPr>
                <w:b w:val="0"/>
                <w:sz w:val="17"/>
              </w:rPr>
              <w:t>Engineering additions</w:t>
            </w:r>
          </w:p>
        </w:tc>
        <w:tc>
          <w:tcPr>
            <w:tcW w:type="dxa" w:w="5112"/>
            <w:vAlign w:val="center"/>
          </w:tcPr>
          <w:p>
            <w:pPr>
              <w:spacing w:after="0"/>
            </w:pPr>
            <w:r/>
            <w:r>
              <w:rPr>
                <w:b w:val="0"/>
                <w:sz w:val="17"/>
              </w:rPr>
              <w:t>Detailed implementation decisions added to close gaps and make the MVP buildable.</w:t>
            </w:r>
          </w:p>
        </w:tc>
      </w:tr>
      <w:tr>
        <w:tc>
          <w:tcPr>
            <w:tcW w:type="dxa" w:w="5112"/>
            <w:vAlign w:val="center"/>
          </w:tcPr>
          <w:p>
            <w:pPr>
              <w:spacing w:after="0"/>
            </w:pPr>
            <w:r/>
            <w:r>
              <w:rPr>
                <w:b w:val="0"/>
                <w:sz w:val="17"/>
              </w:rPr>
              <w:t>Research constraints</w:t>
            </w:r>
          </w:p>
        </w:tc>
        <w:tc>
          <w:tcPr>
            <w:tcW w:type="dxa" w:w="5112"/>
            <w:vAlign w:val="center"/>
          </w:tcPr>
          <w:p>
            <w:pPr>
              <w:spacing w:after="0"/>
            </w:pPr>
            <w:r/>
            <w:r>
              <w:rPr>
                <w:b w:val="0"/>
                <w:sz w:val="17"/>
              </w:rPr>
              <w:t>External standards and guidance are used to validate privacy, interoperability, provenance and AI governance. They do not replace local legal review or clinical validation.</w:t>
            </w:r>
          </w:p>
        </w:tc>
      </w:tr>
    </w:tbl>
    <w:p/>
    <w:p>
      <w:pPr>
        <w:pStyle w:val="Heading1"/>
      </w:pPr>
      <w:r>
        <w:t>1. Product Definition</w:t>
      </w:r>
    </w:p>
    <w:p>
      <w:pPr>
        <w:spacing w:after="100" w:line="259" w:lineRule="auto"/>
      </w:pPr>
      <w:r>
        <w:t>Mhistree is a longitudinal health companion that continuously converts everyday patient interactions, device data and clinical records into a trustworthy, time-aware health record while keeping personal diary content separate from shareable clinical information. The product is both a patient companion and a clinician-facing clinical data utility.</w:t>
      </w:r>
    </w:p>
    <w:p>
      <w:pPr>
        <w:spacing w:after="100" w:line="259" w:lineRule="auto"/>
      </w:pPr>
      <w:r>
        <w:t>The core product promise is: the patient can talk naturally every day, start a fresh technical conversation session at any time, and still experience continuity because Mhistree maintains a structured long-term memory outside the live LLM context window.</w:t>
      </w:r>
    </w:p>
    <w:p>
      <w:pPr>
        <w:spacing w:after="100" w:line="259" w:lineRule="auto"/>
      </w:pPr>
      <w:r>
        <w:t>The clinician receives only the Health Context permitted by the patient. The clinician does not receive the patient’s private diary or unrelated personal conversation merely because the patient uses Mhistree.</w:t>
      </w:r>
    </w:p>
    <w:p>
      <w:pPr>
        <w:pStyle w:val="Heading2"/>
      </w:pPr>
      <w:r>
        <w:t>1.1 The problem Mhistree solves</w:t>
      </w:r>
    </w:p>
    <w:p>
      <w:pPr>
        <w:pStyle w:val="ListBullet"/>
        <w:spacing w:after="40"/>
      </w:pPr>
      <w:r>
        <w:t>Patients forget dates, symptom progression, medications, prior tests and what happened between appointments.</w:t>
      </w:r>
    </w:p>
    <w:p>
      <w:pPr>
        <w:pStyle w:val="ListBullet"/>
        <w:spacing w:after="40"/>
      </w:pPr>
      <w:r>
        <w:t>Clinical history is fragmented across paper records, hospital systems, devices, chat, memory and documents.</w:t>
      </w:r>
    </w:p>
    <w:p>
      <w:pPr>
        <w:pStyle w:val="ListBullet"/>
        <w:spacing w:after="40"/>
      </w:pPr>
      <w:r>
        <w:t>Clinicians spend time reconstructing history that could have been collected before the consultation.</w:t>
      </w:r>
    </w:p>
    <w:p>
      <w:pPr>
        <w:pStyle w:val="ListBullet"/>
        <w:spacing w:after="40"/>
      </w:pPr>
      <w:r>
        <w:t>AI assistants normally have a context-window problem: sending every previous conversation into every new prompt is expensive, slow and increasingly noisy.</w:t>
      </w:r>
    </w:p>
    <w:p>
      <w:pPr>
        <w:pStyle w:val="ListBullet"/>
        <w:spacing w:after="40"/>
      </w:pPr>
      <w:r>
        <w:t>Patients need continuity and personalization without giving clinicians unrestricted access to personal diary content.</w:t>
      </w:r>
    </w:p>
    <w:p>
      <w:pPr>
        <w:pStyle w:val="ListBullet"/>
        <w:spacing w:after="40"/>
      </w:pPr>
      <w:r>
        <w:t>Organizations need compact, standardized clinical and claims data instead of raw conversational transcripts.</w:t>
      </w:r>
    </w:p>
    <w:p>
      <w:pPr>
        <w:pStyle w:val="Heading2"/>
      </w:pPr>
      <w:r>
        <w:t>1.2 Product goals</w:t>
      </w:r>
    </w:p>
    <w:p>
      <w:pPr>
        <w:pStyle w:val="ListBullet"/>
        <w:spacing w:after="40"/>
      </w:pPr>
      <w:r>
        <w:t>Create a durable longitudinal clinical timeline from daily patient interactions.</w:t>
      </w:r>
    </w:p>
    <w:p>
      <w:pPr>
        <w:pStyle w:val="ListBullet"/>
        <w:spacing w:after="40"/>
      </w:pPr>
      <w:r>
        <w:t>Provide a natural AI companion without forcing the user through a medical questionnaire.</w:t>
      </w:r>
    </w:p>
    <w:p>
      <w:pPr>
        <w:pStyle w:val="ListBullet"/>
        <w:spacing w:after="40"/>
      </w:pPr>
      <w:r>
        <w:t>Keep personal and health memories separate by design, not merely by UI wording.</w:t>
      </w:r>
    </w:p>
    <w:p>
      <w:pPr>
        <w:pStyle w:val="ListBullet"/>
        <w:spacing w:after="40"/>
      </w:pPr>
      <w:r>
        <w:t>Give clinicians a rapid, evidence-linked view of the patient with provenance and uncertainty visible.</w:t>
      </w:r>
    </w:p>
    <w:p>
      <w:pPr>
        <w:pStyle w:val="ListBullet"/>
        <w:spacing w:after="40"/>
      </w:pPr>
      <w:r>
        <w:t>Allow patients to grant time-bound, scoped access using an access lease.</w:t>
      </w:r>
    </w:p>
    <w:p>
      <w:pPr>
        <w:pStyle w:val="ListBullet"/>
        <w:spacing w:after="40"/>
      </w:pPr>
      <w:r>
        <w:t>Enable future FHIR-based exchange and Nigerian claims/HMO exports without coupling the core product to a single hospital format.</w:t>
      </w:r>
    </w:p>
    <w:p>
      <w:pPr>
        <w:pStyle w:val="ListBullet"/>
        <w:spacing w:after="40"/>
      </w:pPr>
      <w:r>
        <w:t>Make every important clinical fact traceable to its source and transformation history.</w:t>
      </w:r>
    </w:p>
    <w:p>
      <w:pPr>
        <w:pStyle w:val="Heading2"/>
      </w:pPr>
      <w:r>
        <w:t>1.3 Non-goals for MVP</w:t>
      </w:r>
    </w:p>
    <w:p>
      <w:pPr>
        <w:pStyle w:val="ListBullet"/>
        <w:spacing w:after="40"/>
      </w:pPr>
      <w:r>
        <w:t>Mhistree is not an autonomous diagnosing physician.</w:t>
      </w:r>
    </w:p>
    <w:p>
      <w:pPr>
        <w:pStyle w:val="ListBullet"/>
        <w:spacing w:after="40"/>
      </w:pPr>
      <w:r>
        <w:t>Mhistree does not make a final medical diagnosis or medication decision without qualified clinical oversight.</w:t>
      </w:r>
    </w:p>
    <w:p>
      <w:pPr>
        <w:pStyle w:val="ListBullet"/>
        <w:spacing w:after="40"/>
      </w:pPr>
      <w:r>
        <w:t>Mhistree does not convert an AI hypothesis directly into a billable diagnosis code.</w:t>
      </w:r>
    </w:p>
    <w:p>
      <w:pPr>
        <w:pStyle w:val="ListBullet"/>
        <w:spacing w:after="40"/>
      </w:pPr>
      <w:r>
        <w:t>Mhistree does not expose the patient’s private diary to doctors under the normal lease.</w:t>
      </w:r>
    </w:p>
    <w:p>
      <w:pPr>
        <w:pStyle w:val="ListBullet"/>
        <w:spacing w:after="40"/>
      </w:pPr>
      <w:r>
        <w:t>Mhistree does not require a single giant vector database to be the source of truth for health facts.</w:t>
      </w:r>
    </w:p>
    <w:p>
      <w:pPr>
        <w:pStyle w:val="Heading1"/>
      </w:pPr>
      <w:r>
        <w:t>2. Design Principles</w:t>
      </w:r>
    </w:p>
    <w:p>
      <w:pPr>
        <w:pStyle w:val="ListBullet"/>
        <w:spacing w:after="40"/>
      </w:pPr>
      <w:r>
        <w:t>Clinical truth before conversational convenience: structured clinical records are the source of truth; AI memory is a retrieval aid.</w:t>
      </w:r>
    </w:p>
    <w:p>
      <w:pPr>
        <w:pStyle w:val="ListBullet"/>
        <w:spacing w:after="40"/>
      </w:pPr>
      <w:r>
        <w:t>Provenance first: every health event carries who/what generated it, when, confidence/status and supporting evidence.</w:t>
      </w:r>
    </w:p>
    <w:p>
      <w:pPr>
        <w:pStyle w:val="ListBullet"/>
        <w:spacing w:after="40"/>
      </w:pPr>
      <w:r>
        <w:t>Privacy by architecture: personal and health contexts live in separate logical stores and have different authorization paths.</w:t>
      </w:r>
    </w:p>
    <w:p>
      <w:pPr>
        <w:pStyle w:val="ListBullet"/>
        <w:spacing w:after="40"/>
      </w:pPr>
      <w:r>
        <w:t>Minimum necessary access: a doctor gets only the patient health data needed for the granted purpose and time window.</w:t>
      </w:r>
    </w:p>
    <w:p>
      <w:pPr>
        <w:pStyle w:val="ListBullet"/>
        <w:spacing w:after="40"/>
      </w:pPr>
      <w:r>
        <w:t>Fresh sessions, durable memory: technical chat sessions are disposable; long-term memory is persistent and selective.</w:t>
      </w:r>
    </w:p>
    <w:p>
      <w:pPr>
        <w:pStyle w:val="ListBullet"/>
        <w:spacing w:after="40"/>
      </w:pPr>
      <w:r>
        <w:t>Uncertainty must be explicit: probability/risk/hypothesis is not the same as confirmed diagnosis.</w:t>
      </w:r>
    </w:p>
    <w:p>
      <w:pPr>
        <w:pStyle w:val="ListBullet"/>
        <w:spacing w:after="40"/>
      </w:pPr>
      <w:r>
        <w:t>Human-in-the-loop for consequential clinical actions: AI may propose, summarize or rank; authorized clinicians verify.</w:t>
      </w:r>
    </w:p>
    <w:p>
      <w:pPr>
        <w:pStyle w:val="ListBullet"/>
        <w:spacing w:after="40"/>
      </w:pPr>
      <w:r>
        <w:t>Every transformation must be reversible to source evidence: a summary should be able to point to supporting events.</w:t>
      </w:r>
    </w:p>
    <w:p>
      <w:pPr>
        <w:pStyle w:val="Heading1"/>
      </w:pPr>
      <w:r>
        <w:t>3. End-to-End Product Architecture</w:t>
      </w:r>
    </w:p>
    <w:p>
      <w:pPr>
        <w:pStyle w:val="Code"/>
        <w:spacing w:after="80"/>
        <w:ind w:left="288"/>
      </w:pPr>
      <w:r>
        <w:t>Patient App -&gt; API Gateway -&gt; Session Service -&gt; Conversation Orchestrator</w:t>
        <w:br/>
        <w:t xml:space="preserve">                             |</w:t>
        <w:br/>
        <w:t xml:space="preserve">                             +-&gt; Memory/Context Router</w:t>
        <w:br/>
        <w:t xml:space="preserve">                             |       +-&gt; Personal Memory Store</w:t>
        <w:br/>
        <w:t xml:space="preserve">                             |       +-&gt; Health Memory Store</w:t>
        <w:br/>
        <w:t xml:space="preserve">                             |       +-&gt; Clinical Ledger</w:t>
        <w:br/>
        <w:t xml:space="preserve">                             |       +-&gt; Retrieval Index</w:t>
        <w:br/>
        <w:t xml:space="preserve">                             |</w:t>
        <w:br/>
        <w:t xml:space="preserve">                             +-&gt; Extraction/Classification Pipeline</w:t>
        <w:br/>
        <w:t xml:space="preserve">                             |       +-&gt; Noise Filter</w:t>
        <w:br/>
        <w:t xml:space="preserve">                             |       +-&gt; Clinical Event Extractor</w:t>
        <w:br/>
        <w:t xml:space="preserve">                             |       +-&gt; Provenance/Confidence</w:t>
        <w:br/>
        <w:t xml:space="preserve">                             |</w:t>
        <w:br/>
        <w:t xml:space="preserve">                             +-&gt; Safety/Policy Layer</w:t>
        <w:br/>
        <w:t xml:space="preserve">                             |</w:t>
        <w:br/>
        <w:t xml:space="preserve">                             +-&gt; Object Storage / Documents / Media</w:t>
        <w:br/>
        <w:t xml:space="preserve">                             |</w:t>
        <w:br/>
        <w:t xml:space="preserve">                             +-&gt; Clinician Portal -&gt; Scoped Lease -&gt; Health Context only</w:t>
        <w:br/>
        <w:t xml:space="preserve">                             |</w:t>
        <w:br/>
        <w:t xml:space="preserve">                             +-&gt; Claims/HMO Export -&gt; Verified clinical facts only</w:t>
      </w:r>
    </w:p>
    <w:p>
      <w:pPr>
        <w:spacing w:after="100" w:line="259" w:lineRule="auto"/>
      </w:pPr>
      <w:r>
        <w:t>Recommended MVP implementation: a modular monolith is preferable to prematurely splitting the product into many microservices. Keep clean module boundaries so high-volume components (embedding, ingestion, notifications, document processing) can later be extracted.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pPr>
              <w:spacing w:after="0"/>
            </w:pPr>
            <w:r/>
            <w:r>
              <w:rPr>
                <w:b/>
                <w:sz w:val="17"/>
              </w:rPr>
              <w:t>Layer</w:t>
            </w:r>
          </w:p>
        </w:tc>
        <w:tc>
          <w:tcPr>
            <w:tcW w:type="dxa" w:w="3408"/>
            <w:vAlign w:val="center"/>
            <w:shd w:fill="D9EAF7"/>
          </w:tcPr>
          <w:p>
            <w:pPr>
              <w:spacing w:after="0"/>
            </w:pPr>
            <w:r/>
            <w:r>
              <w:rPr>
                <w:b/>
                <w:sz w:val="17"/>
              </w:rPr>
              <w:t>MVP responsibility</w:t>
            </w:r>
          </w:p>
        </w:tc>
        <w:tc>
          <w:tcPr>
            <w:tcW w:type="dxa" w:w="3408"/>
            <w:vAlign w:val="center"/>
            <w:shd w:fill="D9EAF7"/>
          </w:tcPr>
          <w:p>
            <w:pPr>
              <w:spacing w:after="0"/>
            </w:pPr>
            <w:r/>
            <w:r>
              <w:rPr>
                <w:b/>
                <w:sz w:val="17"/>
              </w:rPr>
              <w:t>Suggested technology</w:t>
            </w:r>
          </w:p>
        </w:tc>
      </w:tr>
      <w:tr>
        <w:tc>
          <w:tcPr>
            <w:tcW w:type="dxa" w:w="3408"/>
            <w:vAlign w:val="center"/>
          </w:tcPr>
          <w:p>
            <w:pPr>
              <w:spacing w:after="0"/>
            </w:pPr>
            <w:r/>
            <w:r>
              <w:rPr>
                <w:b w:val="0"/>
                <w:sz w:val="17"/>
              </w:rPr>
              <w:t>Web/mobile UI</w:t>
            </w:r>
          </w:p>
        </w:tc>
        <w:tc>
          <w:tcPr>
            <w:tcW w:type="dxa" w:w="3408"/>
            <w:vAlign w:val="center"/>
          </w:tcPr>
          <w:p>
            <w:pPr>
              <w:spacing w:after="0"/>
            </w:pPr>
            <w:r/>
            <w:r>
              <w:rPr>
                <w:b w:val="0"/>
                <w:sz w:val="17"/>
              </w:rPr>
              <w:t>Patient chat, timeline, document upload, lease QR/OTP; clinician roster, EMR view and AI console</w:t>
            </w:r>
          </w:p>
        </w:tc>
        <w:tc>
          <w:tcPr>
            <w:tcW w:type="dxa" w:w="3408"/>
            <w:vAlign w:val="center"/>
          </w:tcPr>
          <w:p>
            <w:pPr>
              <w:spacing w:after="0"/>
            </w:pPr>
            <w:r/>
            <w:r>
              <w:rPr>
                <w:b w:val="0"/>
                <w:sz w:val="17"/>
              </w:rPr>
              <w:t>Next.js/React; React Native later</w:t>
            </w:r>
          </w:p>
        </w:tc>
      </w:tr>
      <w:tr>
        <w:tc>
          <w:tcPr>
            <w:tcW w:type="dxa" w:w="3408"/>
            <w:vAlign w:val="center"/>
          </w:tcPr>
          <w:p>
            <w:pPr>
              <w:spacing w:after="0"/>
            </w:pPr>
            <w:r/>
            <w:r>
              <w:rPr>
                <w:b w:val="0"/>
                <w:sz w:val="17"/>
              </w:rPr>
              <w:t>API</w:t>
            </w:r>
          </w:p>
        </w:tc>
        <w:tc>
          <w:tcPr>
            <w:tcW w:type="dxa" w:w="3408"/>
            <w:vAlign w:val="center"/>
          </w:tcPr>
          <w:p>
            <w:pPr>
              <w:spacing w:after="0"/>
            </w:pPr>
            <w:r/>
            <w:r>
              <w:rPr>
                <w:b w:val="0"/>
                <w:sz w:val="17"/>
              </w:rPr>
              <w:t>Auth, patients, sessions, messages, events, leases, clinician workspace, export</w:t>
            </w:r>
          </w:p>
        </w:tc>
        <w:tc>
          <w:tcPr>
            <w:tcW w:type="dxa" w:w="3408"/>
            <w:vAlign w:val="center"/>
          </w:tcPr>
          <w:p>
            <w:pPr>
              <w:spacing w:after="0"/>
            </w:pPr>
            <w:r/>
            <w:r>
              <w:rPr>
                <w:b w:val="0"/>
                <w:sz w:val="17"/>
              </w:rPr>
              <w:t>Node.js/TypeScript</w:t>
            </w:r>
          </w:p>
        </w:tc>
      </w:tr>
      <w:tr>
        <w:tc>
          <w:tcPr>
            <w:tcW w:type="dxa" w:w="3408"/>
            <w:vAlign w:val="center"/>
          </w:tcPr>
          <w:p>
            <w:pPr>
              <w:spacing w:after="0"/>
            </w:pPr>
            <w:r/>
            <w:r>
              <w:rPr>
                <w:b w:val="0"/>
                <w:sz w:val="17"/>
              </w:rPr>
              <w:t>Primary DB</w:t>
            </w:r>
          </w:p>
        </w:tc>
        <w:tc>
          <w:tcPr>
            <w:tcW w:type="dxa" w:w="3408"/>
            <w:vAlign w:val="center"/>
          </w:tcPr>
          <w:p>
            <w:pPr>
              <w:spacing w:after="0"/>
            </w:pPr>
            <w:r/>
            <w:r>
              <w:rPr>
                <w:b w:val="0"/>
                <w:sz w:val="17"/>
              </w:rPr>
              <w:t>Users, permissions, clinical ledger, encounters, sessions, memory metadata</w:t>
            </w:r>
          </w:p>
        </w:tc>
        <w:tc>
          <w:tcPr>
            <w:tcW w:type="dxa" w:w="3408"/>
            <w:vAlign w:val="center"/>
          </w:tcPr>
          <w:p>
            <w:pPr>
              <w:spacing w:after="0"/>
            </w:pPr>
            <w:r/>
            <w:r>
              <w:rPr>
                <w:b w:val="0"/>
                <w:sz w:val="17"/>
              </w:rPr>
              <w:t>PostgreSQL</w:t>
            </w:r>
          </w:p>
        </w:tc>
      </w:tr>
      <w:tr>
        <w:tc>
          <w:tcPr>
            <w:tcW w:type="dxa" w:w="3408"/>
            <w:vAlign w:val="center"/>
          </w:tcPr>
          <w:p>
            <w:pPr>
              <w:spacing w:after="0"/>
            </w:pPr>
            <w:r/>
            <w:r>
              <w:rPr>
                <w:b w:val="0"/>
                <w:sz w:val="17"/>
              </w:rPr>
              <w:t>JSON clinical payload</w:t>
            </w:r>
          </w:p>
        </w:tc>
        <w:tc>
          <w:tcPr>
            <w:tcW w:type="dxa" w:w="3408"/>
            <w:vAlign w:val="center"/>
          </w:tcPr>
          <w:p>
            <w:pPr>
              <w:spacing w:after="0"/>
            </w:pPr>
            <w:r/>
            <w:r>
              <w:rPr>
                <w:b w:val="0"/>
                <w:sz w:val="17"/>
              </w:rPr>
              <w:t>Flexible structured fields while schemas mature</w:t>
            </w:r>
          </w:p>
        </w:tc>
        <w:tc>
          <w:tcPr>
            <w:tcW w:type="dxa" w:w="3408"/>
            <w:vAlign w:val="center"/>
          </w:tcPr>
          <w:p>
            <w:pPr>
              <w:spacing w:after="0"/>
            </w:pPr>
            <w:r/>
            <w:r>
              <w:rPr>
                <w:b w:val="0"/>
                <w:sz w:val="17"/>
              </w:rPr>
              <w:t>PostgreSQL JSONB</w:t>
            </w:r>
          </w:p>
        </w:tc>
      </w:tr>
      <w:tr>
        <w:tc>
          <w:tcPr>
            <w:tcW w:type="dxa" w:w="3408"/>
            <w:vAlign w:val="center"/>
          </w:tcPr>
          <w:p>
            <w:pPr>
              <w:spacing w:after="0"/>
            </w:pPr>
            <w:r/>
            <w:r>
              <w:rPr>
                <w:b w:val="0"/>
                <w:sz w:val="17"/>
              </w:rPr>
              <w:t>Vector index</w:t>
            </w:r>
          </w:p>
        </w:tc>
        <w:tc>
          <w:tcPr>
            <w:tcW w:type="dxa" w:w="3408"/>
            <w:vAlign w:val="center"/>
          </w:tcPr>
          <w:p>
            <w:pPr>
              <w:spacing w:after="0"/>
            </w:pPr>
            <w:r/>
            <w:r>
              <w:rPr>
                <w:b w:val="0"/>
                <w:sz w:val="17"/>
              </w:rPr>
              <w:t>Semantic retrieval for summaries and unstructured memories</w:t>
            </w:r>
          </w:p>
        </w:tc>
        <w:tc>
          <w:tcPr>
            <w:tcW w:type="dxa" w:w="3408"/>
            <w:vAlign w:val="center"/>
          </w:tcPr>
          <w:p>
            <w:pPr>
              <w:spacing w:after="0"/>
            </w:pPr>
            <w:r/>
            <w:r>
              <w:rPr>
                <w:b w:val="0"/>
                <w:sz w:val="17"/>
              </w:rPr>
              <w:t>pgvector initially</w:t>
            </w:r>
          </w:p>
        </w:tc>
      </w:tr>
      <w:tr>
        <w:tc>
          <w:tcPr>
            <w:tcW w:type="dxa" w:w="3408"/>
            <w:vAlign w:val="center"/>
          </w:tcPr>
          <w:p>
            <w:pPr>
              <w:spacing w:after="0"/>
            </w:pPr>
            <w:r/>
            <w:r>
              <w:rPr>
                <w:b w:val="0"/>
                <w:sz w:val="17"/>
              </w:rPr>
              <w:t>Object store</w:t>
            </w:r>
          </w:p>
        </w:tc>
        <w:tc>
          <w:tcPr>
            <w:tcW w:type="dxa" w:w="3408"/>
            <w:vAlign w:val="center"/>
          </w:tcPr>
          <w:p>
            <w:pPr>
              <w:spacing w:after="0"/>
            </w:pPr>
            <w:r/>
            <w:r>
              <w:rPr>
                <w:b w:val="0"/>
                <w:sz w:val="17"/>
              </w:rPr>
              <w:t>Labs, PDFs, images, audio, videos</w:t>
            </w:r>
          </w:p>
        </w:tc>
        <w:tc>
          <w:tcPr>
            <w:tcW w:type="dxa" w:w="3408"/>
            <w:vAlign w:val="center"/>
          </w:tcPr>
          <w:p>
            <w:pPr>
              <w:spacing w:after="0"/>
            </w:pPr>
            <w:r/>
            <w:r>
              <w:rPr>
                <w:b w:val="0"/>
                <w:sz w:val="17"/>
              </w:rPr>
              <w:t>S3-compatible object storage</w:t>
            </w:r>
          </w:p>
        </w:tc>
      </w:tr>
      <w:tr>
        <w:tc>
          <w:tcPr>
            <w:tcW w:type="dxa" w:w="3408"/>
            <w:vAlign w:val="center"/>
          </w:tcPr>
          <w:p>
            <w:pPr>
              <w:spacing w:after="0"/>
            </w:pPr>
            <w:r/>
            <w:r>
              <w:rPr>
                <w:b w:val="0"/>
                <w:sz w:val="17"/>
              </w:rPr>
              <w:t>LLM gateway</w:t>
            </w:r>
          </w:p>
        </w:tc>
        <w:tc>
          <w:tcPr>
            <w:tcW w:type="dxa" w:w="3408"/>
            <w:vAlign w:val="center"/>
          </w:tcPr>
          <w:p>
            <w:pPr>
              <w:spacing w:after="0"/>
            </w:pPr>
            <w:r/>
            <w:r>
              <w:rPr>
                <w:b w:val="0"/>
                <w:sz w:val="17"/>
              </w:rPr>
              <w:t>Model routing, prompt templates, token budgets, logging</w:t>
            </w:r>
          </w:p>
        </w:tc>
        <w:tc>
          <w:tcPr>
            <w:tcW w:type="dxa" w:w="3408"/>
            <w:vAlign w:val="center"/>
          </w:tcPr>
          <w:p>
            <w:pPr>
              <w:spacing w:after="0"/>
            </w:pPr>
            <w:r/>
            <w:r>
              <w:rPr>
                <w:b w:val="0"/>
                <w:sz w:val="17"/>
              </w:rPr>
              <w:t>Internal service wrapper</w:t>
            </w:r>
          </w:p>
        </w:tc>
      </w:tr>
      <w:tr>
        <w:tc>
          <w:tcPr>
            <w:tcW w:type="dxa" w:w="3408"/>
            <w:vAlign w:val="center"/>
          </w:tcPr>
          <w:p>
            <w:pPr>
              <w:spacing w:after="0"/>
            </w:pPr>
            <w:r/>
            <w:r>
              <w:rPr>
                <w:b w:val="0"/>
                <w:sz w:val="17"/>
              </w:rPr>
              <w:t>Background jobs</w:t>
            </w:r>
          </w:p>
        </w:tc>
        <w:tc>
          <w:tcPr>
            <w:tcW w:type="dxa" w:w="3408"/>
            <w:vAlign w:val="center"/>
          </w:tcPr>
          <w:p>
            <w:pPr>
              <w:spacing w:after="0"/>
            </w:pPr>
            <w:r/>
            <w:r>
              <w:rPr>
                <w:b w:val="0"/>
                <w:sz w:val="17"/>
              </w:rPr>
              <w:t>Extraction, embeddings, summarization, document OCR/processing, notifications</w:t>
            </w:r>
          </w:p>
        </w:tc>
        <w:tc>
          <w:tcPr>
            <w:tcW w:type="dxa" w:w="3408"/>
            <w:vAlign w:val="center"/>
          </w:tcPr>
          <w:p>
            <w:pPr>
              <w:spacing w:after="0"/>
            </w:pPr>
            <w:r/>
            <w:r>
              <w:rPr>
                <w:b w:val="0"/>
                <w:sz w:val="17"/>
              </w:rPr>
              <w:t>Queue + worker</w:t>
            </w:r>
          </w:p>
        </w:tc>
      </w:tr>
      <w:tr>
        <w:tc>
          <w:tcPr>
            <w:tcW w:type="dxa" w:w="3408"/>
            <w:vAlign w:val="center"/>
          </w:tcPr>
          <w:p>
            <w:pPr>
              <w:spacing w:after="0"/>
            </w:pPr>
            <w:r/>
            <w:r>
              <w:rPr>
                <w:b w:val="0"/>
                <w:sz w:val="17"/>
              </w:rPr>
              <w:t>FHIR layer</w:t>
            </w:r>
          </w:p>
        </w:tc>
        <w:tc>
          <w:tcPr>
            <w:tcW w:type="dxa" w:w="3408"/>
            <w:vAlign w:val="center"/>
          </w:tcPr>
          <w:p>
            <w:pPr>
              <w:spacing w:after="0"/>
            </w:pPr>
            <w:r/>
            <w:r>
              <w:rPr>
                <w:b w:val="0"/>
                <w:sz w:val="17"/>
              </w:rPr>
              <w:t>FHIR R4 export/import profile mapping</w:t>
            </w:r>
          </w:p>
        </w:tc>
        <w:tc>
          <w:tcPr>
            <w:tcW w:type="dxa" w:w="3408"/>
            <w:vAlign w:val="center"/>
          </w:tcPr>
          <w:p>
            <w:pPr>
              <w:spacing w:after="0"/>
            </w:pPr>
            <w:r/>
            <w:r>
              <w:rPr>
                <w:b w:val="0"/>
                <w:sz w:val="17"/>
              </w:rPr>
              <w:t>FHIR mapper service</w:t>
            </w:r>
          </w:p>
        </w:tc>
      </w:tr>
      <w:tr>
        <w:tc>
          <w:tcPr>
            <w:tcW w:type="dxa" w:w="3408"/>
            <w:vAlign w:val="center"/>
          </w:tcPr>
          <w:p>
            <w:pPr>
              <w:spacing w:after="0"/>
            </w:pPr>
            <w:r/>
            <w:r>
              <w:rPr>
                <w:b w:val="0"/>
                <w:sz w:val="17"/>
              </w:rPr>
              <w:t>Audit layer</w:t>
            </w:r>
          </w:p>
        </w:tc>
        <w:tc>
          <w:tcPr>
            <w:tcW w:type="dxa" w:w="3408"/>
            <w:vAlign w:val="center"/>
          </w:tcPr>
          <w:p>
            <w:pPr>
              <w:spacing w:after="0"/>
            </w:pPr>
            <w:r/>
            <w:r>
              <w:rPr>
                <w:b w:val="0"/>
                <w:sz w:val="17"/>
              </w:rPr>
              <w:t>Access, consent, export, corrections, administrative events</w:t>
            </w:r>
          </w:p>
        </w:tc>
        <w:tc>
          <w:tcPr>
            <w:tcW w:type="dxa" w:w="3408"/>
            <w:vAlign w:val="center"/>
          </w:tcPr>
          <w:p>
            <w:pPr>
              <w:spacing w:after="0"/>
            </w:pPr>
            <w:r/>
            <w:r>
              <w:rPr>
                <w:b w:val="0"/>
                <w:sz w:val="17"/>
              </w:rPr>
              <w:t>Immutable audit log + FHIR AuditEvent mapping</w:t>
            </w:r>
          </w:p>
        </w:tc>
      </w:tr>
    </w:tbl>
    <w:p/>
    <w:p>
      <w:pPr>
        <w:pStyle w:val="Heading1"/>
      </w:pPr>
      <w:r>
        <w:t>4. Complete Patient Workflow</w:t>
      </w:r>
    </w:p>
    <w:p>
      <w:pPr>
        <w:pStyle w:val="Heading2"/>
      </w:pPr>
      <w:r>
        <w:t>4.1 First-time onboarding</w:t>
      </w:r>
    </w:p>
    <w:p>
      <w:pPr>
        <w:pStyle w:val="ListNumber"/>
        <w:spacing w:after="40"/>
      </w:pPr>
      <w:r>
        <w:t>User creates account and verifies identity/contact method.</w:t>
      </w:r>
    </w:p>
    <w:p>
      <w:pPr>
        <w:pStyle w:val="ListNumber"/>
        <w:spacing w:after="40"/>
      </w:pPr>
      <w:r>
        <w:t>App explains clearly what Mhistree stores, what the AI can do, what doctors can see, and what remains private.</w:t>
      </w:r>
    </w:p>
    <w:p>
      <w:pPr>
        <w:pStyle w:val="ListNumber"/>
        <w:spacing w:after="40"/>
      </w:pPr>
      <w:r>
        <w:t>User enters baseline health information where appropriate: allergies, medications, known conditions, blood group/genotype when voluntarily supplied, emergency contacts, devices.</w:t>
      </w:r>
    </w:p>
    <w:p>
      <w:pPr>
        <w:pStyle w:val="ListNumber"/>
        <w:spacing w:after="40"/>
      </w:pPr>
      <w:r>
        <w:t>Baseline fields are stored as structured health profile attributes, not merely as vector memory.</w:t>
      </w:r>
    </w:p>
    <w:p>
      <w:pPr>
        <w:pStyle w:val="ListNumber"/>
        <w:spacing w:after="40"/>
      </w:pPr>
      <w:r>
        <w:t>User may optionally define conversation preferences: concise/detailed, casual/formal, preferred name, language, notification preferences.</w:t>
      </w:r>
    </w:p>
    <w:p>
      <w:pPr>
        <w:pStyle w:val="ListNumber"/>
        <w:spacing w:after="40"/>
      </w:pPr>
      <w:r>
        <w:t>Consent records are created separately for product operation and future sharing purposes.</w:t>
      </w:r>
    </w:p>
    <w:p>
      <w:pPr>
        <w:pStyle w:val="Heading2"/>
      </w:pPr>
      <w:r>
        <w:t>4.2 Normal daily conversation</w:t>
      </w:r>
    </w:p>
    <w:p>
      <w:pPr>
        <w:pStyle w:val="Code"/>
        <w:spacing w:after="80"/>
        <w:ind w:left="288"/>
      </w:pPr>
      <w:r>
        <w:t>1. User opens app -&gt; new session_id created.</w:t>
        <w:br/>
        <w:t>2. Recent turn history for that session is loaded.</w:t>
        <w:br/>
        <w:t>3. Context router decides whether long-term memory is required.</w:t>
        <w:br/>
        <w:t>4. Relevant personal memories and/or health facts are retrieved only when needed.</w:t>
        <w:br/>
        <w:t>5. LLM responds.</w:t>
        <w:br/>
        <w:t>6. Background pipeline extracts candidate memories/events.</w:t>
        <w:br/>
        <w:t>7. Durable memories are written selectively.</w:t>
        <w:br/>
        <w:t>8. Session is eventually closed/archived; next session starts clean.</w:t>
      </w:r>
    </w:p>
    <w:p>
      <w:pPr>
        <w:spacing w:after="100" w:line="259" w:lineRule="auto"/>
      </w:pPr>
      <w:r>
        <w:t>The key behavior is that the LLM does not need the entire historical transcript. It receives a compact context packet assembled for the current turn.</w:t>
      </w:r>
    </w:p>
    <w:p>
      <w:pPr>
        <w:pStyle w:val="Heading2"/>
      </w:pPr>
      <w:r>
        <w:t>4.3 Example: casual conversation becomes a clinical event</w:t>
      </w:r>
    </w:p>
    <w:p>
      <w:pPr>
        <w:spacing w:after="100" w:line="259" w:lineRule="auto"/>
      </w:pPr>
      <w:r>
        <w:t>Patient: “Today was exhausting. I had school practicals, skipped lunch, and around 7pm I was breathing heavily for about 20 minutes.”</w:t>
      </w:r>
    </w:p>
    <w:p>
      <w:pPr>
        <w:pStyle w:val="ListNumber"/>
        <w:spacing w:after="40"/>
      </w:pPr>
      <w:r>
        <w:t>The conversation model responds naturally, without immediately asking a ten-question intake form.</w:t>
      </w:r>
    </w:p>
    <w:p>
      <w:pPr>
        <w:pStyle w:val="ListNumber"/>
        <w:spacing w:after="40"/>
      </w:pPr>
      <w:r>
        <w:t>The asynchronous extraction worker detects candidate health information: breathing difficulty, approximate onset, duration, skipped meal, exertion/context.</w:t>
      </w:r>
    </w:p>
    <w:p>
      <w:pPr>
        <w:pStyle w:val="ListNumber"/>
        <w:spacing w:after="40"/>
      </w:pPr>
      <w:r>
        <w:t>The classifier separates personal/contextual facts from clinical facts. “School practicals” may be personal context; “breathing heavily for 20 minutes at 7pm” is a clinical candidate event.</w:t>
      </w:r>
    </w:p>
    <w:p>
      <w:pPr>
        <w:pStyle w:val="ListNumber"/>
        <w:spacing w:after="40"/>
      </w:pPr>
      <w:r>
        <w:t>The event is normalized into a HealthEvent with source = patient self-report, status = reported/unverified, and links back to the originating message/session.</w:t>
      </w:r>
    </w:p>
    <w:p>
      <w:pPr>
        <w:pStyle w:val="ListNumber"/>
        <w:spacing w:after="40"/>
      </w:pPr>
      <w:r>
        <w:t>If the event may matter later, it enters the health timeline. If it is low-value/noisy, it remains only in the session transcript or is discarded from durable memory.</w:t>
      </w:r>
    </w:p>
    <w:p>
      <w:pPr>
        <w:pStyle w:val="ListNumber"/>
        <w:spacing w:after="40"/>
      </w:pPr>
      <w:r>
        <w:t>If a safety threshold is met, the safety layer determines whether an immediate escalation message is appropriate; the AI should not simply continue casual chat when an emergency pattern is detected.</w:t>
      </w:r>
    </w:p>
    <w:p>
      <w:pPr>
        <w:pStyle w:val="Heading1"/>
      </w:pPr>
      <w:r>
        <w:t>5. Doctor/Hospital Workflow</w:t>
      </w:r>
    </w:p>
    <w:p>
      <w:pPr>
        <w:pStyle w:val="Heading2"/>
      </w:pPr>
      <w:r>
        <w:t>5.1 Patient-controlled lease</w:t>
      </w:r>
    </w:p>
    <w:p>
      <w:pPr>
        <w:pStyle w:val="Code"/>
        <w:spacing w:after="80"/>
        <w:ind w:left="288"/>
      </w:pPr>
      <w:r>
        <w:t>Patient App -&gt; Generate Access -&gt; purpose + duration + data scope -&gt; QR/OTP</w:t>
        <w:br/>
        <w:t>Doctor Portal -&gt; enter/scan code -&gt; backend verifies -&gt; creates AccessLease</w:t>
        <w:br/>
        <w:t>AccessLease -&gt; Health Context read/write only -&gt; expires automatically</w:t>
      </w:r>
    </w:p>
    <w:p>
      <w:pPr>
        <w:spacing w:after="100" w:line="259" w:lineRule="auto"/>
      </w:pPr>
      <w:r>
        <w:t>The lease is not authentication by itself. The clinician must first authenticate to the hospital/clinician portal. The patient code proves the patient’s authorization for this scoped access; the backend still verifies the clinician identity and organization.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pPr>
              <w:spacing w:after="0"/>
            </w:pPr>
            <w:r/>
            <w:r>
              <w:rPr>
                <w:b/>
                <w:sz w:val="17"/>
              </w:rPr>
              <w:t>Lease field</w:t>
            </w:r>
          </w:p>
        </w:tc>
        <w:tc>
          <w:tcPr>
            <w:tcW w:type="dxa" w:w="5112"/>
            <w:vAlign w:val="center"/>
            <w:shd w:fill="D9EAF7"/>
          </w:tcPr>
          <w:p>
            <w:pPr>
              <w:spacing w:after="0"/>
            </w:pPr>
            <w:r/>
            <w:r>
              <w:rPr>
                <w:b/>
                <w:sz w:val="17"/>
              </w:rPr>
              <w:t>MVP rule</w:t>
            </w:r>
          </w:p>
        </w:tc>
      </w:tr>
      <w:tr>
        <w:tc>
          <w:tcPr>
            <w:tcW w:type="dxa" w:w="5112"/>
            <w:vAlign w:val="center"/>
          </w:tcPr>
          <w:p>
            <w:pPr>
              <w:spacing w:after="0"/>
            </w:pPr>
            <w:r/>
            <w:r>
              <w:rPr>
                <w:b w:val="0"/>
                <w:sz w:val="17"/>
              </w:rPr>
              <w:t>lease_id</w:t>
            </w:r>
          </w:p>
        </w:tc>
        <w:tc>
          <w:tcPr>
            <w:tcW w:type="dxa" w:w="5112"/>
            <w:vAlign w:val="center"/>
          </w:tcPr>
          <w:p>
            <w:pPr>
              <w:spacing w:after="0"/>
            </w:pPr>
            <w:r/>
            <w:r>
              <w:rPr>
                <w:b w:val="0"/>
                <w:sz w:val="17"/>
              </w:rPr>
              <w:t>Random UUID; never derived from patient ID.</w:t>
            </w:r>
          </w:p>
        </w:tc>
      </w:tr>
      <w:tr>
        <w:tc>
          <w:tcPr>
            <w:tcW w:type="dxa" w:w="5112"/>
            <w:vAlign w:val="center"/>
          </w:tcPr>
          <w:p>
            <w:pPr>
              <w:spacing w:after="0"/>
            </w:pPr>
            <w:r/>
            <w:r>
              <w:rPr>
                <w:b w:val="0"/>
                <w:sz w:val="17"/>
              </w:rPr>
              <w:t>patient_id</w:t>
            </w:r>
          </w:p>
        </w:tc>
        <w:tc>
          <w:tcPr>
            <w:tcW w:type="dxa" w:w="5112"/>
            <w:vAlign w:val="center"/>
          </w:tcPr>
          <w:p>
            <w:pPr>
              <w:spacing w:after="0"/>
            </w:pPr>
            <w:r/>
            <w:r>
              <w:rPr>
                <w:b w:val="0"/>
                <w:sz w:val="17"/>
              </w:rPr>
              <w:t>Target patient.</w:t>
            </w:r>
          </w:p>
        </w:tc>
      </w:tr>
      <w:tr>
        <w:tc>
          <w:tcPr>
            <w:tcW w:type="dxa" w:w="5112"/>
            <w:vAlign w:val="center"/>
          </w:tcPr>
          <w:p>
            <w:pPr>
              <w:spacing w:after="0"/>
            </w:pPr>
            <w:r/>
            <w:r>
              <w:rPr>
                <w:b w:val="0"/>
                <w:sz w:val="17"/>
              </w:rPr>
              <w:t>requesting_actor_id</w:t>
            </w:r>
          </w:p>
        </w:tc>
        <w:tc>
          <w:tcPr>
            <w:tcW w:type="dxa" w:w="5112"/>
            <w:vAlign w:val="center"/>
          </w:tcPr>
          <w:p>
            <w:pPr>
              <w:spacing w:after="0"/>
            </w:pPr>
            <w:r/>
            <w:r>
              <w:rPr>
                <w:b w:val="0"/>
                <w:sz w:val="17"/>
              </w:rPr>
              <w:t>Authenticated clinician or organization user.</w:t>
            </w:r>
          </w:p>
        </w:tc>
      </w:tr>
      <w:tr>
        <w:tc>
          <w:tcPr>
            <w:tcW w:type="dxa" w:w="5112"/>
            <w:vAlign w:val="center"/>
          </w:tcPr>
          <w:p>
            <w:pPr>
              <w:spacing w:after="0"/>
            </w:pPr>
            <w:r/>
            <w:r>
              <w:rPr>
                <w:b w:val="0"/>
                <w:sz w:val="17"/>
              </w:rPr>
              <w:t>purpose</w:t>
            </w:r>
          </w:p>
        </w:tc>
        <w:tc>
          <w:tcPr>
            <w:tcW w:type="dxa" w:w="5112"/>
            <w:vAlign w:val="center"/>
          </w:tcPr>
          <w:p>
            <w:pPr>
              <w:spacing w:after="0"/>
            </w:pPr>
            <w:r/>
            <w:r>
              <w:rPr>
                <w:b w:val="0"/>
                <w:sz w:val="17"/>
              </w:rPr>
              <w:t>Consultation, emergency care, claims, referral, etc.</w:t>
            </w:r>
          </w:p>
        </w:tc>
      </w:tr>
      <w:tr>
        <w:tc>
          <w:tcPr>
            <w:tcW w:type="dxa" w:w="5112"/>
            <w:vAlign w:val="center"/>
          </w:tcPr>
          <w:p>
            <w:pPr>
              <w:spacing w:after="0"/>
            </w:pPr>
            <w:r/>
            <w:r>
              <w:rPr>
                <w:b w:val="0"/>
                <w:sz w:val="17"/>
              </w:rPr>
              <w:t>scope</w:t>
            </w:r>
          </w:p>
        </w:tc>
        <w:tc>
          <w:tcPr>
            <w:tcW w:type="dxa" w:w="5112"/>
            <w:vAlign w:val="center"/>
          </w:tcPr>
          <w:p>
            <w:pPr>
              <w:spacing w:after="0"/>
            </w:pPr>
            <w:r/>
            <w:r>
              <w:rPr>
                <w:b w:val="0"/>
                <w:sz w:val="17"/>
              </w:rPr>
              <w:t>Health events, documents, medications, labs, vitals, etc.; Personal Context excluded.</w:t>
            </w:r>
          </w:p>
        </w:tc>
      </w:tr>
      <w:tr>
        <w:tc>
          <w:tcPr>
            <w:tcW w:type="dxa" w:w="5112"/>
            <w:vAlign w:val="center"/>
          </w:tcPr>
          <w:p>
            <w:pPr>
              <w:spacing w:after="0"/>
            </w:pPr>
            <w:r/>
            <w:r>
              <w:rPr>
                <w:b w:val="0"/>
                <w:sz w:val="17"/>
              </w:rPr>
              <w:t>issued_at / expires_at</w:t>
            </w:r>
          </w:p>
        </w:tc>
        <w:tc>
          <w:tcPr>
            <w:tcW w:type="dxa" w:w="5112"/>
            <w:vAlign w:val="center"/>
          </w:tcPr>
          <w:p>
            <w:pPr>
              <w:spacing w:after="0"/>
            </w:pPr>
            <w:r/>
            <w:r>
              <w:rPr>
                <w:b w:val="0"/>
                <w:sz w:val="17"/>
              </w:rPr>
              <w:t>Short-lived; default consultation window, configurable.</w:t>
            </w:r>
          </w:p>
        </w:tc>
      </w:tr>
      <w:tr>
        <w:tc>
          <w:tcPr>
            <w:tcW w:type="dxa" w:w="5112"/>
            <w:vAlign w:val="center"/>
          </w:tcPr>
          <w:p>
            <w:pPr>
              <w:spacing w:after="0"/>
            </w:pPr>
            <w:r/>
            <w:r>
              <w:rPr>
                <w:b w:val="0"/>
                <w:sz w:val="17"/>
              </w:rPr>
              <w:t>status</w:t>
            </w:r>
          </w:p>
        </w:tc>
        <w:tc>
          <w:tcPr>
            <w:tcW w:type="dxa" w:w="5112"/>
            <w:vAlign w:val="center"/>
          </w:tcPr>
          <w:p>
            <w:pPr>
              <w:spacing w:after="0"/>
            </w:pPr>
            <w:r/>
            <w:r>
              <w:rPr>
                <w:b w:val="0"/>
                <w:sz w:val="17"/>
              </w:rPr>
              <w:t>pending, active, expired, revoked.</w:t>
            </w:r>
          </w:p>
        </w:tc>
      </w:tr>
      <w:tr>
        <w:tc>
          <w:tcPr>
            <w:tcW w:type="dxa" w:w="5112"/>
            <w:vAlign w:val="center"/>
          </w:tcPr>
          <w:p>
            <w:pPr>
              <w:spacing w:after="0"/>
            </w:pPr>
            <w:r/>
            <w:r>
              <w:rPr>
                <w:b w:val="0"/>
                <w:sz w:val="17"/>
              </w:rPr>
              <w:t>revoked_at / revoked_by</w:t>
            </w:r>
          </w:p>
        </w:tc>
        <w:tc>
          <w:tcPr>
            <w:tcW w:type="dxa" w:w="5112"/>
            <w:vAlign w:val="center"/>
          </w:tcPr>
          <w:p>
            <w:pPr>
              <w:spacing w:after="0"/>
            </w:pPr>
            <w:r/>
            <w:r>
              <w:rPr>
                <w:b w:val="0"/>
                <w:sz w:val="17"/>
              </w:rPr>
              <w:t>Immediate revocation support.</w:t>
            </w:r>
          </w:p>
        </w:tc>
      </w:tr>
      <w:tr>
        <w:tc>
          <w:tcPr>
            <w:tcW w:type="dxa" w:w="5112"/>
            <w:vAlign w:val="center"/>
          </w:tcPr>
          <w:p>
            <w:pPr>
              <w:spacing w:after="0"/>
            </w:pPr>
            <w:r/>
            <w:r>
              <w:rPr>
                <w:b w:val="0"/>
                <w:sz w:val="17"/>
              </w:rPr>
              <w:t>consent_record_id</w:t>
            </w:r>
          </w:p>
        </w:tc>
        <w:tc>
          <w:tcPr>
            <w:tcW w:type="dxa" w:w="5112"/>
            <w:vAlign w:val="center"/>
          </w:tcPr>
          <w:p>
            <w:pPr>
              <w:spacing w:after="0"/>
            </w:pPr>
            <w:r/>
            <w:r>
              <w:rPr>
                <w:b w:val="0"/>
                <w:sz w:val="17"/>
              </w:rPr>
              <w:t>Links to consent/authorization evidence.</w:t>
            </w:r>
          </w:p>
        </w:tc>
      </w:tr>
      <w:tr>
        <w:tc>
          <w:tcPr>
            <w:tcW w:type="dxa" w:w="5112"/>
            <w:vAlign w:val="center"/>
          </w:tcPr>
          <w:p>
            <w:pPr>
              <w:spacing w:after="0"/>
            </w:pPr>
            <w:r/>
            <w:r>
              <w:rPr>
                <w:b w:val="0"/>
                <w:sz w:val="17"/>
              </w:rPr>
              <w:t>audit trail</w:t>
            </w:r>
          </w:p>
        </w:tc>
        <w:tc>
          <w:tcPr>
            <w:tcW w:type="dxa" w:w="5112"/>
            <w:vAlign w:val="center"/>
          </w:tcPr>
          <w:p>
            <w:pPr>
              <w:spacing w:after="0"/>
            </w:pPr>
            <w:r/>
            <w:r>
              <w:rPr>
                <w:b w:val="0"/>
                <w:sz w:val="17"/>
              </w:rPr>
              <w:t>Every creation, read, write, export and revoke is logged.</w:t>
            </w:r>
          </w:p>
        </w:tc>
      </w:tr>
    </w:tbl>
    <w:p/>
    <w:p>
      <w:pPr>
        <w:pStyle w:val="Heading2"/>
      </w:pPr>
      <w:r>
        <w:t>5.2 Clinician workspace</w:t>
      </w:r>
    </w:p>
    <w:p>
      <w:pPr>
        <w:pStyle w:val="ListBullet"/>
        <w:spacing w:after="40"/>
      </w:pPr>
      <w:r>
        <w:t>Top: schedule, alerts, urgent items.</w:t>
      </w:r>
    </w:p>
    <w:p>
      <w:pPr>
        <w:pStyle w:val="ListBullet"/>
        <w:spacing w:after="40"/>
      </w:pPr>
      <w:r>
        <w:t>Left: active patient leases / roster; no global discovery of patients.</w:t>
      </w:r>
    </w:p>
    <w:p>
      <w:pPr>
        <w:pStyle w:val="ListBullet"/>
        <w:spacing w:after="40"/>
      </w:pPr>
      <w:r>
        <w:t>Middle: patient header, clinical summary, timeline, labs, medications, vitals and evidence links.</w:t>
      </w:r>
    </w:p>
    <w:p>
      <w:pPr>
        <w:pStyle w:val="ListBullet"/>
        <w:spacing w:after="40"/>
      </w:pPr>
      <w:r>
        <w:t>Bottom: AI console constrained to the selected patient and the active lease scope.</w:t>
      </w:r>
    </w:p>
    <w:p>
      <w:pPr>
        <w:pStyle w:val="ListBullet"/>
        <w:spacing w:after="40"/>
      </w:pPr>
      <w:r>
        <w:t>Action surface: verify/correct extracted events, record clinician impression, add encounter notes, attach results, produce a clinical summary.</w:t>
      </w:r>
    </w:p>
    <w:p>
      <w:pPr>
        <w:pStyle w:val="Heading2"/>
      </w:pPr>
      <w:r>
        <w:t>5.3 Doctor-AI interaction rules</w:t>
      </w:r>
    </w:p>
    <w:p>
      <w:pPr>
        <w:pStyle w:val="ListBullet"/>
        <w:spacing w:after="40"/>
      </w:pPr>
      <w:r>
        <w:t>AI can summarize existing evidence.</w:t>
      </w:r>
    </w:p>
    <w:p>
      <w:pPr>
        <w:pStyle w:val="ListBullet"/>
        <w:spacing w:after="40"/>
      </w:pPr>
      <w:r>
        <w:t>AI can identify missing information and suggest questions.</w:t>
      </w:r>
    </w:p>
    <w:p>
      <w:pPr>
        <w:pStyle w:val="ListBullet"/>
        <w:spacing w:after="40"/>
      </w:pPr>
      <w:r>
        <w:t>AI can show competing hypotheses or risk signals when supported by evidence.</w:t>
      </w:r>
    </w:p>
    <w:p>
      <w:pPr>
        <w:pStyle w:val="ListBullet"/>
        <w:spacing w:after="40"/>
      </w:pPr>
      <w:r>
        <w:t>AI must distinguish “patient-reported”, “device-derived”, “clinician-entered”, “lab-verified” and “AI-inferred”.</w:t>
      </w:r>
    </w:p>
    <w:p>
      <w:pPr>
        <w:pStyle w:val="ListBullet"/>
        <w:spacing w:after="40"/>
      </w:pPr>
      <w:r>
        <w:t>Clinician corrections become new provenance-bearing evidence; they do not silently rewrite historical source records.</w:t>
      </w:r>
    </w:p>
    <w:p>
      <w:pPr>
        <w:pStyle w:val="ListBullet"/>
        <w:spacing w:after="40"/>
      </w:pPr>
      <w:r>
        <w:t>Confirmed clinician conclusions are recorded as clinician-authored clinical facts when the clinician explicitly commits them.</w:t>
      </w:r>
    </w:p>
    <w:p>
      <w:pPr>
        <w:pStyle w:val="ListBullet"/>
        <w:spacing w:after="40"/>
      </w:pPr>
      <w:r>
        <w:t>AI output is never allowed to masquerade as a clinician note or lab result.</w:t>
      </w:r>
    </w:p>
    <w:p>
      <w:pPr>
        <w:pStyle w:val="Heading1"/>
      </w:pPr>
      <w:r>
        <w:t>6. Dual-Context Boundary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D9EAF7"/>
          </w:tcPr>
          <w:p>
            <w:pPr>
              <w:spacing w:after="0"/>
            </w:pPr>
            <w:r/>
            <w:r>
              <w:rPr>
                <w:b/>
                <w:sz w:val="17"/>
              </w:rPr>
              <w:t>Context</w:t>
            </w:r>
          </w:p>
        </w:tc>
        <w:tc>
          <w:tcPr>
            <w:tcW w:type="dxa" w:w="2556"/>
            <w:vAlign w:val="center"/>
            <w:shd w:fill="D9EAF7"/>
          </w:tcPr>
          <w:p>
            <w:pPr>
              <w:spacing w:after="0"/>
            </w:pPr>
            <w:r/>
            <w:r>
              <w:rPr>
                <w:b/>
                <w:sz w:val="17"/>
              </w:rPr>
              <w:t>Examples</w:t>
            </w:r>
          </w:p>
        </w:tc>
        <w:tc>
          <w:tcPr>
            <w:tcW w:type="dxa" w:w="2556"/>
            <w:vAlign w:val="center"/>
            <w:shd w:fill="D9EAF7"/>
          </w:tcPr>
          <w:p>
            <w:pPr>
              <w:spacing w:after="0"/>
            </w:pPr>
            <w:r/>
            <w:r>
              <w:rPr>
                <w:b/>
                <w:sz w:val="17"/>
              </w:rPr>
              <w:t>Who can access</w:t>
            </w:r>
          </w:p>
        </w:tc>
        <w:tc>
          <w:tcPr>
            <w:tcW w:type="dxa" w:w="2556"/>
            <w:vAlign w:val="center"/>
            <w:shd w:fill="D9EAF7"/>
          </w:tcPr>
          <w:p>
            <w:pPr>
              <w:spacing w:after="0"/>
            </w:pPr>
            <w:r/>
            <w:r>
              <w:rPr>
                <w:b/>
                <w:sz w:val="17"/>
              </w:rPr>
              <w:t>Storage</w:t>
            </w:r>
          </w:p>
        </w:tc>
      </w:tr>
      <w:tr>
        <w:tc>
          <w:tcPr>
            <w:tcW w:type="dxa" w:w="2556"/>
            <w:vAlign w:val="center"/>
          </w:tcPr>
          <w:p>
            <w:pPr>
              <w:spacing w:after="0"/>
            </w:pPr>
            <w:r/>
            <w:r>
              <w:rPr>
                <w:b w:val="0"/>
                <w:sz w:val="17"/>
              </w:rPr>
              <w:t>Personal Context</w:t>
            </w:r>
          </w:p>
        </w:tc>
        <w:tc>
          <w:tcPr>
            <w:tcW w:type="dxa" w:w="2556"/>
            <w:vAlign w:val="center"/>
          </w:tcPr>
          <w:p>
            <w:pPr>
              <w:spacing w:after="0"/>
            </w:pPr>
            <w:r/>
            <w:r>
              <w:rPr>
                <w:b w:val="0"/>
                <w:sz w:val="17"/>
              </w:rPr>
              <w:t>feelings, school/work stories, relationships, preferences, ordinary life chatter</w:t>
            </w:r>
          </w:p>
        </w:tc>
        <w:tc>
          <w:tcPr>
            <w:tcW w:type="dxa" w:w="2556"/>
            <w:vAlign w:val="center"/>
          </w:tcPr>
          <w:p>
            <w:pPr>
              <w:spacing w:after="0"/>
            </w:pPr>
            <w:r/>
            <w:r>
              <w:rPr>
                <w:b w:val="0"/>
                <w:sz w:val="17"/>
              </w:rPr>
              <w:t>Patient AI only, subject to product policy</w:t>
            </w:r>
          </w:p>
        </w:tc>
        <w:tc>
          <w:tcPr>
            <w:tcW w:type="dxa" w:w="2556"/>
            <w:vAlign w:val="center"/>
          </w:tcPr>
          <w:p>
            <w:pPr>
              <w:spacing w:after="0"/>
            </w:pPr>
            <w:r/>
            <w:r>
              <w:rPr>
                <w:b w:val="0"/>
                <w:sz w:val="17"/>
              </w:rPr>
              <w:t>Personal memory namespace + chat history</w:t>
            </w:r>
          </w:p>
        </w:tc>
      </w:tr>
      <w:tr>
        <w:tc>
          <w:tcPr>
            <w:tcW w:type="dxa" w:w="2556"/>
            <w:vAlign w:val="center"/>
          </w:tcPr>
          <w:p>
            <w:pPr>
              <w:spacing w:after="0"/>
            </w:pPr>
            <w:r/>
            <w:r>
              <w:rPr>
                <w:b w:val="0"/>
                <w:sz w:val="17"/>
              </w:rPr>
              <w:t>Health Context</w:t>
            </w:r>
          </w:p>
        </w:tc>
        <w:tc>
          <w:tcPr>
            <w:tcW w:type="dxa" w:w="2556"/>
            <w:vAlign w:val="center"/>
          </w:tcPr>
          <w:p>
            <w:pPr>
              <w:spacing w:after="0"/>
            </w:pPr>
            <w:r/>
            <w:r>
              <w:rPr>
                <w:b w:val="0"/>
                <w:sz w:val="17"/>
              </w:rPr>
              <w:t>symptoms, vitals, diagnoses, medications, labs, procedures, health documents</w:t>
            </w:r>
          </w:p>
        </w:tc>
        <w:tc>
          <w:tcPr>
            <w:tcW w:type="dxa" w:w="2556"/>
            <w:vAlign w:val="center"/>
          </w:tcPr>
          <w:p>
            <w:pPr>
              <w:spacing w:after="0"/>
            </w:pPr>
            <w:r/>
            <w:r>
              <w:rPr>
                <w:b w:val="0"/>
                <w:sz w:val="17"/>
              </w:rPr>
              <w:t>Patient + explicitly authorized clinician/organization + authorized system processes</w:t>
            </w:r>
          </w:p>
        </w:tc>
        <w:tc>
          <w:tcPr>
            <w:tcW w:type="dxa" w:w="2556"/>
            <w:vAlign w:val="center"/>
          </w:tcPr>
          <w:p>
            <w:pPr>
              <w:spacing w:after="0"/>
            </w:pPr>
            <w:r/>
            <w:r>
              <w:rPr>
                <w:b w:val="0"/>
                <w:sz w:val="17"/>
              </w:rPr>
              <w:t>Clinical ledger + health memory namespace</w:t>
            </w:r>
          </w:p>
        </w:tc>
      </w:tr>
      <w:tr>
        <w:tc>
          <w:tcPr>
            <w:tcW w:type="dxa" w:w="2556"/>
            <w:vAlign w:val="center"/>
          </w:tcPr>
          <w:p>
            <w:pPr>
              <w:spacing w:after="0"/>
            </w:pPr>
            <w:r/>
            <w:r>
              <w:rPr>
                <w:b w:val="0"/>
                <w:sz w:val="17"/>
              </w:rPr>
              <w:t>Security/Audit Context</w:t>
            </w:r>
          </w:p>
        </w:tc>
        <w:tc>
          <w:tcPr>
            <w:tcW w:type="dxa" w:w="2556"/>
            <w:vAlign w:val="center"/>
          </w:tcPr>
          <w:p>
            <w:pPr>
              <w:spacing w:after="0"/>
            </w:pPr>
            <w:r/>
            <w:r>
              <w:rPr>
                <w:b w:val="0"/>
                <w:sz w:val="17"/>
              </w:rPr>
              <w:t>leases, logins, reads, exports, consent changes</w:t>
            </w:r>
          </w:p>
        </w:tc>
        <w:tc>
          <w:tcPr>
            <w:tcW w:type="dxa" w:w="2556"/>
            <w:vAlign w:val="center"/>
          </w:tcPr>
          <w:p>
            <w:pPr>
              <w:spacing w:after="0"/>
            </w:pPr>
            <w:r/>
            <w:r>
              <w:rPr>
                <w:b w:val="0"/>
                <w:sz w:val="17"/>
              </w:rPr>
              <w:t>Security/privacy/admin functions only</w:t>
            </w:r>
          </w:p>
        </w:tc>
        <w:tc>
          <w:tcPr>
            <w:tcW w:type="dxa" w:w="2556"/>
            <w:vAlign w:val="center"/>
          </w:tcPr>
          <w:p>
            <w:pPr>
              <w:spacing w:after="0"/>
            </w:pPr>
            <w:r/>
            <w:r>
              <w:rPr>
                <w:b w:val="0"/>
                <w:sz w:val="17"/>
              </w:rPr>
              <w:t>Immutable audit store</w:t>
            </w:r>
          </w:p>
        </w:tc>
      </w:tr>
      <w:tr>
        <w:tc>
          <w:tcPr>
            <w:tcW w:type="dxa" w:w="2556"/>
            <w:vAlign w:val="center"/>
          </w:tcPr>
          <w:p>
            <w:pPr>
              <w:spacing w:after="0"/>
            </w:pPr>
            <w:r/>
            <w:r>
              <w:rPr>
                <w:b w:val="0"/>
                <w:sz w:val="17"/>
              </w:rPr>
              <w:t>System Context</w:t>
            </w:r>
          </w:p>
        </w:tc>
        <w:tc>
          <w:tcPr>
            <w:tcW w:type="dxa" w:w="2556"/>
            <w:vAlign w:val="center"/>
          </w:tcPr>
          <w:p>
            <w:pPr>
              <w:spacing w:after="0"/>
            </w:pPr>
            <w:r/>
            <w:r>
              <w:rPr>
                <w:b w:val="0"/>
                <w:sz w:val="17"/>
              </w:rPr>
              <w:t>prompt configuration, model version, feature flags</w:t>
            </w:r>
          </w:p>
        </w:tc>
        <w:tc>
          <w:tcPr>
            <w:tcW w:type="dxa" w:w="2556"/>
            <w:vAlign w:val="center"/>
          </w:tcPr>
          <w:p>
            <w:pPr>
              <w:spacing w:after="0"/>
            </w:pPr>
            <w:r/>
            <w:r>
              <w:rPr>
                <w:b w:val="0"/>
                <w:sz w:val="17"/>
              </w:rPr>
              <w:t>Engineering/operations under controlled access</w:t>
            </w:r>
          </w:p>
        </w:tc>
        <w:tc>
          <w:tcPr>
            <w:tcW w:type="dxa" w:w="2556"/>
            <w:vAlign w:val="center"/>
          </w:tcPr>
          <w:p>
            <w:pPr>
              <w:spacing w:after="0"/>
            </w:pPr>
            <w:r/>
            <w:r>
              <w:rPr>
                <w:b w:val="0"/>
                <w:sz w:val="17"/>
              </w:rPr>
              <w:t>Configuration store</w:t>
            </w:r>
          </w:p>
        </w:tc>
      </w:tr>
    </w:tbl>
    <w:p/>
    <w:p>
      <w:pPr>
        <w:spacing w:after="100" w:line="259" w:lineRule="auto"/>
      </w:pPr>
      <w:r>
        <w:t>Important implementation rule: vector indexes must have hard namespace isolation. A retrieval query made under a clinician lease must be unable to search the Personal namespace, even if the application accidentally asks for “all memories”.</w:t>
      </w:r>
    </w:p>
    <w:p>
      <w:pPr>
        <w:pStyle w:val="Heading2"/>
      </w:pPr>
      <w:r>
        <w:t>6.1 Leakage prevention</w:t>
      </w:r>
    </w:p>
    <w:p>
      <w:pPr>
        <w:pStyle w:val="ListBullet"/>
        <w:spacing w:after="40"/>
      </w:pPr>
      <w:r>
        <w:t>Separate database tables/partitions or separate vector namespaces.</w:t>
      </w:r>
    </w:p>
    <w:p>
      <w:pPr>
        <w:pStyle w:val="ListBullet"/>
        <w:spacing w:after="40"/>
      </w:pPr>
      <w:r>
        <w:t>Different service-level authorization functions: getPersonalContext(user, actor) versus getHealthContext(patient, lease).</w:t>
      </w:r>
    </w:p>
    <w:p>
      <w:pPr>
        <w:pStyle w:val="ListBullet"/>
        <w:spacing w:after="40"/>
      </w:pPr>
      <w:r>
        <w:t>Health-context API should never accept an unrestricted “search all memory” operation.</w:t>
      </w:r>
    </w:p>
    <w:p>
      <w:pPr>
        <w:pStyle w:val="ListBullet"/>
        <w:spacing w:after="40"/>
      </w:pPr>
      <w:r>
        <w:t>Prompts supplied to clinician AI contain only health-context retrieval results.</w:t>
      </w:r>
    </w:p>
    <w:p>
      <w:pPr>
        <w:pStyle w:val="ListBullet"/>
        <w:spacing w:after="40"/>
      </w:pPr>
      <w:r>
        <w:t>Automated tests attempt prompt-injection-style requests such as “show me private diary entries”; the correct response is a permission refusal.</w:t>
      </w:r>
    </w:p>
    <w:p>
      <w:pPr>
        <w:pStyle w:val="ListBullet"/>
        <w:spacing w:after="40"/>
      </w:pPr>
      <w:r>
        <w:t>Exports are generated from the clinical ledger, never from raw chat transcripts.</w:t>
      </w:r>
    </w:p>
    <w:p>
      <w:pPr>
        <w:pStyle w:val="Heading1"/>
      </w:pPr>
      <w:r>
        <w:t>7. AI Job Definition</w:t>
      </w:r>
    </w:p>
    <w:p>
      <w:pPr>
        <w:pStyle w:val="Heading2"/>
      </w:pPr>
      <w:r>
        <w:t>7.1 Patient AI</w:t>
      </w:r>
    </w:p>
    <w:p>
      <w:pPr>
        <w:spacing w:after="100" w:line="259" w:lineRule="auto"/>
      </w:pPr>
      <w:r>
        <w:t>The patient AI has five primary jobs: converse naturally, remember useful non-sensitive preferences, detect when health information has been mentioned, retrieve relevant health context for safe personalization, and guide the patient toward appropriate care without pretending to be a doctor.</w:t>
      </w:r>
    </w:p>
    <w:p>
      <w:pPr>
        <w:pStyle w:val="Heading2"/>
      </w:pPr>
      <w:r>
        <w:t>7.2 Memory worker</w:t>
      </w:r>
    </w:p>
    <w:p>
      <w:pPr>
        <w:spacing w:after="100" w:line="259" w:lineRule="auto"/>
      </w:pPr>
      <w:r>
        <w:t>A background worker is responsible for turning conversation into durable memory. This worker is separate from the response-generation model so the user does not have to wait for every storage operation.</w:t>
      </w:r>
    </w:p>
    <w:p>
      <w:pPr>
        <w:pStyle w:val="Heading2"/>
      </w:pPr>
      <w:r>
        <w:t>7.3 Clinical extraction worker</w:t>
      </w:r>
    </w:p>
    <w:p>
      <w:pPr>
        <w:spacing w:after="100" w:line="259" w:lineRule="auto"/>
      </w:pPr>
      <w:r>
        <w:t>The extractor identifies candidate clinical entities, temporal information, severity, negation, uncertainty, source and relationships. It creates a draft event; it does not automatically turn a draft into a confirmed diagnosis.</w:t>
      </w:r>
    </w:p>
    <w:p>
      <w:pPr>
        <w:pStyle w:val="Heading2"/>
      </w:pPr>
      <w:r>
        <w:t>7.4 Clinician AI</w:t>
      </w:r>
    </w:p>
    <w:p>
      <w:pPr>
        <w:spacing w:after="100" w:line="259" w:lineRule="auto"/>
      </w:pPr>
      <w:r>
        <w:t>The clinician AI is a patient-file reasoning assistant. It searches the authorized health record, synthesizes evidence, identifies trends and gaps, and helps the clinician reason. It is not an autonomous medical decision maker.</w:t>
      </w:r>
    </w:p>
    <w:p>
      <w:pPr>
        <w:pStyle w:val="Heading1"/>
      </w:pPr>
      <w:r>
        <w:t>8. Fresh Session, Persistent Memory: Complete Workflow</w:t>
      </w:r>
    </w:p>
    <w:p>
      <w:pPr>
        <w:spacing w:after="100" w:line="259" w:lineRule="auto"/>
      </w:pPr>
      <w:r>
        <w:t>Every conversation should be a new technical session. A session is an execution boundary, not the patient’s identity. The persistent user identity and long-term memories live outside the session.</w:t>
      </w:r>
    </w:p>
    <w:p>
      <w:pPr>
        <w:pStyle w:val="Code"/>
        <w:spacing w:after="80"/>
        <w:ind w:left="288"/>
      </w:pPr>
      <w:r>
        <w:t>POST /sessions -&gt; {session_id, user_id, started_at}</w:t>
        <w:br/>
        <w:t>POST /sessions/{id}/messages -&gt; append message</w:t>
        <w:br/>
        <w:t>GET /context/build?session_id=... -&gt; compact context packet</w:t>
        <w:br/>
        <w:t>POST /memory/candidates -&gt; background extraction</w:t>
        <w:br/>
        <w:t>POST /sessions/{id}/close -&gt; finalize summary / metrics</w:t>
      </w:r>
    </w:p>
    <w:p>
      <w:pPr>
        <w:pStyle w:val="Heading2"/>
      </w:pPr>
      <w:r>
        <w:t>8.1 Context packet</w:t>
      </w:r>
    </w:p>
    <w:p>
      <w:pPr>
        <w:spacing w:after="100" w:line="259" w:lineRule="auto"/>
      </w:pPr>
      <w:r>
        <w:t>The model should receive a small, purpose-specific packet, typically composed of: system policy; current session turns; a tiny user preference profile; recent unresolved conversation threads; relevant health facts; relevant retrieved memories; current task instructions; and safety state. The packet should be assembled dynamically per turn.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pPr>
              <w:spacing w:after="0"/>
            </w:pPr>
            <w:r/>
            <w:r>
              <w:rPr>
                <w:b/>
                <w:sz w:val="17"/>
              </w:rPr>
              <w:t>Memory tier</w:t>
            </w:r>
          </w:p>
        </w:tc>
        <w:tc>
          <w:tcPr>
            <w:tcW w:type="dxa" w:w="3408"/>
            <w:vAlign w:val="center"/>
            <w:shd w:fill="D9EAF7"/>
          </w:tcPr>
          <w:p>
            <w:pPr>
              <w:spacing w:after="0"/>
            </w:pPr>
            <w:r/>
            <w:r>
              <w:rPr>
                <w:b/>
                <w:sz w:val="17"/>
              </w:rPr>
              <w:t>What it stores</w:t>
            </w:r>
          </w:p>
        </w:tc>
        <w:tc>
          <w:tcPr>
            <w:tcW w:type="dxa" w:w="3408"/>
            <w:vAlign w:val="center"/>
            <w:shd w:fill="D9EAF7"/>
          </w:tcPr>
          <w:p>
            <w:pPr>
              <w:spacing w:after="0"/>
            </w:pPr>
            <w:r/>
            <w:r>
              <w:rPr>
                <w:b/>
                <w:sz w:val="17"/>
              </w:rPr>
              <w:t>When loaded</w:t>
            </w:r>
          </w:p>
        </w:tc>
      </w:tr>
      <w:tr>
        <w:tc>
          <w:tcPr>
            <w:tcW w:type="dxa" w:w="3408"/>
            <w:vAlign w:val="center"/>
          </w:tcPr>
          <w:p>
            <w:pPr>
              <w:spacing w:after="0"/>
            </w:pPr>
            <w:r/>
            <w:r>
              <w:rPr>
                <w:b w:val="0"/>
                <w:sz w:val="17"/>
              </w:rPr>
              <w:t>Tier 0 - Current turns</w:t>
            </w:r>
          </w:p>
        </w:tc>
        <w:tc>
          <w:tcPr>
            <w:tcW w:type="dxa" w:w="3408"/>
            <w:vAlign w:val="center"/>
          </w:tcPr>
          <w:p>
            <w:pPr>
              <w:spacing w:after="0"/>
            </w:pPr>
            <w:r/>
            <w:r>
              <w:rPr>
                <w:b w:val="0"/>
                <w:sz w:val="17"/>
              </w:rPr>
              <w:t>Last few turns / current task</w:t>
            </w:r>
          </w:p>
        </w:tc>
        <w:tc>
          <w:tcPr>
            <w:tcW w:type="dxa" w:w="3408"/>
            <w:vAlign w:val="center"/>
          </w:tcPr>
          <w:p>
            <w:pPr>
              <w:spacing w:after="0"/>
            </w:pPr>
            <w:r/>
            <w:r>
              <w:rPr>
                <w:b w:val="0"/>
                <w:sz w:val="17"/>
              </w:rPr>
              <w:t>Always</w:t>
            </w:r>
          </w:p>
        </w:tc>
      </w:tr>
      <w:tr>
        <w:tc>
          <w:tcPr>
            <w:tcW w:type="dxa" w:w="3408"/>
            <w:vAlign w:val="center"/>
          </w:tcPr>
          <w:p>
            <w:pPr>
              <w:spacing w:after="0"/>
            </w:pPr>
            <w:r/>
            <w:r>
              <w:rPr>
                <w:b w:val="0"/>
                <w:sz w:val="17"/>
              </w:rPr>
              <w:t>Tier 1 - Working session summary</w:t>
            </w:r>
          </w:p>
        </w:tc>
        <w:tc>
          <w:tcPr>
            <w:tcW w:type="dxa" w:w="3408"/>
            <w:vAlign w:val="center"/>
          </w:tcPr>
          <w:p>
            <w:pPr>
              <w:spacing w:after="0"/>
            </w:pPr>
            <w:r/>
            <w:r>
              <w:rPr>
                <w:b w:val="0"/>
                <w:sz w:val="17"/>
              </w:rPr>
              <w:t>What has happened in this session, unresolved references</w:t>
            </w:r>
          </w:p>
        </w:tc>
        <w:tc>
          <w:tcPr>
            <w:tcW w:type="dxa" w:w="3408"/>
            <w:vAlign w:val="center"/>
          </w:tcPr>
          <w:p>
            <w:pPr>
              <w:spacing w:after="0"/>
            </w:pPr>
            <w:r/>
            <w:r>
              <w:rPr>
                <w:b w:val="0"/>
                <w:sz w:val="17"/>
              </w:rPr>
              <w:t>Always after summary threshold</w:t>
            </w:r>
          </w:p>
        </w:tc>
      </w:tr>
      <w:tr>
        <w:tc>
          <w:tcPr>
            <w:tcW w:type="dxa" w:w="3408"/>
            <w:vAlign w:val="center"/>
          </w:tcPr>
          <w:p>
            <w:pPr>
              <w:spacing w:after="0"/>
            </w:pPr>
            <w:r/>
            <w:r>
              <w:rPr>
                <w:b w:val="0"/>
                <w:sz w:val="17"/>
              </w:rPr>
              <w:t>Tier 2 - User profile</w:t>
            </w:r>
          </w:p>
        </w:tc>
        <w:tc>
          <w:tcPr>
            <w:tcW w:type="dxa" w:w="3408"/>
            <w:vAlign w:val="center"/>
          </w:tcPr>
          <w:p>
            <w:pPr>
              <w:spacing w:after="0"/>
            </w:pPr>
            <w:r/>
            <w:r>
              <w:rPr>
                <w:b w:val="0"/>
                <w:sz w:val="17"/>
              </w:rPr>
              <w:t>Stable preferences and durable personal facts</w:t>
            </w:r>
          </w:p>
        </w:tc>
        <w:tc>
          <w:tcPr>
            <w:tcW w:type="dxa" w:w="3408"/>
            <w:vAlign w:val="center"/>
          </w:tcPr>
          <w:p>
            <w:pPr>
              <w:spacing w:after="0"/>
            </w:pPr>
            <w:r/>
            <w:r>
              <w:rPr>
                <w:b w:val="0"/>
                <w:sz w:val="17"/>
              </w:rPr>
              <w:t>Only relevant fields</w:t>
            </w:r>
          </w:p>
        </w:tc>
      </w:tr>
      <w:tr>
        <w:tc>
          <w:tcPr>
            <w:tcW w:type="dxa" w:w="3408"/>
            <w:vAlign w:val="center"/>
          </w:tcPr>
          <w:p>
            <w:pPr>
              <w:spacing w:after="0"/>
            </w:pPr>
            <w:r/>
            <w:r>
              <w:rPr>
                <w:b w:val="0"/>
                <w:sz w:val="17"/>
              </w:rPr>
              <w:t>Tier 3 - Clinical snapshot</w:t>
            </w:r>
          </w:p>
        </w:tc>
        <w:tc>
          <w:tcPr>
            <w:tcW w:type="dxa" w:w="3408"/>
            <w:vAlign w:val="center"/>
          </w:tcPr>
          <w:p>
            <w:pPr>
              <w:spacing w:after="0"/>
            </w:pPr>
            <w:r/>
            <w:r>
              <w:rPr>
                <w:b w:val="0"/>
                <w:sz w:val="17"/>
              </w:rPr>
              <w:t>Active conditions, medications, allergies, recent critical events</w:t>
            </w:r>
          </w:p>
        </w:tc>
        <w:tc>
          <w:tcPr>
            <w:tcW w:type="dxa" w:w="3408"/>
            <w:vAlign w:val="center"/>
          </w:tcPr>
          <w:p>
            <w:pPr>
              <w:spacing w:after="0"/>
            </w:pPr>
            <w:r/>
            <w:r>
              <w:rPr>
                <w:b w:val="0"/>
                <w:sz w:val="17"/>
              </w:rPr>
              <w:t>When the conversation is health-relevant</w:t>
            </w:r>
          </w:p>
        </w:tc>
      </w:tr>
      <w:tr>
        <w:tc>
          <w:tcPr>
            <w:tcW w:type="dxa" w:w="3408"/>
            <w:vAlign w:val="center"/>
          </w:tcPr>
          <w:p>
            <w:pPr>
              <w:spacing w:after="0"/>
            </w:pPr>
            <w:r/>
            <w:r>
              <w:rPr>
                <w:b w:val="0"/>
                <w:sz w:val="17"/>
              </w:rPr>
              <w:t>Tier 4 - Episodic memories</w:t>
            </w:r>
          </w:p>
        </w:tc>
        <w:tc>
          <w:tcPr>
            <w:tcW w:type="dxa" w:w="3408"/>
            <w:vAlign w:val="center"/>
          </w:tcPr>
          <w:p>
            <w:pPr>
              <w:spacing w:after="0"/>
            </w:pPr>
            <w:r/>
            <w:r>
              <w:rPr>
                <w:b w:val="0"/>
                <w:sz w:val="17"/>
              </w:rPr>
              <w:t>Past conversations/events with time and context</w:t>
            </w:r>
          </w:p>
        </w:tc>
        <w:tc>
          <w:tcPr>
            <w:tcW w:type="dxa" w:w="3408"/>
            <w:vAlign w:val="center"/>
          </w:tcPr>
          <w:p>
            <w:pPr>
              <w:spacing w:after="0"/>
            </w:pPr>
            <w:r/>
            <w:r>
              <w:rPr>
                <w:b w:val="0"/>
                <w:sz w:val="17"/>
              </w:rPr>
              <w:t>When retrieval query indicates relevance</w:t>
            </w:r>
          </w:p>
        </w:tc>
      </w:tr>
      <w:tr>
        <w:tc>
          <w:tcPr>
            <w:tcW w:type="dxa" w:w="3408"/>
            <w:vAlign w:val="center"/>
          </w:tcPr>
          <w:p>
            <w:pPr>
              <w:spacing w:after="0"/>
            </w:pPr>
            <w:r/>
            <w:r>
              <w:rPr>
                <w:b w:val="0"/>
                <w:sz w:val="17"/>
              </w:rPr>
              <w:t>Tier 5 - Raw evidence</w:t>
            </w:r>
          </w:p>
        </w:tc>
        <w:tc>
          <w:tcPr>
            <w:tcW w:type="dxa" w:w="3408"/>
            <w:vAlign w:val="center"/>
          </w:tcPr>
          <w:p>
            <w:pPr>
              <w:spacing w:after="0"/>
            </w:pPr>
            <w:r/>
            <w:r>
              <w:rPr>
                <w:b w:val="0"/>
                <w:sz w:val="17"/>
              </w:rPr>
              <w:t>Original messages/documents</w:t>
            </w:r>
          </w:p>
        </w:tc>
        <w:tc>
          <w:tcPr>
            <w:tcW w:type="dxa" w:w="3408"/>
            <w:vAlign w:val="center"/>
          </w:tcPr>
          <w:p>
            <w:pPr>
              <w:spacing w:after="0"/>
            </w:pPr>
            <w:r/>
            <w:r>
              <w:rPr>
                <w:b w:val="0"/>
                <w:sz w:val="17"/>
              </w:rPr>
              <w:t>Only when exact evidence is needed</w:t>
            </w:r>
          </w:p>
        </w:tc>
      </w:tr>
    </w:tbl>
    <w:p/>
    <w:p>
      <w:pPr>
        <w:pStyle w:val="Heading2"/>
      </w:pPr>
      <w:r>
        <w:t>8.2 Retrieval algorithm</w:t>
      </w:r>
    </w:p>
    <w:p>
      <w:pPr>
        <w:pStyle w:val="Code"/>
        <w:spacing w:after="80"/>
        <w:ind w:left="288"/>
      </w:pPr>
      <w:r>
        <w:t>1. Classify current user turn: casual / personal / health / emergency / clinician.</w:t>
        <w:br/>
        <w:t>2. Determine required memory namespace(s).</w:t>
        <w:br/>
        <w:t>3. Generate retrieval query from current intent.</w:t>
        <w:br/>
        <w:t>4. Retrieve structured facts first.</w:t>
        <w:br/>
        <w:t>5. Retrieve semantic memories second.</w:t>
        <w:br/>
        <w:t>6. Re-rank by relevance + recency + source reliability + scope + unresolved status.</w:t>
        <w:br/>
        <w:t>7. Deduplicate and compress.</w:t>
        <w:br/>
        <w:t>8. Build evidence-linked context.</w:t>
        <w:br/>
        <w:t>9. Enforce token budget.</w:t>
        <w:br/>
        <w:t>10. Generate response.</w:t>
        <w:br/>
        <w:t>11. Log retrieved-memory IDs for observability.</w:t>
      </w:r>
    </w:p>
    <w:p>
      <w:pPr>
        <w:pStyle w:val="Heading2"/>
      </w:pPr>
      <w:r>
        <w:t>8.3 Memory strategies and when to use them</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D9EAF7"/>
          </w:tcPr>
          <w:p>
            <w:pPr>
              <w:spacing w:after="0"/>
            </w:pPr>
            <w:r/>
            <w:r>
              <w:rPr>
                <w:b/>
                <w:sz w:val="17"/>
              </w:rPr>
              <w:t>Strategy</w:t>
            </w:r>
          </w:p>
        </w:tc>
        <w:tc>
          <w:tcPr>
            <w:tcW w:type="dxa" w:w="2045"/>
            <w:vAlign w:val="center"/>
            <w:shd w:fill="D9EAF7"/>
          </w:tcPr>
          <w:p>
            <w:pPr>
              <w:spacing w:after="0"/>
            </w:pPr>
            <w:r/>
            <w:r>
              <w:rPr>
                <w:b/>
                <w:sz w:val="17"/>
              </w:rPr>
              <w:t>Use</w:t>
            </w:r>
          </w:p>
        </w:tc>
        <w:tc>
          <w:tcPr>
            <w:tcW w:type="dxa" w:w="2045"/>
            <w:vAlign w:val="center"/>
            <w:shd w:fill="D9EAF7"/>
          </w:tcPr>
          <w:p>
            <w:pPr>
              <w:spacing w:after="0"/>
            </w:pPr>
            <w:r/>
            <w:r>
              <w:rPr>
                <w:b/>
                <w:sz w:val="17"/>
              </w:rPr>
              <w:t>Strength</w:t>
            </w:r>
          </w:p>
        </w:tc>
        <w:tc>
          <w:tcPr>
            <w:tcW w:type="dxa" w:w="2045"/>
            <w:vAlign w:val="center"/>
            <w:shd w:fill="D9EAF7"/>
          </w:tcPr>
          <w:p>
            <w:pPr>
              <w:spacing w:after="0"/>
            </w:pPr>
            <w:r/>
            <w:r>
              <w:rPr>
                <w:b/>
                <w:sz w:val="17"/>
              </w:rPr>
              <w:t>Risk / limitation</w:t>
            </w:r>
          </w:p>
        </w:tc>
        <w:tc>
          <w:tcPr>
            <w:tcW w:type="dxa" w:w="2045"/>
            <w:vAlign w:val="center"/>
            <w:shd w:fill="D9EAF7"/>
          </w:tcPr>
          <w:p>
            <w:pPr>
              <w:spacing w:after="0"/>
            </w:pPr>
            <w:r/>
            <w:r>
              <w:rPr>
                <w:b/>
                <w:sz w:val="17"/>
              </w:rPr>
              <w:t>MVP?</w:t>
            </w:r>
          </w:p>
        </w:tc>
      </w:tr>
      <w:tr>
        <w:tc>
          <w:tcPr>
            <w:tcW w:type="dxa" w:w="2045"/>
            <w:vAlign w:val="center"/>
          </w:tcPr>
          <w:p>
            <w:pPr>
              <w:spacing w:after="0"/>
            </w:pPr>
            <w:r/>
            <w:r>
              <w:rPr>
                <w:b w:val="0"/>
                <w:sz w:val="17"/>
              </w:rPr>
              <w:t>Rolling summary</w:t>
            </w:r>
          </w:p>
        </w:tc>
        <w:tc>
          <w:tcPr>
            <w:tcW w:type="dxa" w:w="2045"/>
            <w:vAlign w:val="center"/>
          </w:tcPr>
          <w:p>
            <w:pPr>
              <w:spacing w:after="0"/>
            </w:pPr>
            <w:r/>
            <w:r>
              <w:rPr>
                <w:b w:val="0"/>
                <w:sz w:val="17"/>
              </w:rPr>
              <w:t>Compact representation of recent/old sessions</w:t>
            </w:r>
          </w:p>
        </w:tc>
        <w:tc>
          <w:tcPr>
            <w:tcW w:type="dxa" w:w="2045"/>
            <w:vAlign w:val="center"/>
          </w:tcPr>
          <w:p>
            <w:pPr>
              <w:spacing w:after="0"/>
            </w:pPr>
            <w:r/>
            <w:r>
              <w:rPr>
                <w:b w:val="0"/>
                <w:sz w:val="17"/>
              </w:rPr>
              <w:t>Cheap and simple</w:t>
            </w:r>
          </w:p>
        </w:tc>
        <w:tc>
          <w:tcPr>
            <w:tcW w:type="dxa" w:w="2045"/>
            <w:vAlign w:val="center"/>
          </w:tcPr>
          <w:p>
            <w:pPr>
              <w:spacing w:after="0"/>
            </w:pPr>
            <w:r/>
            <w:r>
              <w:rPr>
                <w:b w:val="0"/>
                <w:sz w:val="17"/>
              </w:rPr>
              <w:t>Can lose exact details</w:t>
            </w:r>
          </w:p>
        </w:tc>
        <w:tc>
          <w:tcPr>
            <w:tcW w:type="dxa" w:w="2045"/>
            <w:vAlign w:val="center"/>
          </w:tcPr>
          <w:p>
            <w:pPr>
              <w:spacing w:after="0"/>
            </w:pPr>
            <w:r/>
            <w:r>
              <w:rPr>
                <w:b w:val="0"/>
                <w:sz w:val="17"/>
              </w:rPr>
              <w:t>Yes</w:t>
            </w:r>
          </w:p>
        </w:tc>
      </w:tr>
      <w:tr>
        <w:tc>
          <w:tcPr>
            <w:tcW w:type="dxa" w:w="2045"/>
            <w:vAlign w:val="center"/>
          </w:tcPr>
          <w:p>
            <w:pPr>
              <w:spacing w:after="0"/>
            </w:pPr>
            <w:r/>
            <w:r>
              <w:rPr>
                <w:b w:val="0"/>
                <w:sz w:val="17"/>
              </w:rPr>
              <w:t>Hierarchical memory</w:t>
            </w:r>
          </w:p>
        </w:tc>
        <w:tc>
          <w:tcPr>
            <w:tcW w:type="dxa" w:w="2045"/>
            <w:vAlign w:val="center"/>
          </w:tcPr>
          <w:p>
            <w:pPr>
              <w:spacing w:after="0"/>
            </w:pPr>
            <w:r/>
            <w:r>
              <w:rPr>
                <w:b w:val="0"/>
                <w:sz w:val="17"/>
              </w:rPr>
              <w:t>Multiple tiers from immediate context to archive</w:t>
            </w:r>
          </w:p>
        </w:tc>
        <w:tc>
          <w:tcPr>
            <w:tcW w:type="dxa" w:w="2045"/>
            <w:vAlign w:val="center"/>
          </w:tcPr>
          <w:p>
            <w:pPr>
              <w:spacing w:after="0"/>
            </w:pPr>
            <w:r/>
            <w:r>
              <w:rPr>
                <w:b w:val="0"/>
                <w:sz w:val="17"/>
              </w:rPr>
              <w:t>Token-efficient, controllable</w:t>
            </w:r>
          </w:p>
        </w:tc>
        <w:tc>
          <w:tcPr>
            <w:tcW w:type="dxa" w:w="2045"/>
            <w:vAlign w:val="center"/>
          </w:tcPr>
          <w:p>
            <w:pPr>
              <w:spacing w:after="0"/>
            </w:pPr>
            <w:r/>
            <w:r>
              <w:rPr>
                <w:b w:val="0"/>
                <w:sz w:val="17"/>
              </w:rPr>
              <w:t>More engineering</w:t>
            </w:r>
          </w:p>
        </w:tc>
        <w:tc>
          <w:tcPr>
            <w:tcW w:type="dxa" w:w="2045"/>
            <w:vAlign w:val="center"/>
          </w:tcPr>
          <w:p>
            <w:pPr>
              <w:spacing w:after="0"/>
            </w:pPr>
            <w:r/>
            <w:r>
              <w:rPr>
                <w:b w:val="0"/>
                <w:sz w:val="17"/>
              </w:rPr>
              <w:t>Yes</w:t>
            </w:r>
          </w:p>
        </w:tc>
      </w:tr>
      <w:tr>
        <w:tc>
          <w:tcPr>
            <w:tcW w:type="dxa" w:w="2045"/>
            <w:vAlign w:val="center"/>
          </w:tcPr>
          <w:p>
            <w:pPr>
              <w:spacing w:after="0"/>
            </w:pPr>
            <w:r/>
            <w:r>
              <w:rPr>
                <w:b w:val="0"/>
                <w:sz w:val="17"/>
              </w:rPr>
              <w:t>Structured clinical ledger</w:t>
            </w:r>
          </w:p>
        </w:tc>
        <w:tc>
          <w:tcPr>
            <w:tcW w:type="dxa" w:w="2045"/>
            <w:vAlign w:val="center"/>
          </w:tcPr>
          <w:p>
            <w:pPr>
              <w:spacing w:after="0"/>
            </w:pPr>
            <w:r/>
            <w:r>
              <w:rPr>
                <w:b w:val="0"/>
                <w:sz w:val="17"/>
              </w:rPr>
              <w:t>Facts, dates, codes, values</w:t>
            </w:r>
          </w:p>
        </w:tc>
        <w:tc>
          <w:tcPr>
            <w:tcW w:type="dxa" w:w="2045"/>
            <w:vAlign w:val="center"/>
          </w:tcPr>
          <w:p>
            <w:pPr>
              <w:spacing w:after="0"/>
            </w:pPr>
            <w:r/>
            <w:r>
              <w:rPr>
                <w:b w:val="0"/>
                <w:sz w:val="17"/>
              </w:rPr>
              <w:t>High precision and provenance</w:t>
            </w:r>
          </w:p>
        </w:tc>
        <w:tc>
          <w:tcPr>
            <w:tcW w:type="dxa" w:w="2045"/>
            <w:vAlign w:val="center"/>
          </w:tcPr>
          <w:p>
            <w:pPr>
              <w:spacing w:after="0"/>
            </w:pPr>
            <w:r/>
            <w:r>
              <w:rPr>
                <w:b w:val="0"/>
                <w:sz w:val="17"/>
              </w:rPr>
              <w:t>Requires schema discipline</w:t>
            </w:r>
          </w:p>
        </w:tc>
        <w:tc>
          <w:tcPr>
            <w:tcW w:type="dxa" w:w="2045"/>
            <w:vAlign w:val="center"/>
          </w:tcPr>
          <w:p>
            <w:pPr>
              <w:spacing w:after="0"/>
            </w:pPr>
            <w:r/>
            <w:r>
              <w:rPr>
                <w:b w:val="0"/>
                <w:sz w:val="17"/>
              </w:rPr>
              <w:t>Yes</w:t>
            </w:r>
          </w:p>
        </w:tc>
      </w:tr>
      <w:tr>
        <w:tc>
          <w:tcPr>
            <w:tcW w:type="dxa" w:w="2045"/>
            <w:vAlign w:val="center"/>
          </w:tcPr>
          <w:p>
            <w:pPr>
              <w:spacing w:after="0"/>
            </w:pPr>
            <w:r/>
            <w:r>
              <w:rPr>
                <w:b w:val="0"/>
                <w:sz w:val="17"/>
              </w:rPr>
              <w:t>Vector RAG</w:t>
            </w:r>
          </w:p>
        </w:tc>
        <w:tc>
          <w:tcPr>
            <w:tcW w:type="dxa" w:w="2045"/>
            <w:vAlign w:val="center"/>
          </w:tcPr>
          <w:p>
            <w:pPr>
              <w:spacing w:after="0"/>
            </w:pPr>
            <w:r/>
            <w:r>
              <w:rPr>
                <w:b w:val="0"/>
                <w:sz w:val="17"/>
              </w:rPr>
              <w:t>Semantic search over conversational memories/docs</w:t>
            </w:r>
          </w:p>
        </w:tc>
        <w:tc>
          <w:tcPr>
            <w:tcW w:type="dxa" w:w="2045"/>
            <w:vAlign w:val="center"/>
          </w:tcPr>
          <w:p>
            <w:pPr>
              <w:spacing w:after="0"/>
            </w:pPr>
            <w:r/>
            <w:r>
              <w:rPr>
                <w:b w:val="0"/>
                <w:sz w:val="17"/>
              </w:rPr>
              <w:t>Handles natural language recall</w:t>
            </w:r>
          </w:p>
        </w:tc>
        <w:tc>
          <w:tcPr>
            <w:tcW w:type="dxa" w:w="2045"/>
            <w:vAlign w:val="center"/>
          </w:tcPr>
          <w:p>
            <w:pPr>
              <w:spacing w:after="0"/>
            </w:pPr>
            <w:r/>
            <w:r>
              <w:rPr>
                <w:b w:val="0"/>
                <w:sz w:val="17"/>
              </w:rPr>
              <w:t>May retrieve plausible but wrong items</w:t>
            </w:r>
          </w:p>
        </w:tc>
        <w:tc>
          <w:tcPr>
            <w:tcW w:type="dxa" w:w="2045"/>
            <w:vAlign w:val="center"/>
          </w:tcPr>
          <w:p>
            <w:pPr>
              <w:spacing w:after="0"/>
            </w:pPr>
            <w:r/>
            <w:r>
              <w:rPr>
                <w:b w:val="0"/>
                <w:sz w:val="17"/>
              </w:rPr>
              <w:t>Yes</w:t>
            </w:r>
          </w:p>
        </w:tc>
      </w:tr>
      <w:tr>
        <w:tc>
          <w:tcPr>
            <w:tcW w:type="dxa" w:w="2045"/>
            <w:vAlign w:val="center"/>
          </w:tcPr>
          <w:p>
            <w:pPr>
              <w:spacing w:after="0"/>
            </w:pPr>
            <w:r/>
            <w:r>
              <w:rPr>
                <w:b w:val="0"/>
                <w:sz w:val="17"/>
              </w:rPr>
              <w:t>Hybrid retrieval</w:t>
            </w:r>
          </w:p>
        </w:tc>
        <w:tc>
          <w:tcPr>
            <w:tcW w:type="dxa" w:w="2045"/>
            <w:vAlign w:val="center"/>
          </w:tcPr>
          <w:p>
            <w:pPr>
              <w:spacing w:after="0"/>
            </w:pPr>
            <w:r/>
            <w:r>
              <w:rPr>
                <w:b w:val="0"/>
                <w:sz w:val="17"/>
              </w:rPr>
              <w:t>Structured filters + vector search</w:t>
            </w:r>
          </w:p>
        </w:tc>
        <w:tc>
          <w:tcPr>
            <w:tcW w:type="dxa" w:w="2045"/>
            <w:vAlign w:val="center"/>
          </w:tcPr>
          <w:p>
            <w:pPr>
              <w:spacing w:after="0"/>
            </w:pPr>
            <w:r/>
            <w:r>
              <w:rPr>
                <w:b w:val="0"/>
                <w:sz w:val="17"/>
              </w:rPr>
              <w:t>Best precision/relevance trade-off</w:t>
            </w:r>
          </w:p>
        </w:tc>
        <w:tc>
          <w:tcPr>
            <w:tcW w:type="dxa" w:w="2045"/>
            <w:vAlign w:val="center"/>
          </w:tcPr>
          <w:p>
            <w:pPr>
              <w:spacing w:after="0"/>
            </w:pPr>
            <w:r/>
            <w:r>
              <w:rPr>
                <w:b w:val="0"/>
                <w:sz w:val="17"/>
              </w:rPr>
              <w:t>More complex</w:t>
            </w:r>
          </w:p>
        </w:tc>
        <w:tc>
          <w:tcPr>
            <w:tcW w:type="dxa" w:w="2045"/>
            <w:vAlign w:val="center"/>
          </w:tcPr>
          <w:p>
            <w:pPr>
              <w:spacing w:after="0"/>
            </w:pPr>
            <w:r/>
            <w:r>
              <w:rPr>
                <w:b w:val="0"/>
                <w:sz w:val="17"/>
              </w:rPr>
              <w:t>Yes</w:t>
            </w:r>
          </w:p>
        </w:tc>
      </w:tr>
      <w:tr>
        <w:tc>
          <w:tcPr>
            <w:tcW w:type="dxa" w:w="2045"/>
            <w:vAlign w:val="center"/>
          </w:tcPr>
          <w:p>
            <w:pPr>
              <w:spacing w:after="0"/>
            </w:pPr>
            <w:r/>
            <w:r>
              <w:rPr>
                <w:b w:val="0"/>
                <w:sz w:val="17"/>
              </w:rPr>
              <w:t>Graph memory</w:t>
            </w:r>
          </w:p>
        </w:tc>
        <w:tc>
          <w:tcPr>
            <w:tcW w:type="dxa" w:w="2045"/>
            <w:vAlign w:val="center"/>
          </w:tcPr>
          <w:p>
            <w:pPr>
              <w:spacing w:after="0"/>
            </w:pPr>
            <w:r/>
            <w:r>
              <w:rPr>
                <w:b w:val="0"/>
                <w:sz w:val="17"/>
              </w:rPr>
              <w:t>Relationships among people/events/conditions</w:t>
            </w:r>
          </w:p>
        </w:tc>
        <w:tc>
          <w:tcPr>
            <w:tcW w:type="dxa" w:w="2045"/>
            <w:vAlign w:val="center"/>
          </w:tcPr>
          <w:p>
            <w:pPr>
              <w:spacing w:after="0"/>
            </w:pPr>
            <w:r/>
            <w:r>
              <w:rPr>
                <w:b w:val="0"/>
                <w:sz w:val="17"/>
              </w:rPr>
              <w:t>Good for longitudinal relationships</w:t>
            </w:r>
          </w:p>
        </w:tc>
        <w:tc>
          <w:tcPr>
            <w:tcW w:type="dxa" w:w="2045"/>
            <w:vAlign w:val="center"/>
          </w:tcPr>
          <w:p>
            <w:pPr>
              <w:spacing w:after="0"/>
            </w:pPr>
            <w:r/>
            <w:r>
              <w:rPr>
                <w:b w:val="0"/>
                <w:sz w:val="17"/>
              </w:rPr>
              <w:t>Extra storage/maintenance</w:t>
            </w:r>
          </w:p>
        </w:tc>
        <w:tc>
          <w:tcPr>
            <w:tcW w:type="dxa" w:w="2045"/>
            <w:vAlign w:val="center"/>
          </w:tcPr>
          <w:p>
            <w:pPr>
              <w:spacing w:after="0"/>
            </w:pPr>
            <w:r/>
            <w:r>
              <w:rPr>
                <w:b w:val="0"/>
                <w:sz w:val="17"/>
              </w:rPr>
              <w:t>Later</w:t>
            </w:r>
          </w:p>
        </w:tc>
      </w:tr>
      <w:tr>
        <w:tc>
          <w:tcPr>
            <w:tcW w:type="dxa" w:w="2045"/>
            <w:vAlign w:val="center"/>
          </w:tcPr>
          <w:p>
            <w:pPr>
              <w:spacing w:after="0"/>
            </w:pPr>
            <w:r/>
            <w:r>
              <w:rPr>
                <w:b w:val="0"/>
                <w:sz w:val="17"/>
              </w:rPr>
              <w:t>Episodic memory</w:t>
            </w:r>
          </w:p>
        </w:tc>
        <w:tc>
          <w:tcPr>
            <w:tcW w:type="dxa" w:w="2045"/>
            <w:vAlign w:val="center"/>
          </w:tcPr>
          <w:p>
            <w:pPr>
              <w:spacing w:after="0"/>
            </w:pPr>
            <w:r/>
            <w:r>
              <w:rPr>
                <w:b w:val="0"/>
                <w:sz w:val="17"/>
              </w:rPr>
              <w:t>Stores meaningful interaction episodes</w:t>
            </w:r>
          </w:p>
        </w:tc>
        <w:tc>
          <w:tcPr>
            <w:tcW w:type="dxa" w:w="2045"/>
            <w:vAlign w:val="center"/>
          </w:tcPr>
          <w:p>
            <w:pPr>
              <w:spacing w:after="0"/>
            </w:pPr>
            <w:r/>
            <w:r>
              <w:rPr>
                <w:b w:val="0"/>
                <w:sz w:val="17"/>
              </w:rPr>
              <w:t>Maintains continuity</w:t>
            </w:r>
          </w:p>
        </w:tc>
        <w:tc>
          <w:tcPr>
            <w:tcW w:type="dxa" w:w="2045"/>
            <w:vAlign w:val="center"/>
          </w:tcPr>
          <w:p>
            <w:pPr>
              <w:spacing w:after="0"/>
            </w:pPr>
            <w:r/>
            <w:r>
              <w:rPr>
                <w:b w:val="0"/>
                <w:sz w:val="17"/>
              </w:rPr>
              <w:t>Needs salience rules</w:t>
            </w:r>
          </w:p>
        </w:tc>
        <w:tc>
          <w:tcPr>
            <w:tcW w:type="dxa" w:w="2045"/>
            <w:vAlign w:val="center"/>
          </w:tcPr>
          <w:p>
            <w:pPr>
              <w:spacing w:after="0"/>
            </w:pPr>
            <w:r/>
            <w:r>
              <w:rPr>
                <w:b w:val="0"/>
                <w:sz w:val="17"/>
              </w:rPr>
              <w:t>Yes</w:t>
            </w:r>
          </w:p>
        </w:tc>
      </w:tr>
      <w:tr>
        <w:tc>
          <w:tcPr>
            <w:tcW w:type="dxa" w:w="2045"/>
            <w:vAlign w:val="center"/>
          </w:tcPr>
          <w:p>
            <w:pPr>
              <w:spacing w:after="0"/>
            </w:pPr>
            <w:r/>
            <w:r>
              <w:rPr>
                <w:b w:val="0"/>
                <w:sz w:val="17"/>
              </w:rPr>
              <w:t>Reflective memory</w:t>
            </w:r>
          </w:p>
        </w:tc>
        <w:tc>
          <w:tcPr>
            <w:tcW w:type="dxa" w:w="2045"/>
            <w:vAlign w:val="center"/>
          </w:tcPr>
          <w:p>
            <w:pPr>
              <w:spacing w:after="0"/>
            </w:pPr>
            <w:r/>
            <w:r>
              <w:rPr>
                <w:b w:val="0"/>
                <w:sz w:val="17"/>
              </w:rPr>
              <w:t>Periodically derives higher-level patterns</w:t>
            </w:r>
          </w:p>
        </w:tc>
        <w:tc>
          <w:tcPr>
            <w:tcW w:type="dxa" w:w="2045"/>
            <w:vAlign w:val="center"/>
          </w:tcPr>
          <w:p>
            <w:pPr>
              <w:spacing w:after="0"/>
            </w:pPr>
            <w:r/>
            <w:r>
              <w:rPr>
                <w:b w:val="0"/>
                <w:sz w:val="17"/>
              </w:rPr>
              <w:t>Useful for personalization</w:t>
            </w:r>
          </w:p>
        </w:tc>
        <w:tc>
          <w:tcPr>
            <w:tcW w:type="dxa" w:w="2045"/>
            <w:vAlign w:val="center"/>
          </w:tcPr>
          <w:p>
            <w:pPr>
              <w:spacing w:after="0"/>
            </w:pPr>
            <w:r/>
            <w:r>
              <w:rPr>
                <w:b w:val="0"/>
                <w:sz w:val="17"/>
              </w:rPr>
              <w:t>Can compound model errors</w:t>
            </w:r>
          </w:p>
        </w:tc>
        <w:tc>
          <w:tcPr>
            <w:tcW w:type="dxa" w:w="2045"/>
            <w:vAlign w:val="center"/>
          </w:tcPr>
          <w:p>
            <w:pPr>
              <w:spacing w:after="0"/>
            </w:pPr>
            <w:r/>
            <w:r>
              <w:rPr>
                <w:b w:val="0"/>
                <w:sz w:val="17"/>
              </w:rPr>
              <w:t>Later / supervised</w:t>
            </w:r>
          </w:p>
        </w:tc>
      </w:tr>
      <w:tr>
        <w:tc>
          <w:tcPr>
            <w:tcW w:type="dxa" w:w="2045"/>
            <w:vAlign w:val="center"/>
          </w:tcPr>
          <w:p>
            <w:pPr>
              <w:spacing w:after="0"/>
            </w:pPr>
            <w:r/>
            <w:r>
              <w:rPr>
                <w:b w:val="0"/>
                <w:sz w:val="17"/>
              </w:rPr>
              <w:t>Agentic memory</w:t>
            </w:r>
          </w:p>
        </w:tc>
        <w:tc>
          <w:tcPr>
            <w:tcW w:type="dxa" w:w="2045"/>
            <w:vAlign w:val="center"/>
          </w:tcPr>
          <w:p>
            <w:pPr>
              <w:spacing w:after="0"/>
            </w:pPr>
            <w:r/>
            <w:r>
              <w:rPr>
                <w:b w:val="0"/>
                <w:sz w:val="17"/>
              </w:rPr>
              <w:t>Model dynamically organizes/link memories</w:t>
            </w:r>
          </w:p>
        </w:tc>
        <w:tc>
          <w:tcPr>
            <w:tcW w:type="dxa" w:w="2045"/>
            <w:vAlign w:val="center"/>
          </w:tcPr>
          <w:p>
            <w:pPr>
              <w:spacing w:after="0"/>
            </w:pPr>
            <w:r/>
            <w:r>
              <w:rPr>
                <w:b w:val="0"/>
                <w:sz w:val="17"/>
              </w:rPr>
              <w:t>Adaptive long-term organization</w:t>
            </w:r>
          </w:p>
        </w:tc>
        <w:tc>
          <w:tcPr>
            <w:tcW w:type="dxa" w:w="2045"/>
            <w:vAlign w:val="center"/>
          </w:tcPr>
          <w:p>
            <w:pPr>
              <w:spacing w:after="0"/>
            </w:pPr>
            <w:r/>
            <w:r>
              <w:rPr>
                <w:b w:val="0"/>
                <w:sz w:val="17"/>
              </w:rPr>
              <w:t>Higher complexity and audit burden</w:t>
            </w:r>
          </w:p>
        </w:tc>
        <w:tc>
          <w:tcPr>
            <w:tcW w:type="dxa" w:w="2045"/>
            <w:vAlign w:val="center"/>
          </w:tcPr>
          <w:p>
            <w:pPr>
              <w:spacing w:after="0"/>
            </w:pPr>
            <w:r/>
            <w:r>
              <w:rPr>
                <w:b w:val="0"/>
                <w:sz w:val="17"/>
              </w:rPr>
              <w:t>Experiment</w:t>
            </w:r>
          </w:p>
        </w:tc>
      </w:tr>
      <w:tr>
        <w:tc>
          <w:tcPr>
            <w:tcW w:type="dxa" w:w="2045"/>
            <w:vAlign w:val="center"/>
          </w:tcPr>
          <w:p>
            <w:pPr>
              <w:spacing w:after="0"/>
            </w:pPr>
            <w:r/>
            <w:r>
              <w:rPr>
                <w:b w:val="0"/>
                <w:sz w:val="17"/>
              </w:rPr>
              <w:t>Evidence-linked summaries</w:t>
            </w:r>
          </w:p>
        </w:tc>
        <w:tc>
          <w:tcPr>
            <w:tcW w:type="dxa" w:w="2045"/>
            <w:vAlign w:val="center"/>
          </w:tcPr>
          <w:p>
            <w:pPr>
              <w:spacing w:after="0"/>
            </w:pPr>
            <w:r/>
            <w:r>
              <w:rPr>
                <w:b w:val="0"/>
                <w:sz w:val="17"/>
              </w:rPr>
              <w:t>Summary points reference source IDs</w:t>
            </w:r>
          </w:p>
        </w:tc>
        <w:tc>
          <w:tcPr>
            <w:tcW w:type="dxa" w:w="2045"/>
            <w:vAlign w:val="center"/>
          </w:tcPr>
          <w:p>
            <w:pPr>
              <w:spacing w:after="0"/>
            </w:pPr>
            <w:r/>
            <w:r>
              <w:rPr>
                <w:b w:val="0"/>
                <w:sz w:val="17"/>
              </w:rPr>
              <w:t>Auditable and correctable</w:t>
            </w:r>
          </w:p>
        </w:tc>
        <w:tc>
          <w:tcPr>
            <w:tcW w:type="dxa" w:w="2045"/>
            <w:vAlign w:val="center"/>
          </w:tcPr>
          <w:p>
            <w:pPr>
              <w:spacing w:after="0"/>
            </w:pPr>
            <w:r/>
            <w:r>
              <w:rPr>
                <w:b w:val="0"/>
                <w:sz w:val="17"/>
              </w:rPr>
              <w:t>More metadata</w:t>
            </w:r>
          </w:p>
        </w:tc>
        <w:tc>
          <w:tcPr>
            <w:tcW w:type="dxa" w:w="2045"/>
            <w:vAlign w:val="center"/>
          </w:tcPr>
          <w:p>
            <w:pPr>
              <w:spacing w:after="0"/>
            </w:pPr>
            <w:r/>
            <w:r>
              <w:rPr>
                <w:b w:val="0"/>
                <w:sz w:val="17"/>
              </w:rPr>
              <w:t>Yes</w:t>
            </w:r>
          </w:p>
        </w:tc>
      </w:tr>
    </w:tbl>
    <w:p/>
    <w:p>
      <w:pPr>
        <w:spacing w:after="100" w:line="259" w:lineRule="auto"/>
      </w:pPr>
      <w:r>
        <w:t>Research note: hierarchical context management is a known approach to overcoming LLM context limits, including MemGPT. A-MEM explores dynamic, interconnected agentic memories, while recent work such as MGRetrieval focuses on retrieving concise evidence through structured memory paths rather than dumping large memory sets into context. These ideas are useful patterns, but Mhistree should keep structured clinical records as the authoritative source for clinical facts.</w:t>
      </w:r>
    </w:p>
    <w:p>
      <w:pPr>
        <w:pStyle w:val="Heading1"/>
      </w:pPr>
      <w:r>
        <w:t>9. Noise Filtering and Memory Formation</w:t>
      </w:r>
    </w:p>
    <w:p>
      <w:pPr>
        <w:pStyle w:val="Heading2"/>
      </w:pPr>
      <w:r>
        <w:t>9.1 The “Bouncer” pipeline</w:t>
      </w:r>
    </w:p>
    <w:p>
      <w:pPr>
        <w:pStyle w:val="Code"/>
        <w:spacing w:after="80"/>
        <w:ind w:left="288"/>
      </w:pPr>
      <w:r>
        <w:t>Raw message</w:t>
        <w:br/>
        <w:t xml:space="preserve">  -&gt; language / intent detection</w:t>
        <w:br/>
        <w:t xml:space="preserve">  -&gt; health relevance classifier</w:t>
        <w:br/>
        <w:t xml:space="preserve">  -&gt; candidate fact extraction</w:t>
        <w:br/>
        <w:t xml:space="preserve">  -&gt; personal-memory extraction</w:t>
        <w:br/>
        <w:t xml:space="preserve">  -&gt; temporal normalization</w:t>
        <w:br/>
        <w:t xml:space="preserve">  -&gt; negation / uncertainty detection</w:t>
        <w:br/>
        <w:t xml:space="preserve">  -&gt; deduplication</w:t>
        <w:br/>
        <w:t xml:space="preserve">  -&gt; salience score</w:t>
        <w:br/>
        <w:t xml:space="preserve">  -&gt; policy gate</w:t>
        <w:br/>
        <w:t xml:space="preserve">  -&gt; durable memory OR discard</w:t>
        <w:br/>
        <w:t xml:space="preserve">  -&gt; audit metadata</w:t>
      </w:r>
    </w:p>
    <w:p>
      <w:pPr>
        <w:pStyle w:val="Heading2"/>
      </w:pPr>
      <w:r>
        <w:t>9.2 Noise classes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D9EAF7"/>
          </w:tcPr>
          <w:p>
            <w:pPr>
              <w:spacing w:after="0"/>
            </w:pPr>
            <w:r/>
            <w:r>
              <w:rPr>
                <w:b/>
                <w:sz w:val="17"/>
              </w:rPr>
              <w:t>Class</w:t>
            </w:r>
          </w:p>
        </w:tc>
        <w:tc>
          <w:tcPr>
            <w:tcW w:type="dxa" w:w="2556"/>
            <w:vAlign w:val="center"/>
            <w:shd w:fill="D9EAF7"/>
          </w:tcPr>
          <w:p>
            <w:pPr>
              <w:spacing w:after="0"/>
            </w:pPr>
            <w:r/>
            <w:r>
              <w:rPr>
                <w:b/>
                <w:sz w:val="17"/>
              </w:rPr>
              <w:t>Example</w:t>
            </w:r>
          </w:p>
        </w:tc>
        <w:tc>
          <w:tcPr>
            <w:tcW w:type="dxa" w:w="2556"/>
            <w:vAlign w:val="center"/>
            <w:shd w:fill="D9EAF7"/>
          </w:tcPr>
          <w:p>
            <w:pPr>
              <w:spacing w:after="0"/>
            </w:pPr>
            <w:r/>
            <w:r>
              <w:rPr>
                <w:b/>
                <w:sz w:val="17"/>
              </w:rPr>
              <w:t>Durable?</w:t>
            </w:r>
          </w:p>
        </w:tc>
        <w:tc>
          <w:tcPr>
            <w:tcW w:type="dxa" w:w="2556"/>
            <w:vAlign w:val="center"/>
            <w:shd w:fill="D9EAF7"/>
          </w:tcPr>
          <w:p>
            <w:pPr>
              <w:spacing w:after="0"/>
            </w:pPr>
            <w:r/>
            <w:r>
              <w:rPr>
                <w:b/>
                <w:sz w:val="17"/>
              </w:rPr>
              <w:t>Action</w:t>
            </w:r>
          </w:p>
        </w:tc>
      </w:tr>
      <w:tr>
        <w:tc>
          <w:tcPr>
            <w:tcW w:type="dxa" w:w="2556"/>
            <w:vAlign w:val="center"/>
          </w:tcPr>
          <w:p>
            <w:pPr>
              <w:spacing w:after="0"/>
            </w:pPr>
            <w:r/>
            <w:r>
              <w:rPr>
                <w:b w:val="0"/>
                <w:sz w:val="17"/>
              </w:rPr>
              <w:t>Pure small talk</w:t>
            </w:r>
          </w:p>
        </w:tc>
        <w:tc>
          <w:tcPr>
            <w:tcW w:type="dxa" w:w="2556"/>
            <w:vAlign w:val="center"/>
          </w:tcPr>
          <w:p>
            <w:pPr>
              <w:spacing w:after="0"/>
            </w:pPr>
            <w:r/>
            <w:r>
              <w:rPr>
                <w:b w:val="0"/>
                <w:sz w:val="17"/>
              </w:rPr>
              <w:t>“Haha, that was funny.”</w:t>
            </w:r>
          </w:p>
        </w:tc>
        <w:tc>
          <w:tcPr>
            <w:tcW w:type="dxa" w:w="2556"/>
            <w:vAlign w:val="center"/>
          </w:tcPr>
          <w:p>
            <w:pPr>
              <w:spacing w:after="0"/>
            </w:pPr>
            <w:r/>
            <w:r>
              <w:rPr>
                <w:b w:val="0"/>
                <w:sz w:val="17"/>
              </w:rPr>
              <w:t>No</w:t>
            </w:r>
          </w:p>
        </w:tc>
        <w:tc>
          <w:tcPr>
            <w:tcW w:type="dxa" w:w="2556"/>
            <w:vAlign w:val="center"/>
          </w:tcPr>
          <w:p>
            <w:pPr>
              <w:spacing w:after="0"/>
            </w:pPr>
            <w:r/>
            <w:r>
              <w:rPr>
                <w:b w:val="0"/>
                <w:sz w:val="17"/>
              </w:rPr>
              <w:t>Keep in session only if useful for immediate reply.</w:t>
            </w:r>
          </w:p>
        </w:tc>
      </w:tr>
      <w:tr>
        <w:tc>
          <w:tcPr>
            <w:tcW w:type="dxa" w:w="2556"/>
            <w:vAlign w:val="center"/>
          </w:tcPr>
          <w:p>
            <w:pPr>
              <w:spacing w:after="0"/>
            </w:pPr>
            <w:r/>
            <w:r>
              <w:rPr>
                <w:b w:val="0"/>
                <w:sz w:val="17"/>
              </w:rPr>
              <w:t>Stable preference</w:t>
            </w:r>
          </w:p>
        </w:tc>
        <w:tc>
          <w:tcPr>
            <w:tcW w:type="dxa" w:w="2556"/>
            <w:vAlign w:val="center"/>
          </w:tcPr>
          <w:p>
            <w:pPr>
              <w:spacing w:after="0"/>
            </w:pPr>
            <w:r/>
            <w:r>
              <w:rPr>
                <w:b w:val="0"/>
                <w:sz w:val="17"/>
              </w:rPr>
              <w:t>“I prefer being called Dan.”</w:t>
            </w:r>
          </w:p>
        </w:tc>
        <w:tc>
          <w:tcPr>
            <w:tcW w:type="dxa" w:w="2556"/>
            <w:vAlign w:val="center"/>
          </w:tcPr>
          <w:p>
            <w:pPr>
              <w:spacing w:after="0"/>
            </w:pPr>
            <w:r/>
            <w:r>
              <w:rPr>
                <w:b w:val="0"/>
                <w:sz w:val="17"/>
              </w:rPr>
              <w:t>Yes, personal</w:t>
            </w:r>
          </w:p>
        </w:tc>
        <w:tc>
          <w:tcPr>
            <w:tcW w:type="dxa" w:w="2556"/>
            <w:vAlign w:val="center"/>
          </w:tcPr>
          <w:p>
            <w:pPr>
              <w:spacing w:after="0"/>
            </w:pPr>
            <w:r/>
            <w:r>
              <w:rPr>
                <w:b w:val="0"/>
                <w:sz w:val="17"/>
              </w:rPr>
              <w:t>Store as user preference.</w:t>
            </w:r>
          </w:p>
        </w:tc>
      </w:tr>
      <w:tr>
        <w:tc>
          <w:tcPr>
            <w:tcW w:type="dxa" w:w="2556"/>
            <w:vAlign w:val="center"/>
          </w:tcPr>
          <w:p>
            <w:pPr>
              <w:spacing w:after="0"/>
            </w:pPr>
            <w:r/>
            <w:r>
              <w:rPr>
                <w:b w:val="0"/>
                <w:sz w:val="17"/>
              </w:rPr>
              <w:t>Temporary personal detail</w:t>
            </w:r>
          </w:p>
        </w:tc>
        <w:tc>
          <w:tcPr>
            <w:tcW w:type="dxa" w:w="2556"/>
            <w:vAlign w:val="center"/>
          </w:tcPr>
          <w:p>
            <w:pPr>
              <w:spacing w:after="0"/>
            </w:pPr>
            <w:r/>
            <w:r>
              <w:rPr>
                <w:b w:val="0"/>
                <w:sz w:val="17"/>
              </w:rPr>
              <w:t>“I have an exam tomorrow.”</w:t>
            </w:r>
          </w:p>
        </w:tc>
        <w:tc>
          <w:tcPr>
            <w:tcW w:type="dxa" w:w="2556"/>
            <w:vAlign w:val="center"/>
          </w:tcPr>
          <w:p>
            <w:pPr>
              <w:spacing w:after="0"/>
            </w:pPr>
            <w:r/>
            <w:r>
              <w:rPr>
                <w:b w:val="0"/>
                <w:sz w:val="17"/>
              </w:rPr>
              <w:t>Possibly</w:t>
            </w:r>
          </w:p>
        </w:tc>
        <w:tc>
          <w:tcPr>
            <w:tcW w:type="dxa" w:w="2556"/>
            <w:vAlign w:val="center"/>
          </w:tcPr>
          <w:p>
            <w:pPr>
              <w:spacing w:after="0"/>
            </w:pPr>
            <w:r/>
            <w:r>
              <w:rPr>
                <w:b w:val="0"/>
                <w:sz w:val="17"/>
              </w:rPr>
              <w:t>Store only if useful and time-scoped.</w:t>
            </w:r>
          </w:p>
        </w:tc>
      </w:tr>
      <w:tr>
        <w:tc>
          <w:tcPr>
            <w:tcW w:type="dxa" w:w="2556"/>
            <w:vAlign w:val="center"/>
          </w:tcPr>
          <w:p>
            <w:pPr>
              <w:spacing w:after="0"/>
            </w:pPr>
            <w:r/>
            <w:r>
              <w:rPr>
                <w:b w:val="0"/>
                <w:sz w:val="17"/>
              </w:rPr>
              <w:t>Clinical self-report</w:t>
            </w:r>
          </w:p>
        </w:tc>
        <w:tc>
          <w:tcPr>
            <w:tcW w:type="dxa" w:w="2556"/>
            <w:vAlign w:val="center"/>
          </w:tcPr>
          <w:p>
            <w:pPr>
              <w:spacing w:after="0"/>
            </w:pPr>
            <w:r/>
            <w:r>
              <w:rPr>
                <w:b w:val="0"/>
                <w:sz w:val="17"/>
              </w:rPr>
              <w:t>“My chest feels tight.”</w:t>
            </w:r>
          </w:p>
        </w:tc>
        <w:tc>
          <w:tcPr>
            <w:tcW w:type="dxa" w:w="2556"/>
            <w:vAlign w:val="center"/>
          </w:tcPr>
          <w:p>
            <w:pPr>
              <w:spacing w:after="0"/>
            </w:pPr>
            <w:r/>
            <w:r>
              <w:rPr>
                <w:b w:val="0"/>
                <w:sz w:val="17"/>
              </w:rPr>
              <w:t>Yes, health candidate</w:t>
            </w:r>
          </w:p>
        </w:tc>
        <w:tc>
          <w:tcPr>
            <w:tcW w:type="dxa" w:w="2556"/>
            <w:vAlign w:val="center"/>
          </w:tcPr>
          <w:p>
            <w:pPr>
              <w:spacing w:after="0"/>
            </w:pPr>
            <w:r/>
            <w:r>
              <w:rPr>
                <w:b w:val="0"/>
                <w:sz w:val="17"/>
              </w:rPr>
              <w:t>Create event with self-reported status.</w:t>
            </w:r>
          </w:p>
        </w:tc>
      </w:tr>
      <w:tr>
        <w:tc>
          <w:tcPr>
            <w:tcW w:type="dxa" w:w="2556"/>
            <w:vAlign w:val="center"/>
          </w:tcPr>
          <w:p>
            <w:pPr>
              <w:spacing w:after="0"/>
            </w:pPr>
            <w:r/>
            <w:r>
              <w:rPr>
                <w:b w:val="0"/>
                <w:sz w:val="17"/>
              </w:rPr>
              <w:t>Clinical conclusion by AI</w:t>
            </w:r>
          </w:p>
        </w:tc>
        <w:tc>
          <w:tcPr>
            <w:tcW w:type="dxa" w:w="2556"/>
            <w:vAlign w:val="center"/>
          </w:tcPr>
          <w:p>
            <w:pPr>
              <w:spacing w:after="0"/>
            </w:pPr>
            <w:r/>
            <w:r>
              <w:rPr>
                <w:b w:val="0"/>
                <w:sz w:val="17"/>
              </w:rPr>
              <w:t>“This sounds like asthma.”</w:t>
            </w:r>
          </w:p>
        </w:tc>
        <w:tc>
          <w:tcPr>
            <w:tcW w:type="dxa" w:w="2556"/>
            <w:vAlign w:val="center"/>
          </w:tcPr>
          <w:p>
            <w:pPr>
              <w:spacing w:after="0"/>
            </w:pPr>
            <w:r/>
            <w:r>
              <w:rPr>
                <w:b w:val="0"/>
                <w:sz w:val="17"/>
              </w:rPr>
              <w:t>Not as confirmed fact</w:t>
            </w:r>
          </w:p>
        </w:tc>
        <w:tc>
          <w:tcPr>
            <w:tcW w:type="dxa" w:w="2556"/>
            <w:vAlign w:val="center"/>
          </w:tcPr>
          <w:p>
            <w:pPr>
              <w:spacing w:after="0"/>
            </w:pPr>
            <w:r/>
            <w:r>
              <w:rPr>
                <w:b w:val="0"/>
                <w:sz w:val="17"/>
              </w:rPr>
              <w:t>Store only as an AI hypothesis/assessment object.</w:t>
            </w:r>
          </w:p>
        </w:tc>
      </w:tr>
      <w:tr>
        <w:tc>
          <w:tcPr>
            <w:tcW w:type="dxa" w:w="2556"/>
            <w:vAlign w:val="center"/>
          </w:tcPr>
          <w:p>
            <w:pPr>
              <w:spacing w:after="0"/>
            </w:pPr>
            <w:r/>
            <w:r>
              <w:rPr>
                <w:b w:val="0"/>
                <w:sz w:val="17"/>
              </w:rPr>
              <w:t>Clinician conclusion</w:t>
            </w:r>
          </w:p>
        </w:tc>
        <w:tc>
          <w:tcPr>
            <w:tcW w:type="dxa" w:w="2556"/>
            <w:vAlign w:val="center"/>
          </w:tcPr>
          <w:p>
            <w:pPr>
              <w:spacing w:after="0"/>
            </w:pPr>
            <w:r/>
            <w:r>
              <w:rPr>
                <w:b w:val="0"/>
                <w:sz w:val="17"/>
              </w:rPr>
              <w:t>“Assessment: asthma exacerbation.”</w:t>
            </w:r>
          </w:p>
        </w:tc>
        <w:tc>
          <w:tcPr>
            <w:tcW w:type="dxa" w:w="2556"/>
            <w:vAlign w:val="center"/>
          </w:tcPr>
          <w:p>
            <w:pPr>
              <w:spacing w:after="0"/>
            </w:pPr>
            <w:r/>
            <w:r>
              <w:rPr>
                <w:b w:val="0"/>
                <w:sz w:val="17"/>
              </w:rPr>
              <w:t>Yes, clinician-authored</w:t>
            </w:r>
          </w:p>
        </w:tc>
        <w:tc>
          <w:tcPr>
            <w:tcW w:type="dxa" w:w="2556"/>
            <w:vAlign w:val="center"/>
          </w:tcPr>
          <w:p>
            <w:pPr>
              <w:spacing w:after="0"/>
            </w:pPr>
            <w:r/>
            <w:r>
              <w:rPr>
                <w:b w:val="0"/>
                <w:sz w:val="17"/>
              </w:rPr>
              <w:t>Store as clinician assessment with provenance.</w:t>
            </w:r>
          </w:p>
        </w:tc>
      </w:tr>
      <w:tr>
        <w:tc>
          <w:tcPr>
            <w:tcW w:type="dxa" w:w="2556"/>
            <w:vAlign w:val="center"/>
          </w:tcPr>
          <w:p>
            <w:pPr>
              <w:spacing w:after="0"/>
            </w:pPr>
            <w:r/>
            <w:r>
              <w:rPr>
                <w:b w:val="0"/>
                <w:sz w:val="17"/>
              </w:rPr>
              <w:t>Lab result</w:t>
            </w:r>
          </w:p>
        </w:tc>
        <w:tc>
          <w:tcPr>
            <w:tcW w:type="dxa" w:w="2556"/>
            <w:vAlign w:val="center"/>
          </w:tcPr>
          <w:p>
            <w:pPr>
              <w:spacing w:after="0"/>
            </w:pPr>
            <w:r/>
            <w:r>
              <w:rPr>
                <w:b w:val="0"/>
                <w:sz w:val="17"/>
              </w:rPr>
              <w:t>“Spirometry FEV1…”</w:t>
            </w:r>
          </w:p>
        </w:tc>
        <w:tc>
          <w:tcPr>
            <w:tcW w:type="dxa" w:w="2556"/>
            <w:vAlign w:val="center"/>
          </w:tcPr>
          <w:p>
            <w:pPr>
              <w:spacing w:after="0"/>
            </w:pPr>
            <w:r/>
            <w:r>
              <w:rPr>
                <w:b w:val="0"/>
                <w:sz w:val="17"/>
              </w:rPr>
              <w:t>Yes</w:t>
            </w:r>
          </w:p>
        </w:tc>
        <w:tc>
          <w:tcPr>
            <w:tcW w:type="dxa" w:w="2556"/>
            <w:vAlign w:val="center"/>
          </w:tcPr>
          <w:p>
            <w:pPr>
              <w:spacing w:after="0"/>
            </w:pPr>
            <w:r/>
            <w:r>
              <w:rPr>
                <w:b w:val="0"/>
                <w:sz w:val="17"/>
              </w:rPr>
              <w:t>Structured result + document/source.</w:t>
            </w:r>
          </w:p>
        </w:tc>
      </w:tr>
      <w:tr>
        <w:tc>
          <w:tcPr>
            <w:tcW w:type="dxa" w:w="2556"/>
            <w:vAlign w:val="center"/>
          </w:tcPr>
          <w:p>
            <w:pPr>
              <w:spacing w:after="0"/>
            </w:pPr>
            <w:r/>
            <w:r>
              <w:rPr>
                <w:b w:val="0"/>
                <w:sz w:val="17"/>
              </w:rPr>
              <w:t>Contradiction</w:t>
            </w:r>
          </w:p>
        </w:tc>
        <w:tc>
          <w:tcPr>
            <w:tcW w:type="dxa" w:w="2556"/>
            <w:vAlign w:val="center"/>
          </w:tcPr>
          <w:p>
            <w:pPr>
              <w:spacing w:after="0"/>
            </w:pPr>
            <w:r/>
            <w:r>
              <w:rPr>
                <w:b w:val="0"/>
                <w:sz w:val="17"/>
              </w:rPr>
              <w:t>“I am allergic to penicillin” then “I am not allergic”</w:t>
            </w:r>
          </w:p>
        </w:tc>
        <w:tc>
          <w:tcPr>
            <w:tcW w:type="dxa" w:w="2556"/>
            <w:vAlign w:val="center"/>
          </w:tcPr>
          <w:p>
            <w:pPr>
              <w:spacing w:after="0"/>
            </w:pPr>
            <w:r/>
            <w:r>
              <w:rPr>
                <w:b w:val="0"/>
                <w:sz w:val="17"/>
              </w:rPr>
              <w:t>Yes, but not overwrite</w:t>
            </w:r>
          </w:p>
        </w:tc>
        <w:tc>
          <w:tcPr>
            <w:tcW w:type="dxa" w:w="2556"/>
            <w:vAlign w:val="center"/>
          </w:tcPr>
          <w:p>
            <w:pPr>
              <w:spacing w:after="0"/>
            </w:pPr>
            <w:r/>
            <w:r>
              <w:rPr>
                <w:b w:val="0"/>
                <w:sz w:val="17"/>
              </w:rPr>
              <w:t>Create conflict requiring resolution workflow.</w:t>
            </w:r>
          </w:p>
        </w:tc>
      </w:tr>
    </w:tbl>
    <w:p/>
    <w:p>
      <w:pPr>
        <w:pStyle w:val="Heading2"/>
      </w:pPr>
      <w:r>
        <w:t>9.3 Memory scoring</w:t>
      </w:r>
    </w:p>
    <w:p>
      <w:pPr>
        <w:spacing w:after="100" w:line="259" w:lineRule="auto"/>
      </w:pPr>
      <w:r>
        <w:t>A practical MVP salience score can combine health relevance, future usefulness, stability, recency, explicit user intent to remember, source reliability and privacy scope. It should be a ranking aid, not a medical truth score.</w:t>
      </w:r>
    </w:p>
    <w:p>
      <w:pPr>
        <w:pStyle w:val="Code"/>
        <w:spacing w:after="80"/>
        <w:ind w:left="288"/>
      </w:pPr>
      <w:r>
        <w:t>salience = 0.30*future_usefulness + 0.20*explicit_memory_intent + 0.20*clinical_relevance + 0.10*stability + 0.10*recency + 0.10*source_reliability</w:t>
      </w:r>
    </w:p>
    <w:p>
      <w:pPr>
        <w:spacing w:after="100" w:line="259" w:lineRule="auto"/>
      </w:pPr>
      <w:r>
        <w:t>Use configurable thresholds and test them against real conversation samples. Never use salience alone to determine whether a clinical fact is visible to clinicians; clinical visibility must be governed by the dual-context and consent policy.</w:t>
      </w:r>
    </w:p>
    <w:p>
      <w:pPr>
        <w:pStyle w:val="Heading1"/>
      </w:pPr>
      <w:r>
        <w:t>10. Making the Conversation Smooth, Not a Questionnaire</w:t>
      </w:r>
    </w:p>
    <w:p>
      <w:pPr>
        <w:pStyle w:val="Heading2"/>
      </w:pPr>
      <w:r>
        <w:t>10.1 Conversation controller</w:t>
      </w:r>
    </w:p>
    <w:p>
      <w:pPr>
        <w:pStyle w:val="ListBullet"/>
        <w:spacing w:after="40"/>
      </w:pPr>
      <w:r>
        <w:t>Respond first when enough information is available; ask only when the missing information changes the next safe action.</w:t>
      </w:r>
    </w:p>
    <w:p>
      <w:pPr>
        <w:pStyle w:val="ListBullet"/>
        <w:spacing w:after="40"/>
      </w:pPr>
      <w:r>
        <w:t>Group multiple related missing details into one natural prompt rather than enumerating a checklist.</w:t>
      </w:r>
    </w:p>
    <w:p>
      <w:pPr>
        <w:pStyle w:val="ListBullet"/>
        <w:spacing w:after="40"/>
      </w:pPr>
      <w:r>
        <w:t>Use progressive disclosure: ask one or two high-value questions, then continue the conversation.</w:t>
      </w:r>
    </w:p>
    <w:p>
      <w:pPr>
        <w:pStyle w:val="ListBullet"/>
        <w:spacing w:after="40"/>
      </w:pPr>
      <w:r>
        <w:t>Reuse information already supplied; never ask a question whose answer is already in the retrieved context.</w:t>
      </w:r>
    </w:p>
    <w:p>
      <w:pPr>
        <w:pStyle w:val="ListBullet"/>
        <w:spacing w:after="40"/>
      </w:pPr>
      <w:r>
        <w:t>Allow the user to ignore questions and change topic.</w:t>
      </w:r>
    </w:p>
    <w:p>
      <w:pPr>
        <w:pStyle w:val="ListBullet"/>
        <w:spacing w:after="40"/>
      </w:pPr>
      <w:r>
        <w:t>Use confirmation for important facts: “Just to make sure I captured that…” rather than silently treating inference as fact.</w:t>
      </w:r>
    </w:p>
    <w:p>
      <w:pPr>
        <w:pStyle w:val="ListBullet"/>
        <w:spacing w:after="40"/>
      </w:pPr>
      <w:r>
        <w:t>Use a conversational state containing open threads so the assistant can return to an unresolved point later without interrogating the user.</w:t>
      </w:r>
    </w:p>
    <w:p>
      <w:pPr>
        <w:pStyle w:val="Heading2"/>
      </w:pPr>
      <w:r>
        <w:t>10.2 Example</w:t>
      </w:r>
    </w:p>
    <w:p>
      <w:pPr>
        <w:spacing w:after="100" w:line="259" w:lineRule="auto"/>
      </w:pPr>
      <w:r>
        <w:t>Bad: “When did it start? How severe is it? Any fever? Any cough? Any medication? Any allergies? How long did it last?”</w:t>
      </w:r>
    </w:p>
    <w:p>
      <w:pPr>
        <w:spacing w:after="100" w:line="259" w:lineRule="auto"/>
      </w:pPr>
      <w:r>
        <w:t>Better: “That sounds uncomfortable. You mentioned the breathing got heavy around 7pm and lasted about 20 minutes. Is it completely gone now, or are you still feeling it?”</w:t>
      </w:r>
    </w:p>
    <w:p>
      <w:pPr>
        <w:spacing w:after="100" w:line="259" w:lineRule="auto"/>
      </w:pPr>
      <w:r>
        <w:t>Then only ask the next safety-relevant question if the answer requires it.</w:t>
      </w:r>
    </w:p>
    <w:p>
      <w:pPr>
        <w:pStyle w:val="Heading1"/>
      </w:pPr>
      <w:r>
        <w:t>11. Health Data Model</w:t>
      </w:r>
    </w:p>
    <w:p>
      <w:pPr>
        <w:pStyle w:val="Heading2"/>
      </w:pPr>
      <w:r>
        <w:t>11.1 Source-of-truth rule</w:t>
      </w:r>
    </w:p>
    <w:p>
      <w:pPr>
        <w:spacing w:after="100" w:line="259" w:lineRule="auto"/>
      </w:pPr>
      <w:r>
        <w:t>The clinical ledger is the source of truth for structured clinical information. Memory summaries, embeddings and AI-generated briefs are derived artifacts. A derived artifact must be re-generatable and must retain references to its source records.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pPr>
              <w:spacing w:after="0"/>
            </w:pPr>
            <w:r/>
            <w:r>
              <w:rPr>
                <w:b/>
                <w:sz w:val="17"/>
              </w:rPr>
              <w:t>Table</w:t>
            </w:r>
          </w:p>
        </w:tc>
        <w:tc>
          <w:tcPr>
            <w:tcW w:type="dxa" w:w="3408"/>
            <w:vAlign w:val="center"/>
            <w:shd w:fill="D9EAF7"/>
          </w:tcPr>
          <w:p>
            <w:pPr>
              <w:spacing w:after="0"/>
            </w:pPr>
            <w:r/>
            <w:r>
              <w:rPr>
                <w:b/>
                <w:sz w:val="17"/>
              </w:rPr>
              <w:t>Purpose</w:t>
            </w:r>
          </w:p>
        </w:tc>
        <w:tc>
          <w:tcPr>
            <w:tcW w:type="dxa" w:w="3408"/>
            <w:vAlign w:val="center"/>
            <w:shd w:fill="D9EAF7"/>
          </w:tcPr>
          <w:p>
            <w:pPr>
              <w:spacing w:after="0"/>
            </w:pPr>
            <w:r/>
            <w:r>
              <w:rPr>
                <w:b/>
                <w:sz w:val="17"/>
              </w:rPr>
              <w:t>Key fields</w:t>
            </w:r>
          </w:p>
        </w:tc>
      </w:tr>
      <w:tr>
        <w:tc>
          <w:tcPr>
            <w:tcW w:type="dxa" w:w="3408"/>
            <w:vAlign w:val="center"/>
          </w:tcPr>
          <w:p>
            <w:pPr>
              <w:spacing w:after="0"/>
            </w:pPr>
            <w:r/>
            <w:r>
              <w:rPr>
                <w:b w:val="0"/>
                <w:sz w:val="17"/>
              </w:rPr>
              <w:t>users</w:t>
            </w:r>
          </w:p>
        </w:tc>
        <w:tc>
          <w:tcPr>
            <w:tcW w:type="dxa" w:w="3408"/>
            <w:vAlign w:val="center"/>
          </w:tcPr>
          <w:p>
            <w:pPr>
              <w:spacing w:after="0"/>
            </w:pPr>
            <w:r/>
            <w:r>
              <w:rPr>
                <w:b w:val="0"/>
                <w:sz w:val="17"/>
              </w:rPr>
              <w:t>Identity/authentication</w:t>
            </w:r>
          </w:p>
        </w:tc>
        <w:tc>
          <w:tcPr>
            <w:tcW w:type="dxa" w:w="3408"/>
            <w:vAlign w:val="center"/>
          </w:tcPr>
          <w:p>
            <w:pPr>
              <w:spacing w:after="0"/>
            </w:pPr>
            <w:r/>
            <w:r>
              <w:rPr>
                <w:b w:val="0"/>
                <w:sz w:val="17"/>
              </w:rPr>
              <w:t>id, contact, created_at, status</w:t>
            </w:r>
          </w:p>
        </w:tc>
      </w:tr>
      <w:tr>
        <w:tc>
          <w:tcPr>
            <w:tcW w:type="dxa" w:w="3408"/>
            <w:vAlign w:val="center"/>
          </w:tcPr>
          <w:p>
            <w:pPr>
              <w:spacing w:after="0"/>
            </w:pPr>
            <w:r/>
            <w:r>
              <w:rPr>
                <w:b w:val="0"/>
                <w:sz w:val="17"/>
              </w:rPr>
              <w:t>health_profiles</w:t>
            </w:r>
          </w:p>
        </w:tc>
        <w:tc>
          <w:tcPr>
            <w:tcW w:type="dxa" w:w="3408"/>
            <w:vAlign w:val="center"/>
          </w:tcPr>
          <w:p>
            <w:pPr>
              <w:spacing w:after="0"/>
            </w:pPr>
            <w:r/>
            <w:r>
              <w:rPr>
                <w:b w:val="0"/>
                <w:sz w:val="17"/>
              </w:rPr>
              <w:t>Baseline clinical profile</w:t>
            </w:r>
          </w:p>
        </w:tc>
        <w:tc>
          <w:tcPr>
            <w:tcW w:type="dxa" w:w="3408"/>
            <w:vAlign w:val="center"/>
          </w:tcPr>
          <w:p>
            <w:pPr>
              <w:spacing w:after="0"/>
            </w:pPr>
            <w:r/>
            <w:r>
              <w:rPr>
                <w:b w:val="0"/>
                <w:sz w:val="17"/>
              </w:rPr>
              <w:t>user_id, allergies, active_conditions, medications, baseline facts</w:t>
            </w:r>
          </w:p>
        </w:tc>
      </w:tr>
      <w:tr>
        <w:tc>
          <w:tcPr>
            <w:tcW w:type="dxa" w:w="3408"/>
            <w:vAlign w:val="center"/>
          </w:tcPr>
          <w:p>
            <w:pPr>
              <w:spacing w:after="0"/>
            </w:pPr>
            <w:r/>
            <w:r>
              <w:rPr>
                <w:b w:val="0"/>
                <w:sz w:val="17"/>
              </w:rPr>
              <w:t>clinical_events</w:t>
            </w:r>
          </w:p>
        </w:tc>
        <w:tc>
          <w:tcPr>
            <w:tcW w:type="dxa" w:w="3408"/>
            <w:vAlign w:val="center"/>
          </w:tcPr>
          <w:p>
            <w:pPr>
              <w:spacing w:after="0"/>
            </w:pPr>
            <w:r/>
            <w:r>
              <w:rPr>
                <w:b w:val="0"/>
                <w:sz w:val="17"/>
              </w:rPr>
              <w:t>Authoritative longitudinal ledger</w:t>
            </w:r>
          </w:p>
        </w:tc>
        <w:tc>
          <w:tcPr>
            <w:tcW w:type="dxa" w:w="3408"/>
            <w:vAlign w:val="center"/>
          </w:tcPr>
          <w:p>
            <w:pPr>
              <w:spacing w:after="0"/>
            </w:pPr>
            <w:r/>
            <w:r>
              <w:rPr>
                <w:b w:val="0"/>
                <w:sz w:val="17"/>
              </w:rPr>
              <w:t>id, patient_id, type, occurred_at, payload, status, source, provenance_id</w:t>
            </w:r>
          </w:p>
        </w:tc>
      </w:tr>
      <w:tr>
        <w:tc>
          <w:tcPr>
            <w:tcW w:type="dxa" w:w="3408"/>
            <w:vAlign w:val="center"/>
          </w:tcPr>
          <w:p>
            <w:pPr>
              <w:spacing w:after="0"/>
            </w:pPr>
            <w:r/>
            <w:r>
              <w:rPr>
                <w:b w:val="0"/>
                <w:sz w:val="17"/>
              </w:rPr>
              <w:t>observations</w:t>
            </w:r>
          </w:p>
        </w:tc>
        <w:tc>
          <w:tcPr>
            <w:tcW w:type="dxa" w:w="3408"/>
            <w:vAlign w:val="center"/>
          </w:tcPr>
          <w:p>
            <w:pPr>
              <w:spacing w:after="0"/>
            </w:pPr>
            <w:r/>
            <w:r>
              <w:rPr>
                <w:b w:val="0"/>
                <w:sz w:val="17"/>
              </w:rPr>
              <w:t>Vitals/device/lab atomic values</w:t>
            </w:r>
          </w:p>
        </w:tc>
        <w:tc>
          <w:tcPr>
            <w:tcW w:type="dxa" w:w="3408"/>
            <w:vAlign w:val="center"/>
          </w:tcPr>
          <w:p>
            <w:pPr>
              <w:spacing w:after="0"/>
            </w:pPr>
            <w:r/>
            <w:r>
              <w:rPr>
                <w:b w:val="0"/>
                <w:sz w:val="17"/>
              </w:rPr>
              <w:t>id, patient_id, code, value, unit, effective_at, source</w:t>
            </w:r>
          </w:p>
        </w:tc>
      </w:tr>
      <w:tr>
        <w:tc>
          <w:tcPr>
            <w:tcW w:type="dxa" w:w="3408"/>
            <w:vAlign w:val="center"/>
          </w:tcPr>
          <w:p>
            <w:pPr>
              <w:spacing w:after="0"/>
            </w:pPr>
            <w:r/>
            <w:r>
              <w:rPr>
                <w:b w:val="0"/>
                <w:sz w:val="17"/>
              </w:rPr>
              <w:t>encounters</w:t>
            </w:r>
          </w:p>
        </w:tc>
        <w:tc>
          <w:tcPr>
            <w:tcW w:type="dxa" w:w="3408"/>
            <w:vAlign w:val="center"/>
          </w:tcPr>
          <w:p>
            <w:pPr>
              <w:spacing w:after="0"/>
            </w:pPr>
            <w:r/>
            <w:r>
              <w:rPr>
                <w:b w:val="0"/>
                <w:sz w:val="17"/>
              </w:rPr>
              <w:t>Clinical visits/episodes</w:t>
            </w:r>
          </w:p>
        </w:tc>
        <w:tc>
          <w:tcPr>
            <w:tcW w:type="dxa" w:w="3408"/>
            <w:vAlign w:val="center"/>
          </w:tcPr>
          <w:p>
            <w:pPr>
              <w:spacing w:after="0"/>
            </w:pPr>
            <w:r/>
            <w:r>
              <w:rPr>
                <w:b w:val="0"/>
                <w:sz w:val="17"/>
              </w:rPr>
              <w:t>id, patient_id, facility, clinician, start/end, reason, disposition</w:t>
            </w:r>
          </w:p>
        </w:tc>
      </w:tr>
      <w:tr>
        <w:tc>
          <w:tcPr>
            <w:tcW w:type="dxa" w:w="3408"/>
            <w:vAlign w:val="center"/>
          </w:tcPr>
          <w:p>
            <w:pPr>
              <w:spacing w:after="0"/>
            </w:pPr>
            <w:r/>
            <w:r>
              <w:rPr>
                <w:b w:val="0"/>
                <w:sz w:val="17"/>
              </w:rPr>
              <w:t>documents</w:t>
            </w:r>
          </w:p>
        </w:tc>
        <w:tc>
          <w:tcPr>
            <w:tcW w:type="dxa" w:w="3408"/>
            <w:vAlign w:val="center"/>
          </w:tcPr>
          <w:p>
            <w:pPr>
              <w:spacing w:after="0"/>
            </w:pPr>
            <w:r/>
            <w:r>
              <w:rPr>
                <w:b w:val="0"/>
                <w:sz w:val="17"/>
              </w:rPr>
              <w:t>Medical documents/media metadata</w:t>
            </w:r>
          </w:p>
        </w:tc>
        <w:tc>
          <w:tcPr>
            <w:tcW w:type="dxa" w:w="3408"/>
            <w:vAlign w:val="center"/>
          </w:tcPr>
          <w:p>
            <w:pPr>
              <w:spacing w:after="0"/>
            </w:pPr>
            <w:r/>
            <w:r>
              <w:rPr>
                <w:b w:val="0"/>
                <w:sz w:val="17"/>
              </w:rPr>
              <w:t>id, patient_id, object_uri, type, hash, uploaded_by, created_at</w:t>
            </w:r>
          </w:p>
        </w:tc>
      </w:tr>
      <w:tr>
        <w:tc>
          <w:tcPr>
            <w:tcW w:type="dxa" w:w="3408"/>
            <w:vAlign w:val="center"/>
          </w:tcPr>
          <w:p>
            <w:pPr>
              <w:spacing w:after="0"/>
            </w:pPr>
            <w:r/>
            <w:r>
              <w:rPr>
                <w:b w:val="0"/>
                <w:sz w:val="17"/>
              </w:rPr>
              <w:t>chat_sessions</w:t>
            </w:r>
          </w:p>
        </w:tc>
        <w:tc>
          <w:tcPr>
            <w:tcW w:type="dxa" w:w="3408"/>
            <w:vAlign w:val="center"/>
          </w:tcPr>
          <w:p>
            <w:pPr>
              <w:spacing w:after="0"/>
            </w:pPr>
            <w:r/>
            <w:r>
              <w:rPr>
                <w:b w:val="0"/>
                <w:sz w:val="17"/>
              </w:rPr>
              <w:t>Technical conversation boundary</w:t>
            </w:r>
          </w:p>
        </w:tc>
        <w:tc>
          <w:tcPr>
            <w:tcW w:type="dxa" w:w="3408"/>
            <w:vAlign w:val="center"/>
          </w:tcPr>
          <w:p>
            <w:pPr>
              <w:spacing w:after="0"/>
            </w:pPr>
            <w:r/>
            <w:r>
              <w:rPr>
                <w:b w:val="0"/>
                <w:sz w:val="17"/>
              </w:rPr>
              <w:t>session_id, patient_id, started_at, ended_at</w:t>
            </w:r>
          </w:p>
        </w:tc>
      </w:tr>
      <w:tr>
        <w:tc>
          <w:tcPr>
            <w:tcW w:type="dxa" w:w="3408"/>
            <w:vAlign w:val="center"/>
          </w:tcPr>
          <w:p>
            <w:pPr>
              <w:spacing w:after="0"/>
            </w:pPr>
            <w:r/>
            <w:r>
              <w:rPr>
                <w:b w:val="0"/>
                <w:sz w:val="17"/>
              </w:rPr>
              <w:t>chat_messages</w:t>
            </w:r>
          </w:p>
        </w:tc>
        <w:tc>
          <w:tcPr>
            <w:tcW w:type="dxa" w:w="3408"/>
            <w:vAlign w:val="center"/>
          </w:tcPr>
          <w:p>
            <w:pPr>
              <w:spacing w:after="0"/>
            </w:pPr>
            <w:r/>
            <w:r>
              <w:rPr>
                <w:b w:val="0"/>
                <w:sz w:val="17"/>
              </w:rPr>
              <w:t>Conversation archive</w:t>
            </w:r>
          </w:p>
        </w:tc>
        <w:tc>
          <w:tcPr>
            <w:tcW w:type="dxa" w:w="3408"/>
            <w:vAlign w:val="center"/>
          </w:tcPr>
          <w:p>
            <w:pPr>
              <w:spacing w:after="0"/>
            </w:pPr>
            <w:r/>
            <w:r>
              <w:rPr>
                <w:b w:val="0"/>
                <w:sz w:val="17"/>
              </w:rPr>
              <w:t>id, session_id, sender, content, metadata</w:t>
            </w:r>
          </w:p>
        </w:tc>
      </w:tr>
      <w:tr>
        <w:tc>
          <w:tcPr>
            <w:tcW w:type="dxa" w:w="3408"/>
            <w:vAlign w:val="center"/>
          </w:tcPr>
          <w:p>
            <w:pPr>
              <w:spacing w:after="0"/>
            </w:pPr>
            <w:r/>
            <w:r>
              <w:rPr>
                <w:b w:val="0"/>
                <w:sz w:val="17"/>
              </w:rPr>
              <w:t>personal_memories</w:t>
            </w:r>
          </w:p>
        </w:tc>
        <w:tc>
          <w:tcPr>
            <w:tcW w:type="dxa" w:w="3408"/>
            <w:vAlign w:val="center"/>
          </w:tcPr>
          <w:p>
            <w:pPr>
              <w:spacing w:after="0"/>
            </w:pPr>
            <w:r/>
            <w:r>
              <w:rPr>
                <w:b w:val="0"/>
                <w:sz w:val="17"/>
              </w:rPr>
              <w:t>Private long-term conversational memory</w:t>
            </w:r>
          </w:p>
        </w:tc>
        <w:tc>
          <w:tcPr>
            <w:tcW w:type="dxa" w:w="3408"/>
            <w:vAlign w:val="center"/>
          </w:tcPr>
          <w:p>
            <w:pPr>
              <w:spacing w:after="0"/>
            </w:pPr>
            <w:r/>
            <w:r>
              <w:rPr>
                <w:b w:val="0"/>
                <w:sz w:val="17"/>
              </w:rPr>
              <w:t>id, patient_id, text, tags, embedding_ref, salience, expires_at</w:t>
            </w:r>
          </w:p>
        </w:tc>
      </w:tr>
      <w:tr>
        <w:tc>
          <w:tcPr>
            <w:tcW w:type="dxa" w:w="3408"/>
            <w:vAlign w:val="center"/>
          </w:tcPr>
          <w:p>
            <w:pPr>
              <w:spacing w:after="0"/>
            </w:pPr>
            <w:r/>
            <w:r>
              <w:rPr>
                <w:b w:val="0"/>
                <w:sz w:val="17"/>
              </w:rPr>
              <w:t>health_memories</w:t>
            </w:r>
          </w:p>
        </w:tc>
        <w:tc>
          <w:tcPr>
            <w:tcW w:type="dxa" w:w="3408"/>
            <w:vAlign w:val="center"/>
          </w:tcPr>
          <w:p>
            <w:pPr>
              <w:spacing w:after="0"/>
            </w:pPr>
            <w:r/>
            <w:r>
              <w:rPr>
                <w:b w:val="0"/>
                <w:sz w:val="17"/>
              </w:rPr>
              <w:t>Shareable derived health memory</w:t>
            </w:r>
          </w:p>
        </w:tc>
        <w:tc>
          <w:tcPr>
            <w:tcW w:type="dxa" w:w="3408"/>
            <w:vAlign w:val="center"/>
          </w:tcPr>
          <w:p>
            <w:pPr>
              <w:spacing w:after="0"/>
            </w:pPr>
            <w:r/>
            <w:r>
              <w:rPr>
                <w:b w:val="0"/>
                <w:sz w:val="17"/>
              </w:rPr>
              <w:t>id, patient_id, text, source_event_ids, embedding_ref, status</w:t>
            </w:r>
          </w:p>
        </w:tc>
      </w:tr>
      <w:tr>
        <w:tc>
          <w:tcPr>
            <w:tcW w:type="dxa" w:w="3408"/>
            <w:vAlign w:val="center"/>
          </w:tcPr>
          <w:p>
            <w:pPr>
              <w:spacing w:after="0"/>
            </w:pPr>
            <w:r/>
            <w:r>
              <w:rPr>
                <w:b w:val="0"/>
                <w:sz w:val="17"/>
              </w:rPr>
              <w:t>memory_links</w:t>
            </w:r>
          </w:p>
        </w:tc>
        <w:tc>
          <w:tcPr>
            <w:tcW w:type="dxa" w:w="3408"/>
            <w:vAlign w:val="center"/>
          </w:tcPr>
          <w:p>
            <w:pPr>
              <w:spacing w:after="0"/>
            </w:pPr>
            <w:r/>
            <w:r>
              <w:rPr>
                <w:b w:val="0"/>
                <w:sz w:val="17"/>
              </w:rPr>
              <w:t>Connections between memories/events</w:t>
            </w:r>
          </w:p>
        </w:tc>
        <w:tc>
          <w:tcPr>
            <w:tcW w:type="dxa" w:w="3408"/>
            <w:vAlign w:val="center"/>
          </w:tcPr>
          <w:p>
            <w:pPr>
              <w:spacing w:after="0"/>
            </w:pPr>
            <w:r/>
            <w:r>
              <w:rPr>
                <w:b w:val="0"/>
                <w:sz w:val="17"/>
              </w:rPr>
              <w:t>from_id, to_id, relation, confidence</w:t>
            </w:r>
          </w:p>
        </w:tc>
      </w:tr>
      <w:tr>
        <w:tc>
          <w:tcPr>
            <w:tcW w:type="dxa" w:w="3408"/>
            <w:vAlign w:val="center"/>
          </w:tcPr>
          <w:p>
            <w:pPr>
              <w:spacing w:after="0"/>
            </w:pPr>
            <w:r/>
            <w:r>
              <w:rPr>
                <w:b w:val="0"/>
                <w:sz w:val="17"/>
              </w:rPr>
              <w:t>leases</w:t>
            </w:r>
          </w:p>
        </w:tc>
        <w:tc>
          <w:tcPr>
            <w:tcW w:type="dxa" w:w="3408"/>
            <w:vAlign w:val="center"/>
          </w:tcPr>
          <w:p>
            <w:pPr>
              <w:spacing w:after="0"/>
            </w:pPr>
            <w:r/>
            <w:r>
              <w:rPr>
                <w:b w:val="0"/>
                <w:sz w:val="17"/>
              </w:rPr>
              <w:t>Temporary patient authorization</w:t>
            </w:r>
          </w:p>
        </w:tc>
        <w:tc>
          <w:tcPr>
            <w:tcW w:type="dxa" w:w="3408"/>
            <w:vAlign w:val="center"/>
          </w:tcPr>
          <w:p>
            <w:pPr>
              <w:spacing w:after="0"/>
            </w:pPr>
            <w:r/>
            <w:r>
              <w:rPr>
                <w:b w:val="0"/>
                <w:sz w:val="17"/>
              </w:rPr>
              <w:t>lease_id, patient_id, actor_id, scope, purpose, expires_at, status</w:t>
            </w:r>
          </w:p>
        </w:tc>
      </w:tr>
      <w:tr>
        <w:tc>
          <w:tcPr>
            <w:tcW w:type="dxa" w:w="3408"/>
            <w:vAlign w:val="center"/>
          </w:tcPr>
          <w:p>
            <w:pPr>
              <w:spacing w:after="0"/>
            </w:pPr>
            <w:r/>
            <w:r>
              <w:rPr>
                <w:b w:val="0"/>
                <w:sz w:val="17"/>
              </w:rPr>
              <w:t>consents</w:t>
            </w:r>
          </w:p>
        </w:tc>
        <w:tc>
          <w:tcPr>
            <w:tcW w:type="dxa" w:w="3408"/>
            <w:vAlign w:val="center"/>
          </w:tcPr>
          <w:p>
            <w:pPr>
              <w:spacing w:after="0"/>
            </w:pPr>
            <w:r/>
            <w:r>
              <w:rPr>
                <w:b w:val="0"/>
                <w:sz w:val="17"/>
              </w:rPr>
              <w:t>Consent directives</w:t>
            </w:r>
          </w:p>
        </w:tc>
        <w:tc>
          <w:tcPr>
            <w:tcW w:type="dxa" w:w="3408"/>
            <w:vAlign w:val="center"/>
          </w:tcPr>
          <w:p>
            <w:pPr>
              <w:spacing w:after="0"/>
            </w:pPr>
            <w:r/>
            <w:r>
              <w:rPr>
                <w:b w:val="0"/>
                <w:sz w:val="17"/>
              </w:rPr>
              <w:t>id, patient_id, purpose, scope, status, effective_period</w:t>
            </w:r>
          </w:p>
        </w:tc>
      </w:tr>
      <w:tr>
        <w:tc>
          <w:tcPr>
            <w:tcW w:type="dxa" w:w="3408"/>
            <w:vAlign w:val="center"/>
          </w:tcPr>
          <w:p>
            <w:pPr>
              <w:spacing w:after="0"/>
            </w:pPr>
            <w:r/>
            <w:r>
              <w:rPr>
                <w:b w:val="0"/>
                <w:sz w:val="17"/>
              </w:rPr>
              <w:t>provenance</w:t>
            </w:r>
          </w:p>
        </w:tc>
        <w:tc>
          <w:tcPr>
            <w:tcW w:type="dxa" w:w="3408"/>
            <w:vAlign w:val="center"/>
          </w:tcPr>
          <w:p>
            <w:pPr>
              <w:spacing w:after="0"/>
            </w:pPr>
            <w:r/>
            <w:r>
              <w:rPr>
                <w:b w:val="0"/>
                <w:sz w:val="17"/>
              </w:rPr>
              <w:t>Evidence of origin/transformation</w:t>
            </w:r>
          </w:p>
        </w:tc>
        <w:tc>
          <w:tcPr>
            <w:tcW w:type="dxa" w:w="3408"/>
            <w:vAlign w:val="center"/>
          </w:tcPr>
          <w:p>
            <w:pPr>
              <w:spacing w:after="0"/>
            </w:pPr>
            <w:r/>
            <w:r>
              <w:rPr>
                <w:b w:val="0"/>
                <w:sz w:val="17"/>
              </w:rPr>
              <w:t>id, target_id, actor, activity, source_refs, occurred_at</w:t>
            </w:r>
          </w:p>
        </w:tc>
      </w:tr>
      <w:tr>
        <w:tc>
          <w:tcPr>
            <w:tcW w:type="dxa" w:w="3408"/>
            <w:vAlign w:val="center"/>
          </w:tcPr>
          <w:p>
            <w:pPr>
              <w:spacing w:after="0"/>
            </w:pPr>
            <w:r/>
            <w:r>
              <w:rPr>
                <w:b w:val="0"/>
                <w:sz w:val="17"/>
              </w:rPr>
              <w:t>audit_events</w:t>
            </w:r>
          </w:p>
        </w:tc>
        <w:tc>
          <w:tcPr>
            <w:tcW w:type="dxa" w:w="3408"/>
            <w:vAlign w:val="center"/>
          </w:tcPr>
          <w:p>
            <w:pPr>
              <w:spacing w:after="0"/>
            </w:pPr>
            <w:r/>
            <w:r>
              <w:rPr>
                <w:b w:val="0"/>
                <w:sz w:val="17"/>
              </w:rPr>
              <w:t>Security/audit trail</w:t>
            </w:r>
          </w:p>
        </w:tc>
        <w:tc>
          <w:tcPr>
            <w:tcW w:type="dxa" w:w="3408"/>
            <w:vAlign w:val="center"/>
          </w:tcPr>
          <w:p>
            <w:pPr>
              <w:spacing w:after="0"/>
            </w:pPr>
            <w:r/>
            <w:r>
              <w:rPr>
                <w:b w:val="0"/>
                <w:sz w:val="17"/>
              </w:rPr>
              <w:t>id, actor, action, target, timestamp, outcome, purpose</w:t>
            </w:r>
          </w:p>
        </w:tc>
      </w:tr>
      <w:tr>
        <w:tc>
          <w:tcPr>
            <w:tcW w:type="dxa" w:w="3408"/>
            <w:vAlign w:val="center"/>
          </w:tcPr>
          <w:p>
            <w:pPr>
              <w:spacing w:after="0"/>
            </w:pPr>
            <w:r/>
            <w:r>
              <w:rPr>
                <w:b w:val="0"/>
                <w:sz w:val="17"/>
              </w:rPr>
              <w:t>claims_exports</w:t>
            </w:r>
          </w:p>
        </w:tc>
        <w:tc>
          <w:tcPr>
            <w:tcW w:type="dxa" w:w="3408"/>
            <w:vAlign w:val="center"/>
          </w:tcPr>
          <w:p>
            <w:pPr>
              <w:spacing w:after="0"/>
            </w:pPr>
            <w:r/>
            <w:r>
              <w:rPr>
                <w:b w:val="0"/>
                <w:sz w:val="17"/>
              </w:rPr>
              <w:t>Generated HMO/claims artifacts</w:t>
            </w:r>
          </w:p>
        </w:tc>
        <w:tc>
          <w:tcPr>
            <w:tcW w:type="dxa" w:w="3408"/>
            <w:vAlign w:val="center"/>
          </w:tcPr>
          <w:p>
            <w:pPr>
              <w:spacing w:after="0"/>
            </w:pPr>
            <w:r/>
            <w:r>
              <w:rPr>
                <w:b w:val="0"/>
                <w:sz w:val="17"/>
              </w:rPr>
              <w:t>id, encounter_id, payer, mapping_status, export_uri, created_by</w:t>
            </w:r>
          </w:p>
        </w:tc>
      </w:tr>
    </w:tbl>
    <w:p/>
    <w:p>
      <w:pPr>
        <w:pStyle w:val="Heading2"/>
      </w:pPr>
      <w:r>
        <w:t>11.2 Event status model</w:t>
      </w:r>
    </w:p>
    <w:p>
      <w:pPr>
        <w:pStyle w:val="Code"/>
        <w:spacing w:after="80"/>
        <w:ind w:left="288"/>
      </w:pPr>
      <w:r>
        <w:t>candidate -&gt; reported -&gt; clinician_reviewed -&gt; clinician_verified</w:t>
        <w:br/>
        <w:t xml:space="preserve">                   |</w:t>
        <w:br/>
        <w:t xml:space="preserve">                   +-&gt; rejected</w:t>
        <w:br/>
        <w:t xml:space="preserve">                   +-&gt; superseded</w:t>
        <w:br/>
        <w:t xml:space="preserve">                   +-&gt; entered_in_error</w:t>
      </w:r>
    </w:p>
    <w:p>
      <w:pPr>
        <w:spacing w:after="100" w:line="259" w:lineRule="auto"/>
      </w:pPr>
      <w:r>
        <w:t>Do not use one boolean “confirmed=true”. Clinical data changes over time and needs provenance plus lifecycle states.</w:t>
      </w:r>
    </w:p>
    <w:p>
      <w:pPr>
        <w:pStyle w:val="Heading1"/>
      </w:pPr>
      <w:r>
        <w:t>12. Clinical Hypothesis / Probability Engine</w:t>
      </w:r>
    </w:p>
    <w:p>
      <w:pPr>
        <w:spacing w:after="100" w:line="259" w:lineRule="auto"/>
      </w:pPr>
      <w:r>
        <w:t>The supplied blueprint proposes a dynamic 0-100% scale. Keep the concept, but define the value carefully. In the MVP it should mean “model-estimated support/risk for this hypothesis given the currently available evidence and model configuration”; it is not a percentage certainty that the patient has a disease.</w:t>
      </w:r>
    </w:p>
    <w:p>
      <w:pPr>
        <w:pStyle w:val="Heading2"/>
      </w:pPr>
      <w:r>
        <w:t>12.1 Evidence hierarchy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pPr>
              <w:spacing w:after="0"/>
            </w:pPr>
            <w:r/>
            <w:r>
              <w:rPr>
                <w:b/>
                <w:sz w:val="17"/>
              </w:rPr>
              <w:t>Evidence tier</w:t>
            </w:r>
          </w:p>
        </w:tc>
        <w:tc>
          <w:tcPr>
            <w:tcW w:type="dxa" w:w="3408"/>
            <w:vAlign w:val="center"/>
            <w:shd w:fill="D9EAF7"/>
          </w:tcPr>
          <w:p>
            <w:pPr>
              <w:spacing w:after="0"/>
            </w:pPr>
            <w:r/>
            <w:r>
              <w:rPr>
                <w:b/>
                <w:sz w:val="17"/>
              </w:rPr>
              <w:t>Examples</w:t>
            </w:r>
          </w:p>
        </w:tc>
        <w:tc>
          <w:tcPr>
            <w:tcW w:type="dxa" w:w="3408"/>
            <w:vAlign w:val="center"/>
            <w:shd w:fill="D9EAF7"/>
          </w:tcPr>
          <w:p>
            <w:pPr>
              <w:spacing w:after="0"/>
            </w:pPr>
            <w:r/>
            <w:r>
              <w:rPr>
                <w:b/>
                <w:sz w:val="17"/>
              </w:rPr>
              <w:t>Suggested effect</w:t>
            </w:r>
          </w:p>
        </w:tc>
      </w:tr>
      <w:tr>
        <w:tc>
          <w:tcPr>
            <w:tcW w:type="dxa" w:w="3408"/>
            <w:vAlign w:val="center"/>
          </w:tcPr>
          <w:p>
            <w:pPr>
              <w:spacing w:after="0"/>
            </w:pPr>
            <w:r/>
            <w:r>
              <w:rPr>
                <w:b w:val="0"/>
                <w:sz w:val="17"/>
              </w:rPr>
              <w:t>Tier A: raw verified result</w:t>
            </w:r>
          </w:p>
        </w:tc>
        <w:tc>
          <w:tcPr>
            <w:tcW w:type="dxa" w:w="3408"/>
            <w:vAlign w:val="center"/>
          </w:tcPr>
          <w:p>
            <w:pPr>
              <w:spacing w:after="0"/>
            </w:pPr>
            <w:r/>
            <w:r>
              <w:rPr>
                <w:b w:val="0"/>
                <w:sz w:val="17"/>
              </w:rPr>
              <w:t>validated lab/imaging/device result</w:t>
            </w:r>
          </w:p>
        </w:tc>
        <w:tc>
          <w:tcPr>
            <w:tcW w:type="dxa" w:w="3408"/>
            <w:vAlign w:val="center"/>
          </w:tcPr>
          <w:p>
            <w:pPr>
              <w:spacing w:after="0"/>
            </w:pPr>
            <w:r/>
            <w:r>
              <w:rPr>
                <w:b w:val="0"/>
                <w:sz w:val="17"/>
              </w:rPr>
              <w:t>Highest evidentiary weight, subject to clinical interpretation</w:t>
            </w:r>
          </w:p>
        </w:tc>
      </w:tr>
      <w:tr>
        <w:tc>
          <w:tcPr>
            <w:tcW w:type="dxa" w:w="3408"/>
            <w:vAlign w:val="center"/>
          </w:tcPr>
          <w:p>
            <w:pPr>
              <w:spacing w:after="0"/>
            </w:pPr>
            <w:r/>
            <w:r>
              <w:rPr>
                <w:b w:val="0"/>
                <w:sz w:val="17"/>
              </w:rPr>
              <w:t>Tier B: clinician-authored finding</w:t>
            </w:r>
          </w:p>
        </w:tc>
        <w:tc>
          <w:tcPr>
            <w:tcW w:type="dxa" w:w="3408"/>
            <w:vAlign w:val="center"/>
          </w:tcPr>
          <w:p>
            <w:pPr>
              <w:spacing w:after="0"/>
            </w:pPr>
            <w:r/>
            <w:r>
              <w:rPr>
                <w:b w:val="0"/>
                <w:sz w:val="17"/>
              </w:rPr>
              <w:t>exam/assessment entered by clinician</w:t>
            </w:r>
          </w:p>
        </w:tc>
        <w:tc>
          <w:tcPr>
            <w:tcW w:type="dxa" w:w="3408"/>
            <w:vAlign w:val="center"/>
          </w:tcPr>
          <w:p>
            <w:pPr>
              <w:spacing w:after="0"/>
            </w:pPr>
            <w:r/>
            <w:r>
              <w:rPr>
                <w:b w:val="0"/>
                <w:sz w:val="17"/>
              </w:rPr>
              <w:t>High weight; provenance recorded</w:t>
            </w:r>
          </w:p>
        </w:tc>
      </w:tr>
      <w:tr>
        <w:tc>
          <w:tcPr>
            <w:tcW w:type="dxa" w:w="3408"/>
            <w:vAlign w:val="center"/>
          </w:tcPr>
          <w:p>
            <w:pPr>
              <w:spacing w:after="0"/>
            </w:pPr>
            <w:r/>
            <w:r>
              <w:rPr>
                <w:b w:val="0"/>
                <w:sz w:val="17"/>
              </w:rPr>
              <w:t>Tier C: device telemetry</w:t>
            </w:r>
          </w:p>
        </w:tc>
        <w:tc>
          <w:tcPr>
            <w:tcW w:type="dxa" w:w="3408"/>
            <w:vAlign w:val="center"/>
          </w:tcPr>
          <w:p>
            <w:pPr>
              <w:spacing w:after="0"/>
            </w:pPr>
            <w:r/>
            <w:r>
              <w:rPr>
                <w:b w:val="0"/>
                <w:sz w:val="17"/>
              </w:rPr>
              <w:t>wearable heart rate, glucose, BP device</w:t>
            </w:r>
          </w:p>
        </w:tc>
        <w:tc>
          <w:tcPr>
            <w:tcW w:type="dxa" w:w="3408"/>
            <w:vAlign w:val="center"/>
          </w:tcPr>
          <w:p>
            <w:pPr>
              <w:spacing w:after="0"/>
            </w:pPr>
            <w:r/>
            <w:r>
              <w:rPr>
                <w:b w:val="0"/>
                <w:sz w:val="17"/>
              </w:rPr>
              <w:t>Time-series signal; may require validation</w:t>
            </w:r>
          </w:p>
        </w:tc>
      </w:tr>
      <w:tr>
        <w:tc>
          <w:tcPr>
            <w:tcW w:type="dxa" w:w="3408"/>
            <w:vAlign w:val="center"/>
          </w:tcPr>
          <w:p>
            <w:pPr>
              <w:spacing w:after="0"/>
            </w:pPr>
            <w:r/>
            <w:r>
              <w:rPr>
                <w:b w:val="0"/>
                <w:sz w:val="17"/>
              </w:rPr>
              <w:t>Tier D: patient self-report</w:t>
            </w:r>
          </w:p>
        </w:tc>
        <w:tc>
          <w:tcPr>
            <w:tcW w:type="dxa" w:w="3408"/>
            <w:vAlign w:val="center"/>
          </w:tcPr>
          <w:p>
            <w:pPr>
              <w:spacing w:after="0"/>
            </w:pPr>
            <w:r/>
            <w:r>
              <w:rPr>
                <w:b w:val="0"/>
                <w:sz w:val="17"/>
              </w:rPr>
              <w:t>symptom, duration, context</w:t>
            </w:r>
          </w:p>
        </w:tc>
        <w:tc>
          <w:tcPr>
            <w:tcW w:type="dxa" w:w="3408"/>
            <w:vAlign w:val="center"/>
          </w:tcPr>
          <w:p>
            <w:pPr>
              <w:spacing w:after="0"/>
            </w:pPr>
            <w:r/>
            <w:r>
              <w:rPr>
                <w:b w:val="0"/>
                <w:sz w:val="17"/>
              </w:rPr>
              <w:t>Important clinical evidence; not independently verified</w:t>
            </w:r>
          </w:p>
        </w:tc>
      </w:tr>
      <w:tr>
        <w:tc>
          <w:tcPr>
            <w:tcW w:type="dxa" w:w="3408"/>
            <w:vAlign w:val="center"/>
          </w:tcPr>
          <w:p>
            <w:pPr>
              <w:spacing w:after="0"/>
            </w:pPr>
            <w:r/>
            <w:r>
              <w:rPr>
                <w:b w:val="0"/>
                <w:sz w:val="17"/>
              </w:rPr>
              <w:t>Tier E: AI inference</w:t>
            </w:r>
          </w:p>
        </w:tc>
        <w:tc>
          <w:tcPr>
            <w:tcW w:type="dxa" w:w="3408"/>
            <w:vAlign w:val="center"/>
          </w:tcPr>
          <w:p>
            <w:pPr>
              <w:spacing w:after="0"/>
            </w:pPr>
            <w:r/>
            <w:r>
              <w:rPr>
                <w:b w:val="0"/>
                <w:sz w:val="17"/>
              </w:rPr>
              <w:t>language-model hypothesis</w:t>
            </w:r>
          </w:p>
        </w:tc>
        <w:tc>
          <w:tcPr>
            <w:tcW w:type="dxa" w:w="3408"/>
            <w:vAlign w:val="center"/>
          </w:tcPr>
          <w:p>
            <w:pPr>
              <w:spacing w:after="0"/>
            </w:pPr>
            <w:r/>
            <w:r>
              <w:rPr>
                <w:b w:val="0"/>
                <w:sz w:val="17"/>
              </w:rPr>
              <w:t>Lowest evidentiary authority; never becomes fact by repetition</w:t>
            </w:r>
          </w:p>
        </w:tc>
      </w:tr>
    </w:tbl>
    <w:p/>
    <w:p>
      <w:pPr>
        <w:pStyle w:val="Heading2"/>
      </w:pPr>
      <w:r>
        <w:t>12.2 Safer hypothesis workflow</w:t>
      </w:r>
    </w:p>
    <w:p>
      <w:pPr>
        <w:pStyle w:val="Code"/>
        <w:spacing w:after="80"/>
        <w:ind w:left="288"/>
      </w:pPr>
      <w:r>
        <w:t>Evidence collected</w:t>
        <w:br/>
        <w:t xml:space="preserve"> -&gt; candidate hypotheses generated</w:t>
        <w:br/>
        <w:t xml:space="preserve"> -&gt; evidence support calculated / model score generated</w:t>
        <w:br/>
        <w:t xml:space="preserve"> -&gt; explanation attached</w:t>
        <w:br/>
        <w:t xml:space="preserve"> -&gt; clinician view shows hypotheses + evidence</w:t>
        <w:br/>
        <w:t xml:space="preserve"> -&gt; clinician verifies/rejects/records assessment</w:t>
        <w:br/>
        <w:t xml:space="preserve"> -&gt; verified diagnosis becomes clinical fact</w:t>
        <w:br/>
        <w:t xml:space="preserve"> -&gt; billing/claims export reads verified facts, not raw AI scores</w:t>
      </w:r>
    </w:p>
    <w:p>
      <w:pPr>
        <w:spacing w:after="100" w:line="259" w:lineRule="auto"/>
      </w:pPr>
      <w:r>
        <w:t>Do not implement “doctor says asthma -&gt; model probability = 88%” as a fake Bayesian posterior unless a validated probabilistic model exists. For an MVP, display ranked hypothesis support such as Low/Moderate/High or a calibrated risk score, with the model version and evidence list. A literal numeric probability should only be used after calibration and validation for the specific prediction task.</w:t>
      </w:r>
    </w:p>
    <w:p>
      <w:pPr>
        <w:pStyle w:val="Heading1"/>
      </w:pPr>
      <w:r>
        <w:t>13. Patient Health Guidance Workflow</w:t>
      </w:r>
    </w:p>
    <w:p>
      <w:pPr>
        <w:spacing w:after="100" w:line="259" w:lineRule="auto"/>
      </w:pPr>
      <w:r>
        <w:t>The dietary example in the supplied blueprint is a useful product example, but the MVP should treat personalized health guidance as a safety-sensitive function.</w:t>
      </w:r>
    </w:p>
    <w:p>
      <w:pPr>
        <w:pStyle w:val="Code"/>
        <w:spacing w:after="80"/>
        <w:ind w:left="288"/>
      </w:pPr>
      <w:r>
        <w:t>User asks health question</w:t>
        <w:br/>
        <w:t xml:space="preserve"> -&gt; retrieve active health profile + medications + relevant recent events</w:t>
        <w:br/>
        <w:t xml:space="preserve"> -&gt; identify contraindications / red flags</w:t>
        <w:br/>
        <w:t xml:space="preserve"> -&gt; classify question domain</w:t>
        <w:br/>
        <w:t xml:space="preserve"> -&gt; generate constrained recommendation</w:t>
        <w:br/>
        <w:t xml:space="preserve"> -&gt; run safety checker</w:t>
        <w:br/>
        <w:t xml:space="preserve"> -&gt; answer with uncertainty / escalation guidance when needed</w:t>
      </w:r>
    </w:p>
    <w:p>
      <w:pPr>
        <w:spacing w:after="100" w:line="259" w:lineRule="auto"/>
      </w:pPr>
      <w:r>
        <w:t>Example: for food guidance, the system may use documented conditions and preferences, but it should not assume a diagnosis merely from conversational hints. It should also distinguish general wellness suggestions from clinically prescribed diets.</w:t>
      </w:r>
    </w:p>
    <w:p>
      <w:pPr>
        <w:pStyle w:val="Heading1"/>
      </w:pPr>
      <w:r>
        <w:t>14. HMO / NHIA / Claims Data Compaction</w:t>
      </w:r>
    </w:p>
    <w:p>
      <w:pPr>
        <w:spacing w:after="100" w:line="259" w:lineRule="auto"/>
      </w:pPr>
      <w:r>
        <w:t>The supplied blueprint correctly identifies the need for compact structured exports. The important architecture rule is that the claims layer consumes verified encounter and billing data, not raw AI hypotheses.</w:t>
      </w:r>
    </w:p>
    <w:p>
      <w:pPr>
        <w:pStyle w:val="Heading2"/>
      </w:pPr>
      <w:r>
        <w:t>14.1 Claims workflow</w:t>
      </w:r>
    </w:p>
    <w:p>
      <w:pPr>
        <w:pStyle w:val="ListNumber"/>
        <w:spacing w:after="40"/>
      </w:pPr>
      <w:r>
        <w:t>Authorized organization or hospital requests a claims package for a defined encounter/purpose.</w:t>
      </w:r>
    </w:p>
    <w:p>
      <w:pPr>
        <w:pStyle w:val="ListNumber"/>
        <w:spacing w:after="40"/>
      </w:pPr>
      <w:r>
        <w:t>Authorization/consent and lease scope are checked.</w:t>
      </w:r>
    </w:p>
    <w:p>
      <w:pPr>
        <w:pStyle w:val="ListNumber"/>
        <w:spacing w:after="40"/>
      </w:pPr>
      <w:r>
        <w:t>Claim engine retrieves encounter, services, provider, coverage and verified diagnoses/procedures from structured records.</w:t>
      </w:r>
    </w:p>
    <w:p>
      <w:pPr>
        <w:pStyle w:val="ListNumber"/>
        <w:spacing w:after="40"/>
      </w:pPr>
      <w:r>
        <w:t>Terminology mapping service maps internal clinical concepts to the codes required by the payer/workflow. Mapping confidence and manual review status are recorded.</w:t>
      </w:r>
    </w:p>
    <w:p>
      <w:pPr>
        <w:pStyle w:val="ListNumber"/>
        <w:spacing w:after="40"/>
      </w:pPr>
      <w:r>
        <w:t>A validation engine checks mandatory fields, code validity, date consistency, duplicates and totals.</w:t>
      </w:r>
    </w:p>
    <w:p>
      <w:pPr>
        <w:pStyle w:val="ListNumber"/>
        <w:spacing w:after="40"/>
      </w:pPr>
      <w:r>
        <w:t>The export is generated as the payer-required JSON/API/PDF format.</w:t>
      </w:r>
    </w:p>
    <w:p>
      <w:pPr>
        <w:pStyle w:val="ListNumber"/>
        <w:spacing w:after="40"/>
      </w:pPr>
      <w:r>
        <w:t>The exported package receives a hash/version and audit record.</w:t>
      </w:r>
    </w:p>
    <w:p>
      <w:pPr>
        <w:pStyle w:val="ListNumber"/>
        <w:spacing w:after="40"/>
      </w:pPr>
      <w:r>
        <w:t>The organization can download/transmit the package; access and transmission are audited.</w:t>
      </w:r>
    </w:p>
    <w:p>
      <w:pPr>
        <w:pStyle w:val="Heading2"/>
      </w:pPr>
      <w:r>
        <w:t>14.2 Important constraint</w:t>
      </w:r>
    </w:p>
    <w:p>
      <w:pPr>
        <w:spacing w:after="100" w:line="259" w:lineRule="auto"/>
      </w:pPr>
      <w:r>
        <w:t>Do not use the AI to “invent” an ICD-10 code from a probabilistic hypothesis. The coding engine may suggest a code from a clinician-verified concept, but the final billed diagnosis must follow the applicable payer/coding workflow and be reviewable. The exact Nigerian claims format should be confirmed against the current payer/NHIA requirements during integration; the NHIA publishes a current Standard Operating Procedure for Claims Submission, Review and Payment.</w:t>
      </w:r>
    </w:p>
    <w:p>
      <w:pPr>
        <w:pStyle w:val="Heading1"/>
      </w:pPr>
      <w:r>
        <w:t>15. FHIR Interoperability</w:t>
      </w:r>
    </w:p>
    <w:p>
      <w:pPr>
        <w:spacing w:after="100" w:line="259" w:lineRule="auto"/>
      </w:pPr>
      <w:r>
        <w:t>FHIR R4 provides a strong interoperability foundation. Relevant resources include Patient, Observation, Condition, DiagnosticReport, Encounter, MedicationRequest/MedicationStatement, Consent, Provenance and AuditEvent. DiagnosticReport is designed to carry diagnostic test findings and context; Provenance captures agents/processes influencing a resource; AuditEvent supports security audit records; Consent expresses healthcare consumer permissions and restrictions.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pPr>
              <w:spacing w:after="0"/>
            </w:pPr>
            <w:r/>
            <w:r>
              <w:rPr>
                <w:b/>
                <w:sz w:val="17"/>
              </w:rPr>
              <w:t>Mhistree</w:t>
            </w:r>
          </w:p>
        </w:tc>
        <w:tc>
          <w:tcPr>
            <w:tcW w:type="dxa" w:w="5112"/>
            <w:vAlign w:val="center"/>
            <w:shd w:fill="D9EAF7"/>
          </w:tcPr>
          <w:p>
            <w:pPr>
              <w:spacing w:after="0"/>
            </w:pPr>
            <w:r/>
            <w:r>
              <w:rPr>
                <w:b/>
                <w:sz w:val="17"/>
              </w:rPr>
              <w:t>FHIR R4 concept</w:t>
            </w:r>
          </w:p>
        </w:tc>
      </w:tr>
      <w:tr>
        <w:tc>
          <w:tcPr>
            <w:tcW w:type="dxa" w:w="5112"/>
            <w:vAlign w:val="center"/>
          </w:tcPr>
          <w:p>
            <w:pPr>
              <w:spacing w:after="0"/>
            </w:pPr>
            <w:r/>
            <w:r>
              <w:rPr>
                <w:b w:val="0"/>
                <w:sz w:val="17"/>
              </w:rPr>
              <w:t>users / patient identity</w:t>
            </w:r>
          </w:p>
        </w:tc>
        <w:tc>
          <w:tcPr>
            <w:tcW w:type="dxa" w:w="5112"/>
            <w:vAlign w:val="center"/>
          </w:tcPr>
          <w:p>
            <w:pPr>
              <w:spacing w:after="0"/>
            </w:pPr>
            <w:r/>
            <w:r>
              <w:rPr>
                <w:b w:val="0"/>
                <w:sz w:val="17"/>
              </w:rPr>
              <w:t>Patient</w:t>
            </w:r>
          </w:p>
        </w:tc>
      </w:tr>
      <w:tr>
        <w:tc>
          <w:tcPr>
            <w:tcW w:type="dxa" w:w="5112"/>
            <w:vAlign w:val="center"/>
          </w:tcPr>
          <w:p>
            <w:pPr>
              <w:spacing w:after="0"/>
            </w:pPr>
            <w:r/>
            <w:r>
              <w:rPr>
                <w:b w:val="0"/>
                <w:sz w:val="17"/>
              </w:rPr>
              <w:t>health events / vitals</w:t>
            </w:r>
          </w:p>
        </w:tc>
        <w:tc>
          <w:tcPr>
            <w:tcW w:type="dxa" w:w="5112"/>
            <w:vAlign w:val="center"/>
          </w:tcPr>
          <w:p>
            <w:pPr>
              <w:spacing w:after="0"/>
            </w:pPr>
            <w:r/>
            <w:r>
              <w:rPr>
                <w:b w:val="0"/>
                <w:sz w:val="17"/>
              </w:rPr>
              <w:t>Observation</w:t>
            </w:r>
          </w:p>
        </w:tc>
      </w:tr>
      <w:tr>
        <w:tc>
          <w:tcPr>
            <w:tcW w:type="dxa" w:w="5112"/>
            <w:vAlign w:val="center"/>
          </w:tcPr>
          <w:p>
            <w:pPr>
              <w:spacing w:after="0"/>
            </w:pPr>
            <w:r/>
            <w:r>
              <w:rPr>
                <w:b w:val="0"/>
                <w:sz w:val="17"/>
              </w:rPr>
              <w:t>verified condition</w:t>
            </w:r>
          </w:p>
        </w:tc>
        <w:tc>
          <w:tcPr>
            <w:tcW w:type="dxa" w:w="5112"/>
            <w:vAlign w:val="center"/>
          </w:tcPr>
          <w:p>
            <w:pPr>
              <w:spacing w:after="0"/>
            </w:pPr>
            <w:r/>
            <w:r>
              <w:rPr>
                <w:b w:val="0"/>
                <w:sz w:val="17"/>
              </w:rPr>
              <w:t>Condition</w:t>
            </w:r>
          </w:p>
        </w:tc>
      </w:tr>
      <w:tr>
        <w:tc>
          <w:tcPr>
            <w:tcW w:type="dxa" w:w="5112"/>
            <w:vAlign w:val="center"/>
          </w:tcPr>
          <w:p>
            <w:pPr>
              <w:spacing w:after="0"/>
            </w:pPr>
            <w:r/>
            <w:r>
              <w:rPr>
                <w:b w:val="0"/>
                <w:sz w:val="17"/>
              </w:rPr>
              <w:t>lab report</w:t>
            </w:r>
          </w:p>
        </w:tc>
        <w:tc>
          <w:tcPr>
            <w:tcW w:type="dxa" w:w="5112"/>
            <w:vAlign w:val="center"/>
          </w:tcPr>
          <w:p>
            <w:pPr>
              <w:spacing w:after="0"/>
            </w:pPr>
            <w:r/>
            <w:r>
              <w:rPr>
                <w:b w:val="0"/>
                <w:sz w:val="17"/>
              </w:rPr>
              <w:t>DiagnosticReport + Observation</w:t>
            </w:r>
          </w:p>
        </w:tc>
      </w:tr>
      <w:tr>
        <w:tc>
          <w:tcPr>
            <w:tcW w:type="dxa" w:w="5112"/>
            <w:vAlign w:val="center"/>
          </w:tcPr>
          <w:p>
            <w:pPr>
              <w:spacing w:after="0"/>
            </w:pPr>
            <w:r/>
            <w:r>
              <w:rPr>
                <w:b w:val="0"/>
                <w:sz w:val="17"/>
              </w:rPr>
              <w:t>visit</w:t>
            </w:r>
          </w:p>
        </w:tc>
        <w:tc>
          <w:tcPr>
            <w:tcW w:type="dxa" w:w="5112"/>
            <w:vAlign w:val="center"/>
          </w:tcPr>
          <w:p>
            <w:pPr>
              <w:spacing w:after="0"/>
            </w:pPr>
            <w:r/>
            <w:r>
              <w:rPr>
                <w:b w:val="0"/>
                <w:sz w:val="17"/>
              </w:rPr>
              <w:t>Encounter</w:t>
            </w:r>
          </w:p>
        </w:tc>
      </w:tr>
      <w:tr>
        <w:tc>
          <w:tcPr>
            <w:tcW w:type="dxa" w:w="5112"/>
            <w:vAlign w:val="center"/>
          </w:tcPr>
          <w:p>
            <w:pPr>
              <w:spacing w:after="0"/>
            </w:pPr>
            <w:r/>
            <w:r>
              <w:rPr>
                <w:b w:val="0"/>
                <w:sz w:val="17"/>
              </w:rPr>
              <w:t>consent directive</w:t>
            </w:r>
          </w:p>
        </w:tc>
        <w:tc>
          <w:tcPr>
            <w:tcW w:type="dxa" w:w="5112"/>
            <w:vAlign w:val="center"/>
          </w:tcPr>
          <w:p>
            <w:pPr>
              <w:spacing w:after="0"/>
            </w:pPr>
            <w:r/>
            <w:r>
              <w:rPr>
                <w:b w:val="0"/>
                <w:sz w:val="17"/>
              </w:rPr>
              <w:t>Consent</w:t>
            </w:r>
          </w:p>
        </w:tc>
      </w:tr>
      <w:tr>
        <w:tc>
          <w:tcPr>
            <w:tcW w:type="dxa" w:w="5112"/>
            <w:vAlign w:val="center"/>
          </w:tcPr>
          <w:p>
            <w:pPr>
              <w:spacing w:after="0"/>
            </w:pPr>
            <w:r/>
            <w:r>
              <w:rPr>
                <w:b w:val="0"/>
                <w:sz w:val="17"/>
              </w:rPr>
              <w:t>origin/transformation evidence</w:t>
            </w:r>
          </w:p>
        </w:tc>
        <w:tc>
          <w:tcPr>
            <w:tcW w:type="dxa" w:w="5112"/>
            <w:vAlign w:val="center"/>
          </w:tcPr>
          <w:p>
            <w:pPr>
              <w:spacing w:after="0"/>
            </w:pPr>
            <w:r/>
            <w:r>
              <w:rPr>
                <w:b w:val="0"/>
                <w:sz w:val="17"/>
              </w:rPr>
              <w:t>Provenance</w:t>
            </w:r>
          </w:p>
        </w:tc>
      </w:tr>
      <w:tr>
        <w:tc>
          <w:tcPr>
            <w:tcW w:type="dxa" w:w="5112"/>
            <w:vAlign w:val="center"/>
          </w:tcPr>
          <w:p>
            <w:pPr>
              <w:spacing w:after="0"/>
            </w:pPr>
            <w:r/>
            <w:r>
              <w:rPr>
                <w:b w:val="0"/>
                <w:sz w:val="17"/>
              </w:rPr>
              <w:t>security access event</w:t>
            </w:r>
          </w:p>
        </w:tc>
        <w:tc>
          <w:tcPr>
            <w:tcW w:type="dxa" w:w="5112"/>
            <w:vAlign w:val="center"/>
          </w:tcPr>
          <w:p>
            <w:pPr>
              <w:spacing w:after="0"/>
            </w:pPr>
            <w:r/>
            <w:r>
              <w:rPr>
                <w:b w:val="0"/>
                <w:sz w:val="17"/>
              </w:rPr>
              <w:t>AuditEvent</w:t>
            </w:r>
          </w:p>
        </w:tc>
      </w:tr>
      <w:tr>
        <w:tc>
          <w:tcPr>
            <w:tcW w:type="dxa" w:w="5112"/>
            <w:vAlign w:val="center"/>
          </w:tcPr>
          <w:p>
            <w:pPr>
              <w:spacing w:after="0"/>
            </w:pPr>
            <w:r/>
            <w:r>
              <w:rPr>
                <w:b w:val="0"/>
                <w:sz w:val="17"/>
              </w:rPr>
              <w:t>documents</w:t>
            </w:r>
          </w:p>
        </w:tc>
        <w:tc>
          <w:tcPr>
            <w:tcW w:type="dxa" w:w="5112"/>
            <w:vAlign w:val="center"/>
          </w:tcPr>
          <w:p>
            <w:pPr>
              <w:spacing w:after="0"/>
            </w:pPr>
            <w:r/>
            <w:r>
              <w:rPr>
                <w:b w:val="0"/>
                <w:sz w:val="17"/>
              </w:rPr>
              <w:t>DocumentReference / Binary as appropriate</w:t>
            </w:r>
          </w:p>
        </w:tc>
      </w:tr>
    </w:tbl>
    <w:p/>
    <w:p>
      <w:pPr>
        <w:pStyle w:val="Heading1"/>
      </w:pPr>
      <w:r>
        <w:t>16. Nigerian Privacy &amp; Governance Requirements</w:t>
      </w:r>
    </w:p>
    <w:p>
      <w:pPr>
        <w:spacing w:after="100" w:line="259" w:lineRule="auto"/>
      </w:pPr>
      <w:r>
        <w:t>The Nigeria Data Protection Act 2023 treats health status as sensitive personal data. The NDPC has also emphasized privacy by design and privacy-preserving technologies for health data. The architecture should therefore include a DPIA/privacy review, explicit data-purpose definitions, access controls, retention/deletion rules, breach procedures and international-transfer review before production deployment.</w:t>
      </w:r>
    </w:p>
    <w:p>
      <w:pPr>
        <w:spacing w:after="100" w:line="259" w:lineRule="auto"/>
      </w:pPr>
      <w:r>
        <w:t>This specification is engineering guidance, not legal advice. A Nigerian privacy counsel / DPO should validate the final lawful bases, notices, consent language, retention periods, processor contracts, cross-border transfer design and data-subject rights workflow.</w:t>
      </w:r>
    </w:p>
    <w:p>
      <w:pPr>
        <w:pStyle w:val="Heading2"/>
      </w:pPr>
      <w:r>
        <w:t>16.1 Privacy controls for MVP</w:t>
      </w:r>
    </w:p>
    <w:p>
      <w:pPr>
        <w:pStyle w:val="ListBullet"/>
        <w:spacing w:after="40"/>
      </w:pPr>
      <w:r>
        <w:t>Encrypt data in transit and at rest.</w:t>
      </w:r>
    </w:p>
    <w:p>
      <w:pPr>
        <w:pStyle w:val="ListBullet"/>
        <w:spacing w:after="40"/>
      </w:pPr>
      <w:r>
        <w:t>Use application-level authorization for every patient/health resource, not only frontend restrictions.</w:t>
      </w:r>
    </w:p>
    <w:p>
      <w:pPr>
        <w:pStyle w:val="ListBullet"/>
        <w:spacing w:after="40"/>
      </w:pPr>
      <w:r>
        <w:t>Use short-lived access tokens/leases.</w:t>
      </w:r>
    </w:p>
    <w:p>
      <w:pPr>
        <w:pStyle w:val="ListBullet"/>
        <w:spacing w:after="40"/>
      </w:pPr>
      <w:r>
        <w:t>Never place patient identifiers, medical contents or access tokens in ordinary application logs.</w:t>
      </w:r>
    </w:p>
    <w:p>
      <w:pPr>
        <w:pStyle w:val="ListBullet"/>
        <w:spacing w:after="40"/>
      </w:pPr>
      <w:r>
        <w:t>Hash or tokenize highly sensitive identifiers where feasible; isolate identity mapping from analytics.</w:t>
      </w:r>
    </w:p>
    <w:p>
      <w:pPr>
        <w:pStyle w:val="ListBullet"/>
        <w:spacing w:after="40"/>
      </w:pPr>
      <w:r>
        <w:t>Keep an immutable audit trail for sensitive reads, writes, exports, lease creation/revocation and consent changes.</w:t>
      </w:r>
    </w:p>
    <w:p>
      <w:pPr>
        <w:pStyle w:val="ListBullet"/>
        <w:spacing w:after="40"/>
      </w:pPr>
      <w:r>
        <w:t>Build a patient access history page: “who accessed my health record, when, why, and what was shared.”</w:t>
      </w:r>
    </w:p>
    <w:p>
      <w:pPr>
        <w:pStyle w:val="ListBullet"/>
        <w:spacing w:after="40"/>
      </w:pPr>
      <w:r>
        <w:t>Apply retention policies to raw chats, embeddings and uploaded media; do not keep everything forever by default.</w:t>
      </w:r>
    </w:p>
    <w:p>
      <w:pPr>
        <w:pStyle w:val="ListBullet"/>
        <w:spacing w:after="40"/>
      </w:pPr>
      <w:r>
        <w:t>Run a DPIA before large-scale health processing and automated profiling.</w:t>
      </w:r>
    </w:p>
    <w:p>
      <w:pPr>
        <w:pStyle w:val="Heading1"/>
      </w:pPr>
      <w:r>
        <w:t>17. Security Threat Model for MVP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pPr>
              <w:spacing w:after="0"/>
            </w:pPr>
            <w:r/>
            <w:r>
              <w:rPr>
                <w:b/>
                <w:sz w:val="17"/>
              </w:rPr>
              <w:t>Threat</w:t>
            </w:r>
          </w:p>
        </w:tc>
        <w:tc>
          <w:tcPr>
            <w:tcW w:type="dxa" w:w="5112"/>
            <w:vAlign w:val="center"/>
            <w:shd w:fill="D9EAF7"/>
          </w:tcPr>
          <w:p>
            <w:pPr>
              <w:spacing w:after="0"/>
            </w:pPr>
            <w:r/>
            <w:r>
              <w:rPr>
                <w:b/>
                <w:sz w:val="17"/>
              </w:rPr>
              <w:t>Control</w:t>
            </w:r>
          </w:p>
        </w:tc>
      </w:tr>
      <w:tr>
        <w:tc>
          <w:tcPr>
            <w:tcW w:type="dxa" w:w="5112"/>
            <w:vAlign w:val="center"/>
          </w:tcPr>
          <w:p>
            <w:pPr>
              <w:spacing w:after="0"/>
            </w:pPr>
            <w:r/>
            <w:r>
              <w:rPr>
                <w:b w:val="0"/>
                <w:sz w:val="17"/>
              </w:rPr>
              <w:t>Doctor tries to search patient by name</w:t>
            </w:r>
          </w:p>
        </w:tc>
        <w:tc>
          <w:tcPr>
            <w:tcW w:type="dxa" w:w="5112"/>
            <w:vAlign w:val="center"/>
          </w:tcPr>
          <w:p>
            <w:pPr>
              <w:spacing w:after="0"/>
            </w:pPr>
            <w:r/>
            <w:r>
              <w:rPr>
                <w:b w:val="0"/>
                <w:sz w:val="17"/>
              </w:rPr>
              <w:t>No global patient search; patient-controlled lease required.</w:t>
            </w:r>
          </w:p>
        </w:tc>
      </w:tr>
      <w:tr>
        <w:tc>
          <w:tcPr>
            <w:tcW w:type="dxa" w:w="5112"/>
            <w:vAlign w:val="center"/>
          </w:tcPr>
          <w:p>
            <w:pPr>
              <w:spacing w:after="0"/>
            </w:pPr>
            <w:r/>
            <w:r>
              <w:rPr>
                <w:b w:val="0"/>
                <w:sz w:val="17"/>
              </w:rPr>
              <w:t>Doctor token reused after consultation</w:t>
            </w:r>
          </w:p>
        </w:tc>
        <w:tc>
          <w:tcPr>
            <w:tcW w:type="dxa" w:w="5112"/>
            <w:vAlign w:val="center"/>
          </w:tcPr>
          <w:p>
            <w:pPr>
              <w:spacing w:after="0"/>
            </w:pPr>
            <w:r/>
            <w:r>
              <w:rPr>
                <w:b w:val="0"/>
                <w:sz w:val="17"/>
              </w:rPr>
              <w:t>Short expiry + server-side revocation + single-purpose scope.</w:t>
            </w:r>
          </w:p>
        </w:tc>
      </w:tr>
      <w:tr>
        <w:tc>
          <w:tcPr>
            <w:tcW w:type="dxa" w:w="5112"/>
            <w:vAlign w:val="center"/>
          </w:tcPr>
          <w:p>
            <w:pPr>
              <w:spacing w:after="0"/>
            </w:pPr>
            <w:r/>
            <w:r>
              <w:rPr>
                <w:b w:val="0"/>
                <w:sz w:val="17"/>
              </w:rPr>
              <w:t>Prompt asks clinician AI for diary</w:t>
            </w:r>
          </w:p>
        </w:tc>
        <w:tc>
          <w:tcPr>
            <w:tcW w:type="dxa" w:w="5112"/>
            <w:vAlign w:val="center"/>
          </w:tcPr>
          <w:p>
            <w:pPr>
              <w:spacing w:after="0"/>
            </w:pPr>
            <w:r/>
            <w:r>
              <w:rPr>
                <w:b w:val="0"/>
                <w:sz w:val="17"/>
              </w:rPr>
              <w:t>Hard namespace isolation + authorization at retrieval layer.</w:t>
            </w:r>
          </w:p>
        </w:tc>
      </w:tr>
      <w:tr>
        <w:tc>
          <w:tcPr>
            <w:tcW w:type="dxa" w:w="5112"/>
            <w:vAlign w:val="center"/>
          </w:tcPr>
          <w:p>
            <w:pPr>
              <w:spacing w:after="0"/>
            </w:pPr>
            <w:r/>
            <w:r>
              <w:rPr>
                <w:b w:val="0"/>
                <w:sz w:val="17"/>
              </w:rPr>
              <w:t>Patient chat includes malicious text instructing AI to expose data</w:t>
            </w:r>
          </w:p>
        </w:tc>
        <w:tc>
          <w:tcPr>
            <w:tcW w:type="dxa" w:w="5112"/>
            <w:vAlign w:val="center"/>
          </w:tcPr>
          <w:p>
            <w:pPr>
              <w:spacing w:after="0"/>
            </w:pPr>
            <w:r/>
            <w:r>
              <w:rPr>
                <w:b w:val="0"/>
                <w:sz w:val="17"/>
              </w:rPr>
              <w:t>Treat conversation as untrusted content; system policy remains higher priority.</w:t>
            </w:r>
          </w:p>
        </w:tc>
      </w:tr>
      <w:tr>
        <w:tc>
          <w:tcPr>
            <w:tcW w:type="dxa" w:w="5112"/>
            <w:vAlign w:val="center"/>
          </w:tcPr>
          <w:p>
            <w:pPr>
              <w:spacing w:after="0"/>
            </w:pPr>
            <w:r/>
            <w:r>
              <w:rPr>
                <w:b w:val="0"/>
                <w:sz w:val="17"/>
              </w:rPr>
              <w:t>Vector retrieval returns private memory</w:t>
            </w:r>
          </w:p>
        </w:tc>
        <w:tc>
          <w:tcPr>
            <w:tcW w:type="dxa" w:w="5112"/>
            <w:vAlign w:val="center"/>
          </w:tcPr>
          <w:p>
            <w:pPr>
              <w:spacing w:after="0"/>
            </w:pPr>
            <w:r/>
            <w:r>
              <w:rPr>
                <w:b w:val="0"/>
                <w:sz w:val="17"/>
              </w:rPr>
              <w:t>Namespace filters enforced before similarity search.</w:t>
            </w:r>
          </w:p>
        </w:tc>
      </w:tr>
      <w:tr>
        <w:tc>
          <w:tcPr>
            <w:tcW w:type="dxa" w:w="5112"/>
            <w:vAlign w:val="center"/>
          </w:tcPr>
          <w:p>
            <w:pPr>
              <w:spacing w:after="0"/>
            </w:pPr>
            <w:r/>
            <w:r>
              <w:rPr>
                <w:b w:val="0"/>
                <w:sz w:val="17"/>
              </w:rPr>
              <w:t>AI fabricates clinical fact</w:t>
            </w:r>
          </w:p>
        </w:tc>
        <w:tc>
          <w:tcPr>
            <w:tcW w:type="dxa" w:w="5112"/>
            <w:vAlign w:val="center"/>
          </w:tcPr>
          <w:p>
            <w:pPr>
              <w:spacing w:after="0"/>
            </w:pPr>
            <w:r/>
            <w:r>
              <w:rPr>
                <w:b w:val="0"/>
                <w:sz w:val="17"/>
              </w:rPr>
              <w:t>Require source references for clinical summaries; unsupported claims displayed as unknown/hypothesis.</w:t>
            </w:r>
          </w:p>
        </w:tc>
      </w:tr>
      <w:tr>
        <w:tc>
          <w:tcPr>
            <w:tcW w:type="dxa" w:w="5112"/>
            <w:vAlign w:val="center"/>
          </w:tcPr>
          <w:p>
            <w:pPr>
              <w:spacing w:after="0"/>
            </w:pPr>
            <w:r/>
            <w:r>
              <w:rPr>
                <w:b w:val="0"/>
                <w:sz w:val="17"/>
              </w:rPr>
              <w:t>Old incorrect memory wins over recent correction</w:t>
            </w:r>
          </w:p>
        </w:tc>
        <w:tc>
          <w:tcPr>
            <w:tcW w:type="dxa" w:w="5112"/>
            <w:vAlign w:val="center"/>
          </w:tcPr>
          <w:p>
            <w:pPr>
              <w:spacing w:after="0"/>
            </w:pPr>
            <w:r/>
            <w:r>
              <w:rPr>
                <w:b w:val="0"/>
                <w:sz w:val="17"/>
              </w:rPr>
              <w:t>Recency + lifecycle + source reliability; explicit supersession links.</w:t>
            </w:r>
          </w:p>
        </w:tc>
      </w:tr>
      <w:tr>
        <w:tc>
          <w:tcPr>
            <w:tcW w:type="dxa" w:w="5112"/>
            <w:vAlign w:val="center"/>
          </w:tcPr>
          <w:p>
            <w:pPr>
              <w:spacing w:after="0"/>
            </w:pPr>
            <w:r/>
            <w:r>
              <w:rPr>
                <w:b w:val="0"/>
                <w:sz w:val="17"/>
              </w:rPr>
              <w:t>Unauthorized export</w:t>
            </w:r>
          </w:p>
        </w:tc>
        <w:tc>
          <w:tcPr>
            <w:tcW w:type="dxa" w:w="5112"/>
            <w:vAlign w:val="center"/>
          </w:tcPr>
          <w:p>
            <w:pPr>
              <w:spacing w:after="0"/>
            </w:pPr>
            <w:r/>
            <w:r>
              <w:rPr>
                <w:b w:val="0"/>
                <w:sz w:val="17"/>
              </w:rPr>
              <w:t>Purpose, consent, lease and actor authorization checked before export.</w:t>
            </w:r>
          </w:p>
        </w:tc>
      </w:tr>
      <w:tr>
        <w:tc>
          <w:tcPr>
            <w:tcW w:type="dxa" w:w="5112"/>
            <w:vAlign w:val="center"/>
          </w:tcPr>
          <w:p>
            <w:pPr>
              <w:spacing w:after="0"/>
            </w:pPr>
            <w:r/>
            <w:r>
              <w:rPr>
                <w:b w:val="0"/>
                <w:sz w:val="17"/>
              </w:rPr>
              <w:t>Database breach</w:t>
            </w:r>
          </w:p>
        </w:tc>
        <w:tc>
          <w:tcPr>
            <w:tcW w:type="dxa" w:w="5112"/>
            <w:vAlign w:val="center"/>
          </w:tcPr>
          <w:p>
            <w:pPr>
              <w:spacing w:after="0"/>
            </w:pPr>
            <w:r/>
            <w:r>
              <w:rPr>
                <w:b w:val="0"/>
                <w:sz w:val="17"/>
              </w:rPr>
              <w:t>Encryption, key isolation, least privilege, tokenization/pseudonymization, audit.</w:t>
            </w:r>
          </w:p>
        </w:tc>
      </w:tr>
      <w:tr>
        <w:tc>
          <w:tcPr>
            <w:tcW w:type="dxa" w:w="5112"/>
            <w:vAlign w:val="center"/>
          </w:tcPr>
          <w:p>
            <w:pPr>
              <w:spacing w:after="0"/>
            </w:pPr>
            <w:r/>
            <w:r>
              <w:rPr>
                <w:b w:val="0"/>
                <w:sz w:val="17"/>
              </w:rPr>
              <w:t>Insider snooping</w:t>
            </w:r>
          </w:p>
        </w:tc>
        <w:tc>
          <w:tcPr>
            <w:tcW w:type="dxa" w:w="5112"/>
            <w:vAlign w:val="center"/>
          </w:tcPr>
          <w:p>
            <w:pPr>
              <w:spacing w:after="0"/>
            </w:pPr>
            <w:r/>
            <w:r>
              <w:rPr>
                <w:b w:val="0"/>
                <w:sz w:val="17"/>
              </w:rPr>
              <w:t>Audit logs, anomaly detection, role policy and patient-visible access history.</w:t>
            </w:r>
          </w:p>
        </w:tc>
      </w:tr>
      <w:tr>
        <w:tc>
          <w:tcPr>
            <w:tcW w:type="dxa" w:w="5112"/>
            <w:vAlign w:val="center"/>
          </w:tcPr>
          <w:p>
            <w:pPr>
              <w:spacing w:after="0"/>
            </w:pPr>
            <w:r/>
            <w:r>
              <w:rPr>
                <w:b w:val="0"/>
                <w:sz w:val="17"/>
              </w:rPr>
              <w:t>Model provider sees unnecessary health information</w:t>
            </w:r>
          </w:p>
        </w:tc>
        <w:tc>
          <w:tcPr>
            <w:tcW w:type="dxa" w:w="5112"/>
            <w:vAlign w:val="center"/>
          </w:tcPr>
          <w:p>
            <w:pPr>
              <w:spacing w:after="0"/>
            </w:pPr>
            <w:r/>
            <w:r>
              <w:rPr>
                <w:b w:val="0"/>
                <w:sz w:val="17"/>
              </w:rPr>
              <w:t>Minimize prompt data; contractual/provider controls; consider regional processing and redaction where feasible.</w:t>
            </w:r>
          </w:p>
        </w:tc>
      </w:tr>
    </w:tbl>
    <w:p/>
    <w:p>
      <w:pPr>
        <w:pStyle w:val="Heading1"/>
      </w:pPr>
      <w:r>
        <w:t>18. API Surface for MVP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pPr>
              <w:spacing w:after="0"/>
            </w:pPr>
            <w:r/>
            <w:r>
              <w:rPr>
                <w:b/>
                <w:sz w:val="17"/>
              </w:rPr>
              <w:t>Method</w:t>
            </w:r>
          </w:p>
        </w:tc>
        <w:tc>
          <w:tcPr>
            <w:tcW w:type="dxa" w:w="3408"/>
            <w:vAlign w:val="center"/>
            <w:shd w:fill="D9EAF7"/>
          </w:tcPr>
          <w:p>
            <w:pPr>
              <w:spacing w:after="0"/>
            </w:pPr>
            <w:r/>
            <w:r>
              <w:rPr>
                <w:b/>
                <w:sz w:val="17"/>
              </w:rPr>
              <w:t>Endpoint</w:t>
            </w:r>
          </w:p>
        </w:tc>
        <w:tc>
          <w:tcPr>
            <w:tcW w:type="dxa" w:w="3408"/>
            <w:vAlign w:val="center"/>
            <w:shd w:fill="D9EAF7"/>
          </w:tcPr>
          <w:p>
            <w:pPr>
              <w:spacing w:after="0"/>
            </w:pPr>
            <w:r/>
            <w:r>
              <w:rPr>
                <w:b/>
                <w:sz w:val="17"/>
              </w:rPr>
              <w:t>Purpose</w:t>
            </w:r>
          </w:p>
        </w:tc>
      </w:tr>
      <w:tr>
        <w:tc>
          <w:tcPr>
            <w:tcW w:type="dxa" w:w="3408"/>
            <w:vAlign w:val="center"/>
          </w:tcPr>
          <w:p>
            <w:pPr>
              <w:spacing w:after="0"/>
            </w:pPr>
            <w:r/>
            <w:r>
              <w:rPr>
                <w:b w:val="0"/>
                <w:sz w:val="17"/>
              </w:rPr>
              <w:t>POST</w:t>
            </w:r>
          </w:p>
        </w:tc>
        <w:tc>
          <w:tcPr>
            <w:tcW w:type="dxa" w:w="3408"/>
            <w:vAlign w:val="center"/>
          </w:tcPr>
          <w:p>
            <w:pPr>
              <w:spacing w:after="0"/>
            </w:pPr>
            <w:r/>
            <w:r>
              <w:rPr>
                <w:b w:val="0"/>
                <w:sz w:val="17"/>
              </w:rPr>
              <w:t>/v1/sessions</w:t>
            </w:r>
          </w:p>
        </w:tc>
        <w:tc>
          <w:tcPr>
            <w:tcW w:type="dxa" w:w="3408"/>
            <w:vAlign w:val="center"/>
          </w:tcPr>
          <w:p>
            <w:pPr>
              <w:spacing w:after="0"/>
            </w:pPr>
            <w:r/>
            <w:r>
              <w:rPr>
                <w:b w:val="0"/>
                <w:sz w:val="17"/>
              </w:rPr>
              <w:t>Start a fresh chat session</w:t>
            </w:r>
          </w:p>
        </w:tc>
      </w:tr>
      <w:tr>
        <w:tc>
          <w:tcPr>
            <w:tcW w:type="dxa" w:w="3408"/>
            <w:vAlign w:val="center"/>
          </w:tcPr>
          <w:p>
            <w:pPr>
              <w:spacing w:after="0"/>
            </w:pPr>
            <w:r/>
            <w:r>
              <w:rPr>
                <w:b w:val="0"/>
                <w:sz w:val="17"/>
              </w:rPr>
              <w:t>POST</w:t>
            </w:r>
          </w:p>
        </w:tc>
        <w:tc>
          <w:tcPr>
            <w:tcW w:type="dxa" w:w="3408"/>
            <w:vAlign w:val="center"/>
          </w:tcPr>
          <w:p>
            <w:pPr>
              <w:spacing w:after="0"/>
            </w:pPr>
            <w:r/>
            <w:r>
              <w:rPr>
                <w:b w:val="0"/>
                <w:sz w:val="17"/>
              </w:rPr>
              <w:t>/v1/sessions/{id}/messages</w:t>
            </w:r>
          </w:p>
        </w:tc>
        <w:tc>
          <w:tcPr>
            <w:tcW w:type="dxa" w:w="3408"/>
            <w:vAlign w:val="center"/>
          </w:tcPr>
          <w:p>
            <w:pPr>
              <w:spacing w:after="0"/>
            </w:pPr>
            <w:r/>
            <w:r>
              <w:rPr>
                <w:b w:val="0"/>
                <w:sz w:val="17"/>
              </w:rPr>
              <w:t>Append a message and stream AI response</w:t>
            </w:r>
          </w:p>
        </w:tc>
      </w:tr>
      <w:tr>
        <w:tc>
          <w:tcPr>
            <w:tcW w:type="dxa" w:w="3408"/>
            <w:vAlign w:val="center"/>
          </w:tcPr>
          <w:p>
            <w:pPr>
              <w:spacing w:after="0"/>
            </w:pPr>
            <w:r/>
            <w:r>
              <w:rPr>
                <w:b w:val="0"/>
                <w:sz w:val="17"/>
              </w:rPr>
              <w:t>GET</w:t>
            </w:r>
          </w:p>
        </w:tc>
        <w:tc>
          <w:tcPr>
            <w:tcW w:type="dxa" w:w="3408"/>
            <w:vAlign w:val="center"/>
          </w:tcPr>
          <w:p>
            <w:pPr>
              <w:spacing w:after="0"/>
            </w:pPr>
            <w:r/>
            <w:r>
              <w:rPr>
                <w:b w:val="0"/>
                <w:sz w:val="17"/>
              </w:rPr>
              <w:t>/v1/context/preview</w:t>
            </w:r>
          </w:p>
        </w:tc>
        <w:tc>
          <w:tcPr>
            <w:tcW w:type="dxa" w:w="3408"/>
            <w:vAlign w:val="center"/>
          </w:tcPr>
          <w:p>
            <w:pPr>
              <w:spacing w:after="0"/>
            </w:pPr>
            <w:r/>
            <w:r>
              <w:rPr>
                <w:b w:val="0"/>
                <w:sz w:val="17"/>
              </w:rPr>
              <w:t>Debug/inspect the context packet with authorization</w:t>
            </w:r>
          </w:p>
        </w:tc>
      </w:tr>
      <w:tr>
        <w:tc>
          <w:tcPr>
            <w:tcW w:type="dxa" w:w="3408"/>
            <w:vAlign w:val="center"/>
          </w:tcPr>
          <w:p>
            <w:pPr>
              <w:spacing w:after="0"/>
            </w:pPr>
            <w:r/>
            <w:r>
              <w:rPr>
                <w:b w:val="0"/>
                <w:sz w:val="17"/>
              </w:rPr>
              <w:t>POST</w:t>
            </w:r>
          </w:p>
        </w:tc>
        <w:tc>
          <w:tcPr>
            <w:tcW w:type="dxa" w:w="3408"/>
            <w:vAlign w:val="center"/>
          </w:tcPr>
          <w:p>
            <w:pPr>
              <w:spacing w:after="0"/>
            </w:pPr>
            <w:r/>
            <w:r>
              <w:rPr>
                <w:b w:val="0"/>
                <w:sz w:val="17"/>
              </w:rPr>
              <w:t>/v1/memories/extract</w:t>
            </w:r>
          </w:p>
        </w:tc>
        <w:tc>
          <w:tcPr>
            <w:tcW w:type="dxa" w:w="3408"/>
            <w:vAlign w:val="center"/>
          </w:tcPr>
          <w:p>
            <w:pPr>
              <w:spacing w:after="0"/>
            </w:pPr>
            <w:r/>
            <w:r>
              <w:rPr>
                <w:b w:val="0"/>
                <w:sz w:val="17"/>
              </w:rPr>
              <w:t>Worker endpoint for candidate extraction</w:t>
            </w:r>
          </w:p>
        </w:tc>
      </w:tr>
      <w:tr>
        <w:tc>
          <w:tcPr>
            <w:tcW w:type="dxa" w:w="3408"/>
            <w:vAlign w:val="center"/>
          </w:tcPr>
          <w:p>
            <w:pPr>
              <w:spacing w:after="0"/>
            </w:pPr>
            <w:r/>
            <w:r>
              <w:rPr>
                <w:b w:val="0"/>
                <w:sz w:val="17"/>
              </w:rPr>
              <w:t>GET</w:t>
            </w:r>
          </w:p>
        </w:tc>
        <w:tc>
          <w:tcPr>
            <w:tcW w:type="dxa" w:w="3408"/>
            <w:vAlign w:val="center"/>
          </w:tcPr>
          <w:p>
            <w:pPr>
              <w:spacing w:after="0"/>
            </w:pPr>
            <w:r/>
            <w:r>
              <w:rPr>
                <w:b w:val="0"/>
                <w:sz w:val="17"/>
              </w:rPr>
              <w:t>/v1/patients/me/health-summary</w:t>
            </w:r>
          </w:p>
        </w:tc>
        <w:tc>
          <w:tcPr>
            <w:tcW w:type="dxa" w:w="3408"/>
            <w:vAlign w:val="center"/>
          </w:tcPr>
          <w:p>
            <w:pPr>
              <w:spacing w:after="0"/>
            </w:pPr>
            <w:r/>
            <w:r>
              <w:rPr>
                <w:b w:val="0"/>
                <w:sz w:val="17"/>
              </w:rPr>
              <w:t>Patient health summary</w:t>
            </w:r>
          </w:p>
        </w:tc>
      </w:tr>
      <w:tr>
        <w:tc>
          <w:tcPr>
            <w:tcW w:type="dxa" w:w="3408"/>
            <w:vAlign w:val="center"/>
          </w:tcPr>
          <w:p>
            <w:pPr>
              <w:spacing w:after="0"/>
            </w:pPr>
            <w:r/>
            <w:r>
              <w:rPr>
                <w:b w:val="0"/>
                <w:sz w:val="17"/>
              </w:rPr>
              <w:t>GET</w:t>
            </w:r>
          </w:p>
        </w:tc>
        <w:tc>
          <w:tcPr>
            <w:tcW w:type="dxa" w:w="3408"/>
            <w:vAlign w:val="center"/>
          </w:tcPr>
          <w:p>
            <w:pPr>
              <w:spacing w:after="0"/>
            </w:pPr>
            <w:r/>
            <w:r>
              <w:rPr>
                <w:b w:val="0"/>
                <w:sz w:val="17"/>
              </w:rPr>
              <w:t>/v1/patients/me/events</w:t>
            </w:r>
          </w:p>
        </w:tc>
        <w:tc>
          <w:tcPr>
            <w:tcW w:type="dxa" w:w="3408"/>
            <w:vAlign w:val="center"/>
          </w:tcPr>
          <w:p>
            <w:pPr>
              <w:spacing w:after="0"/>
            </w:pPr>
            <w:r/>
            <w:r>
              <w:rPr>
                <w:b w:val="0"/>
                <w:sz w:val="17"/>
              </w:rPr>
              <w:t>Patient timeline</w:t>
            </w:r>
          </w:p>
        </w:tc>
      </w:tr>
      <w:tr>
        <w:tc>
          <w:tcPr>
            <w:tcW w:type="dxa" w:w="3408"/>
            <w:vAlign w:val="center"/>
          </w:tcPr>
          <w:p>
            <w:pPr>
              <w:spacing w:after="0"/>
            </w:pPr>
            <w:r/>
            <w:r>
              <w:rPr>
                <w:b w:val="0"/>
                <w:sz w:val="17"/>
              </w:rPr>
              <w:t>POST</w:t>
            </w:r>
          </w:p>
        </w:tc>
        <w:tc>
          <w:tcPr>
            <w:tcW w:type="dxa" w:w="3408"/>
            <w:vAlign w:val="center"/>
          </w:tcPr>
          <w:p>
            <w:pPr>
              <w:spacing w:after="0"/>
            </w:pPr>
            <w:r/>
            <w:r>
              <w:rPr>
                <w:b w:val="0"/>
                <w:sz w:val="17"/>
              </w:rPr>
              <w:t>/v1/leases</w:t>
            </w:r>
          </w:p>
        </w:tc>
        <w:tc>
          <w:tcPr>
            <w:tcW w:type="dxa" w:w="3408"/>
            <w:vAlign w:val="center"/>
          </w:tcPr>
          <w:p>
            <w:pPr>
              <w:spacing w:after="0"/>
            </w:pPr>
            <w:r/>
            <w:r>
              <w:rPr>
                <w:b w:val="0"/>
                <w:sz w:val="17"/>
              </w:rPr>
              <w:t>Create access lease</w:t>
            </w:r>
          </w:p>
        </w:tc>
      </w:tr>
      <w:tr>
        <w:tc>
          <w:tcPr>
            <w:tcW w:type="dxa" w:w="3408"/>
            <w:vAlign w:val="center"/>
          </w:tcPr>
          <w:p>
            <w:pPr>
              <w:spacing w:after="0"/>
            </w:pPr>
            <w:r/>
            <w:r>
              <w:rPr>
                <w:b w:val="0"/>
                <w:sz w:val="17"/>
              </w:rPr>
              <w:t>POST</w:t>
            </w:r>
          </w:p>
        </w:tc>
        <w:tc>
          <w:tcPr>
            <w:tcW w:type="dxa" w:w="3408"/>
            <w:vAlign w:val="center"/>
          </w:tcPr>
          <w:p>
            <w:pPr>
              <w:spacing w:after="0"/>
            </w:pPr>
            <w:r/>
            <w:r>
              <w:rPr>
                <w:b w:val="0"/>
                <w:sz w:val="17"/>
              </w:rPr>
              <w:t>/v1/leases/{id}/revoke</w:t>
            </w:r>
          </w:p>
        </w:tc>
        <w:tc>
          <w:tcPr>
            <w:tcW w:type="dxa" w:w="3408"/>
            <w:vAlign w:val="center"/>
          </w:tcPr>
          <w:p>
            <w:pPr>
              <w:spacing w:after="0"/>
            </w:pPr>
            <w:r/>
            <w:r>
              <w:rPr>
                <w:b w:val="0"/>
                <w:sz w:val="17"/>
              </w:rPr>
              <w:t>Revoke lease</w:t>
            </w:r>
          </w:p>
        </w:tc>
      </w:tr>
      <w:tr>
        <w:tc>
          <w:tcPr>
            <w:tcW w:type="dxa" w:w="3408"/>
            <w:vAlign w:val="center"/>
          </w:tcPr>
          <w:p>
            <w:pPr>
              <w:spacing w:after="0"/>
            </w:pPr>
            <w:r/>
            <w:r>
              <w:rPr>
                <w:b w:val="0"/>
                <w:sz w:val="17"/>
              </w:rPr>
              <w:t>POST</w:t>
            </w:r>
          </w:p>
        </w:tc>
        <w:tc>
          <w:tcPr>
            <w:tcW w:type="dxa" w:w="3408"/>
            <w:vAlign w:val="center"/>
          </w:tcPr>
          <w:p>
            <w:pPr>
              <w:spacing w:after="0"/>
            </w:pPr>
            <w:r/>
            <w:r>
              <w:rPr>
                <w:b w:val="0"/>
                <w:sz w:val="17"/>
              </w:rPr>
              <w:t>/v1/clinician/access/redeem</w:t>
            </w:r>
          </w:p>
        </w:tc>
        <w:tc>
          <w:tcPr>
            <w:tcW w:type="dxa" w:w="3408"/>
            <w:vAlign w:val="center"/>
          </w:tcPr>
          <w:p>
            <w:pPr>
              <w:spacing w:after="0"/>
            </w:pPr>
            <w:r/>
            <w:r>
              <w:rPr>
                <w:b w:val="0"/>
                <w:sz w:val="17"/>
              </w:rPr>
              <w:t>Redeem OTP/QR lease</w:t>
            </w:r>
          </w:p>
        </w:tc>
      </w:tr>
      <w:tr>
        <w:tc>
          <w:tcPr>
            <w:tcW w:type="dxa" w:w="3408"/>
            <w:vAlign w:val="center"/>
          </w:tcPr>
          <w:p>
            <w:pPr>
              <w:spacing w:after="0"/>
            </w:pPr>
            <w:r/>
            <w:r>
              <w:rPr>
                <w:b w:val="0"/>
                <w:sz w:val="17"/>
              </w:rPr>
              <w:t>GET</w:t>
            </w:r>
          </w:p>
        </w:tc>
        <w:tc>
          <w:tcPr>
            <w:tcW w:type="dxa" w:w="3408"/>
            <w:vAlign w:val="center"/>
          </w:tcPr>
          <w:p>
            <w:pPr>
              <w:spacing w:after="0"/>
            </w:pPr>
            <w:r/>
            <w:r>
              <w:rPr>
                <w:b w:val="0"/>
                <w:sz w:val="17"/>
              </w:rPr>
              <w:t>/v1/clinician/patients/{id}/timeline</w:t>
            </w:r>
          </w:p>
        </w:tc>
        <w:tc>
          <w:tcPr>
            <w:tcW w:type="dxa" w:w="3408"/>
            <w:vAlign w:val="center"/>
          </w:tcPr>
          <w:p>
            <w:pPr>
              <w:spacing w:after="0"/>
            </w:pPr>
            <w:r/>
            <w:r>
              <w:rPr>
                <w:b w:val="0"/>
                <w:sz w:val="17"/>
              </w:rPr>
              <w:t>Scoped clinical timeline</w:t>
            </w:r>
          </w:p>
        </w:tc>
      </w:tr>
      <w:tr>
        <w:tc>
          <w:tcPr>
            <w:tcW w:type="dxa" w:w="3408"/>
            <w:vAlign w:val="center"/>
          </w:tcPr>
          <w:p>
            <w:pPr>
              <w:spacing w:after="0"/>
            </w:pPr>
            <w:r/>
            <w:r>
              <w:rPr>
                <w:b w:val="0"/>
                <w:sz w:val="17"/>
              </w:rPr>
              <w:t>POST</w:t>
            </w:r>
          </w:p>
        </w:tc>
        <w:tc>
          <w:tcPr>
            <w:tcW w:type="dxa" w:w="3408"/>
            <w:vAlign w:val="center"/>
          </w:tcPr>
          <w:p>
            <w:pPr>
              <w:spacing w:after="0"/>
            </w:pPr>
            <w:r/>
            <w:r>
              <w:rPr>
                <w:b w:val="0"/>
                <w:sz w:val="17"/>
              </w:rPr>
              <w:t>/v1/clinical-events/{id}/verify</w:t>
            </w:r>
          </w:p>
        </w:tc>
        <w:tc>
          <w:tcPr>
            <w:tcW w:type="dxa" w:w="3408"/>
            <w:vAlign w:val="center"/>
          </w:tcPr>
          <w:p>
            <w:pPr>
              <w:spacing w:after="0"/>
            </w:pPr>
            <w:r/>
            <w:r>
              <w:rPr>
                <w:b w:val="0"/>
                <w:sz w:val="17"/>
              </w:rPr>
              <w:t>Verify/reject/correct event</w:t>
            </w:r>
          </w:p>
        </w:tc>
      </w:tr>
      <w:tr>
        <w:tc>
          <w:tcPr>
            <w:tcW w:type="dxa" w:w="3408"/>
            <w:vAlign w:val="center"/>
          </w:tcPr>
          <w:p>
            <w:pPr>
              <w:spacing w:after="0"/>
            </w:pPr>
            <w:r/>
            <w:r>
              <w:rPr>
                <w:b w:val="0"/>
                <w:sz w:val="17"/>
              </w:rPr>
              <w:t>POST</w:t>
            </w:r>
          </w:p>
        </w:tc>
        <w:tc>
          <w:tcPr>
            <w:tcW w:type="dxa" w:w="3408"/>
            <w:vAlign w:val="center"/>
          </w:tcPr>
          <w:p>
            <w:pPr>
              <w:spacing w:after="0"/>
            </w:pPr>
            <w:r/>
            <w:r>
              <w:rPr>
                <w:b w:val="0"/>
                <w:sz w:val="17"/>
              </w:rPr>
              <w:t>/v1/encounters</w:t>
            </w:r>
          </w:p>
        </w:tc>
        <w:tc>
          <w:tcPr>
            <w:tcW w:type="dxa" w:w="3408"/>
            <w:vAlign w:val="center"/>
          </w:tcPr>
          <w:p>
            <w:pPr>
              <w:spacing w:after="0"/>
            </w:pPr>
            <w:r/>
            <w:r>
              <w:rPr>
                <w:b w:val="0"/>
                <w:sz w:val="17"/>
              </w:rPr>
              <w:t>Create encounter</w:t>
            </w:r>
          </w:p>
        </w:tc>
      </w:tr>
      <w:tr>
        <w:tc>
          <w:tcPr>
            <w:tcW w:type="dxa" w:w="3408"/>
            <w:vAlign w:val="center"/>
          </w:tcPr>
          <w:p>
            <w:pPr>
              <w:spacing w:after="0"/>
            </w:pPr>
            <w:r/>
            <w:r>
              <w:rPr>
                <w:b w:val="0"/>
                <w:sz w:val="17"/>
              </w:rPr>
              <w:t>POST</w:t>
            </w:r>
          </w:p>
        </w:tc>
        <w:tc>
          <w:tcPr>
            <w:tcW w:type="dxa" w:w="3408"/>
            <w:vAlign w:val="center"/>
          </w:tcPr>
          <w:p>
            <w:pPr>
              <w:spacing w:after="0"/>
            </w:pPr>
            <w:r/>
            <w:r>
              <w:rPr>
                <w:b w:val="0"/>
                <w:sz w:val="17"/>
              </w:rPr>
              <w:t>/v1/claims/preview</w:t>
            </w:r>
          </w:p>
        </w:tc>
        <w:tc>
          <w:tcPr>
            <w:tcW w:type="dxa" w:w="3408"/>
            <w:vAlign w:val="center"/>
          </w:tcPr>
          <w:p>
            <w:pPr>
              <w:spacing w:after="0"/>
            </w:pPr>
            <w:r/>
            <w:r>
              <w:rPr>
                <w:b w:val="0"/>
                <w:sz w:val="17"/>
              </w:rPr>
              <w:t>Validate potential claims package</w:t>
            </w:r>
          </w:p>
        </w:tc>
      </w:tr>
      <w:tr>
        <w:tc>
          <w:tcPr>
            <w:tcW w:type="dxa" w:w="3408"/>
            <w:vAlign w:val="center"/>
          </w:tcPr>
          <w:p>
            <w:pPr>
              <w:spacing w:after="0"/>
            </w:pPr>
            <w:r/>
            <w:r>
              <w:rPr>
                <w:b w:val="0"/>
                <w:sz w:val="17"/>
              </w:rPr>
              <w:t>POST</w:t>
            </w:r>
          </w:p>
        </w:tc>
        <w:tc>
          <w:tcPr>
            <w:tcW w:type="dxa" w:w="3408"/>
            <w:vAlign w:val="center"/>
          </w:tcPr>
          <w:p>
            <w:pPr>
              <w:spacing w:after="0"/>
            </w:pPr>
            <w:r/>
            <w:r>
              <w:rPr>
                <w:b w:val="0"/>
                <w:sz w:val="17"/>
              </w:rPr>
              <w:t>/v1/claims/export</w:t>
            </w:r>
          </w:p>
        </w:tc>
        <w:tc>
          <w:tcPr>
            <w:tcW w:type="dxa" w:w="3408"/>
            <w:vAlign w:val="center"/>
          </w:tcPr>
          <w:p>
            <w:pPr>
              <w:spacing w:after="0"/>
            </w:pPr>
            <w:r/>
            <w:r>
              <w:rPr>
                <w:b w:val="0"/>
                <w:sz w:val="17"/>
              </w:rPr>
              <w:t>Generate claims export</w:t>
            </w:r>
          </w:p>
        </w:tc>
      </w:tr>
      <w:tr>
        <w:tc>
          <w:tcPr>
            <w:tcW w:type="dxa" w:w="3408"/>
            <w:vAlign w:val="center"/>
          </w:tcPr>
          <w:p>
            <w:pPr>
              <w:spacing w:after="0"/>
            </w:pPr>
            <w:r/>
            <w:r>
              <w:rPr>
                <w:b w:val="0"/>
                <w:sz w:val="17"/>
              </w:rPr>
              <w:t>GET</w:t>
            </w:r>
          </w:p>
        </w:tc>
        <w:tc>
          <w:tcPr>
            <w:tcW w:type="dxa" w:w="3408"/>
            <w:vAlign w:val="center"/>
          </w:tcPr>
          <w:p>
            <w:pPr>
              <w:spacing w:after="0"/>
            </w:pPr>
            <w:r/>
            <w:r>
              <w:rPr>
                <w:b w:val="0"/>
                <w:sz w:val="17"/>
              </w:rPr>
              <w:t>/v1/audit/access-history</w:t>
            </w:r>
          </w:p>
        </w:tc>
        <w:tc>
          <w:tcPr>
            <w:tcW w:type="dxa" w:w="3408"/>
            <w:vAlign w:val="center"/>
          </w:tcPr>
          <w:p>
            <w:pPr>
              <w:spacing w:after="0"/>
            </w:pPr>
            <w:r/>
            <w:r>
              <w:rPr>
                <w:b w:val="0"/>
                <w:sz w:val="17"/>
              </w:rPr>
              <w:t>Authorized access audit view</w:t>
            </w:r>
          </w:p>
        </w:tc>
      </w:tr>
    </w:tbl>
    <w:p/>
    <w:p>
      <w:pPr>
        <w:pStyle w:val="Heading1"/>
      </w:pPr>
      <w:r>
        <w:t>19. Example Data Contracts</w:t>
      </w:r>
    </w:p>
    <w:p>
      <w:pPr>
        <w:pStyle w:val="Heading2"/>
      </w:pPr>
      <w:r>
        <w:t>19.1 Health event</w:t>
      </w:r>
    </w:p>
    <w:p>
      <w:pPr>
        <w:pStyle w:val="Code"/>
        <w:spacing w:after="80"/>
        <w:ind w:left="288"/>
      </w:pPr>
      <w:r>
        <w:t>{</w:t>
        <w:br/>
        <w:t xml:space="preserve">  "event_id": "evt_123",</w:t>
        <w:br/>
        <w:t xml:space="preserve">  "patient_id": "pat_456",</w:t>
        <w:br/>
        <w:t xml:space="preserve">  "event_type": "symptom",</w:t>
        <w:br/>
        <w:t xml:space="preserve">  "status": "reported",</w:t>
        <w:br/>
        <w:t xml:space="preserve">  "occurred_at": "2026-08-19T19:00:00+01:00",</w:t>
        <w:br/>
        <w:t xml:space="preserve">  "clinical_payload": {</w:t>
        <w:br/>
        <w:t xml:space="preserve">    "symptom": "breathing difficulty",</w:t>
        <w:br/>
        <w:t xml:space="preserve">    "duration_minutes": 20</w:t>
        <w:br/>
        <w:t xml:space="preserve">  },</w:t>
        <w:br/>
        <w:t xml:space="preserve">  "source": {</w:t>
        <w:br/>
        <w:t xml:space="preserve">    "type": "patient_self_report",</w:t>
        <w:br/>
        <w:t xml:space="preserve">    "session_id": "sess_789",</w:t>
        <w:br/>
        <w:t xml:space="preserve">    "message_id": "msg_001"</w:t>
        <w:br/>
        <w:t xml:space="preserve">  },</w:t>
        <w:br/>
        <w:t xml:space="preserve">  "provenance_id": "prov_001"</w:t>
        <w:br/>
        <w:t>}</w:t>
      </w:r>
    </w:p>
    <w:p>
      <w:pPr>
        <w:pStyle w:val="Heading2"/>
      </w:pPr>
      <w:r>
        <w:t>19.2 Retrieved-memory item</w:t>
      </w:r>
    </w:p>
    <w:p>
      <w:pPr>
        <w:pStyle w:val="Code"/>
        <w:spacing w:after="80"/>
        <w:ind w:left="288"/>
      </w:pPr>
      <w:r>
        <w:t>{</w:t>
        <w:br/>
        <w:t xml:space="preserve">  "memory_id": "mem_42",</w:t>
        <w:br/>
        <w:t xml:space="preserve">  "namespace": "health",</w:t>
        <w:br/>
        <w:t xml:space="preserve">  "summary": "Patient reported repeated evening wheeze episodes in June",</w:t>
        <w:br/>
        <w:t xml:space="preserve">  "source_event_ids": ["evt_1", "evt_8"],</w:t>
        <w:br/>
        <w:t xml:space="preserve">  "relevance": 0.91,</w:t>
        <w:br/>
        <w:t xml:space="preserve">  "recency": 0.64,</w:t>
        <w:br/>
        <w:t xml:space="preserve">  "status": "active"</w:t>
        <w:br/>
        <w:t>}</w:t>
      </w:r>
    </w:p>
    <w:p>
      <w:pPr>
        <w:pStyle w:val="Heading1"/>
      </w:pPr>
      <w:r>
        <w:t>20. Build Workflow by Team</w:t>
      </w:r>
    </w:p>
    <w:p>
      <w:pPr>
        <w:pStyle w:val="Heading2"/>
      </w:pPr>
      <w:r>
        <w:t>20.1 Product/UX</w:t>
      </w:r>
    </w:p>
    <w:p>
      <w:pPr>
        <w:pStyle w:val="ListBullet"/>
        <w:spacing w:after="40"/>
      </w:pPr>
      <w:r>
        <w:t>Define patient onboarding, chat, timeline, memory visibility and access-sharing screens.</w:t>
      </w:r>
    </w:p>
    <w:p>
      <w:pPr>
        <w:pStyle w:val="ListBullet"/>
        <w:spacing w:after="40"/>
      </w:pPr>
      <w:r>
        <w:t>Define clinician roster, EMR matrix, evidence panel and verification actions.</w:t>
      </w:r>
    </w:p>
    <w:p>
      <w:pPr>
        <w:pStyle w:val="ListBullet"/>
        <w:spacing w:after="40"/>
      </w:pPr>
      <w:r>
        <w:t>Write user-facing privacy language in plain language.</w:t>
      </w:r>
    </w:p>
    <w:p>
      <w:pPr>
        <w:pStyle w:val="ListBullet"/>
        <w:spacing w:after="40"/>
      </w:pPr>
      <w:r>
        <w:t>Design failure states: no lease, expired lease, conflicting record, missing evidence, emergency escalation.</w:t>
      </w:r>
    </w:p>
    <w:p>
      <w:pPr>
        <w:pStyle w:val="Heading2"/>
      </w:pPr>
      <w:r>
        <w:t>20.2 Backend</w:t>
      </w:r>
    </w:p>
    <w:p>
      <w:pPr>
        <w:pStyle w:val="ListBullet"/>
        <w:spacing w:after="40"/>
      </w:pPr>
      <w:r>
        <w:t>Create PostgreSQL schema and migrations.</w:t>
      </w:r>
    </w:p>
    <w:p>
      <w:pPr>
        <w:pStyle w:val="ListBullet"/>
        <w:spacing w:after="40"/>
      </w:pPr>
      <w:r>
        <w:t>Implement authentication and lease authorization middleware.</w:t>
      </w:r>
    </w:p>
    <w:p>
      <w:pPr>
        <w:pStyle w:val="ListBullet"/>
        <w:spacing w:after="40"/>
      </w:pPr>
      <w:r>
        <w:t>Implement clinical event CRUD with lifecycle states.</w:t>
      </w:r>
    </w:p>
    <w:p>
      <w:pPr>
        <w:pStyle w:val="ListBullet"/>
        <w:spacing w:after="40"/>
      </w:pPr>
      <w:r>
        <w:t>Implement object storage signed URLs.</w:t>
      </w:r>
    </w:p>
    <w:p>
      <w:pPr>
        <w:pStyle w:val="ListBullet"/>
        <w:spacing w:after="40"/>
      </w:pPr>
      <w:r>
        <w:t>Implement queue workers for extraction/embedding/summarization.</w:t>
      </w:r>
    </w:p>
    <w:p>
      <w:pPr>
        <w:pStyle w:val="ListBullet"/>
        <w:spacing w:after="40"/>
      </w:pPr>
      <w:r>
        <w:t>Implement audit events on every protected operation.</w:t>
      </w:r>
    </w:p>
    <w:p>
      <w:pPr>
        <w:pStyle w:val="Heading2"/>
      </w:pPr>
      <w:r>
        <w:t>20.3 AI engineering</w:t>
      </w:r>
    </w:p>
    <w:p>
      <w:pPr>
        <w:pStyle w:val="ListBullet"/>
        <w:spacing w:after="40"/>
      </w:pPr>
      <w:r>
        <w:t>Build model gateway with model/version tracking.</w:t>
      </w:r>
    </w:p>
    <w:p>
      <w:pPr>
        <w:pStyle w:val="ListBullet"/>
        <w:spacing w:after="40"/>
      </w:pPr>
      <w:r>
        <w:t>Build prompt templates for patient AI and clinician AI as separate policies.</w:t>
      </w:r>
    </w:p>
    <w:p>
      <w:pPr>
        <w:pStyle w:val="ListBullet"/>
        <w:spacing w:after="40"/>
      </w:pPr>
      <w:r>
        <w:t>Build context router and token budgeting.</w:t>
      </w:r>
    </w:p>
    <w:p>
      <w:pPr>
        <w:pStyle w:val="ListBullet"/>
        <w:spacing w:after="40"/>
      </w:pPr>
      <w:r>
        <w:t>Build extraction schema and validation layer.</w:t>
      </w:r>
    </w:p>
    <w:p>
      <w:pPr>
        <w:pStyle w:val="ListBullet"/>
        <w:spacing w:after="40"/>
      </w:pPr>
      <w:r>
        <w:t>Build memory ranking and deduplication.</w:t>
      </w:r>
    </w:p>
    <w:p>
      <w:pPr>
        <w:pStyle w:val="ListBullet"/>
        <w:spacing w:after="40"/>
      </w:pPr>
      <w:r>
        <w:t>Build clinical-safety checks and evidence citation output.</w:t>
      </w:r>
    </w:p>
    <w:p>
      <w:pPr>
        <w:pStyle w:val="ListBullet"/>
        <w:spacing w:after="40"/>
      </w:pPr>
      <w:r>
        <w:t>Create evaluation datasets before optimizing prompts.</w:t>
      </w:r>
    </w:p>
    <w:p>
      <w:pPr>
        <w:pStyle w:val="Heading2"/>
      </w:pPr>
      <w:r>
        <w:t>20.4 Clinical validation</w:t>
      </w:r>
    </w:p>
    <w:p>
      <w:pPr>
        <w:pStyle w:val="ListBullet"/>
        <w:spacing w:after="40"/>
      </w:pPr>
      <w:r>
        <w:t>Define allowed AI behaviors and prohibited autonomous actions.</w:t>
      </w:r>
    </w:p>
    <w:p>
      <w:pPr>
        <w:pStyle w:val="ListBullet"/>
        <w:spacing w:after="40"/>
      </w:pPr>
      <w:r>
        <w:t>Review clinical event ontology and terminology mapping.</w:t>
      </w:r>
    </w:p>
    <w:p>
      <w:pPr>
        <w:pStyle w:val="ListBullet"/>
        <w:spacing w:after="40"/>
      </w:pPr>
      <w:r>
        <w:t>Create representative symptom/episode test cases.</w:t>
      </w:r>
    </w:p>
    <w:p>
      <w:pPr>
        <w:pStyle w:val="ListBullet"/>
        <w:spacing w:after="40"/>
      </w:pPr>
      <w:r>
        <w:t>Measure extraction sensitivity, false-positive rate, temporal accuracy and provenance correctness.</w:t>
      </w:r>
    </w:p>
    <w:p>
      <w:pPr>
        <w:pStyle w:val="ListBullet"/>
        <w:spacing w:after="40"/>
      </w:pPr>
      <w:r>
        <w:t>Approve clinician UI wording for uncertainty and evidence.</w:t>
      </w:r>
    </w:p>
    <w:p>
      <w:pPr>
        <w:pStyle w:val="Heading1"/>
      </w:pPr>
      <w:r>
        <w:t>21. MVP Implementation Phases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pPr>
              <w:spacing w:after="0"/>
            </w:pPr>
            <w:r/>
            <w:r>
              <w:rPr>
                <w:b/>
                <w:sz w:val="17"/>
              </w:rPr>
              <w:t>Phase</w:t>
            </w:r>
          </w:p>
        </w:tc>
        <w:tc>
          <w:tcPr>
            <w:tcW w:type="dxa" w:w="3408"/>
            <w:vAlign w:val="center"/>
            <w:shd w:fill="D9EAF7"/>
          </w:tcPr>
          <w:p>
            <w:pPr>
              <w:spacing w:after="0"/>
            </w:pPr>
            <w:r/>
            <w:r>
              <w:rPr>
                <w:b/>
                <w:sz w:val="17"/>
              </w:rPr>
              <w:t>Build</w:t>
            </w:r>
          </w:p>
        </w:tc>
        <w:tc>
          <w:tcPr>
            <w:tcW w:type="dxa" w:w="3408"/>
            <w:vAlign w:val="center"/>
            <w:shd w:fill="D9EAF7"/>
          </w:tcPr>
          <w:p>
            <w:pPr>
              <w:spacing w:after="0"/>
            </w:pPr>
            <w:r/>
            <w:r>
              <w:rPr>
                <w:b/>
                <w:sz w:val="17"/>
              </w:rPr>
              <w:t>Exit criteria</w:t>
            </w:r>
          </w:p>
        </w:tc>
      </w:tr>
      <w:tr>
        <w:tc>
          <w:tcPr>
            <w:tcW w:type="dxa" w:w="3408"/>
            <w:vAlign w:val="center"/>
          </w:tcPr>
          <w:p>
            <w:pPr>
              <w:spacing w:after="0"/>
            </w:pPr>
            <w:r/>
            <w:r>
              <w:rPr>
                <w:b w:val="0"/>
                <w:sz w:val="17"/>
              </w:rPr>
              <w:t>0 - Governance</w:t>
            </w:r>
          </w:p>
        </w:tc>
        <w:tc>
          <w:tcPr>
            <w:tcW w:type="dxa" w:w="3408"/>
            <w:vAlign w:val="center"/>
          </w:tcPr>
          <w:p>
            <w:pPr>
              <w:spacing w:after="0"/>
            </w:pPr>
            <w:r/>
            <w:r>
              <w:rPr>
                <w:b w:val="0"/>
                <w:sz w:val="17"/>
              </w:rPr>
              <w:t>privacy model, consent model, safety policy, clinical review</w:t>
            </w:r>
          </w:p>
        </w:tc>
        <w:tc>
          <w:tcPr>
            <w:tcW w:type="dxa" w:w="3408"/>
            <w:vAlign w:val="center"/>
          </w:tcPr>
          <w:p>
            <w:pPr>
              <w:spacing w:after="0"/>
            </w:pPr>
            <w:r/>
            <w:r>
              <w:rPr>
                <w:b w:val="0"/>
                <w:sz w:val="17"/>
              </w:rPr>
              <w:t>DPIA started; data classifications defined; emergency boundaries approved</w:t>
            </w:r>
          </w:p>
        </w:tc>
      </w:tr>
      <w:tr>
        <w:tc>
          <w:tcPr>
            <w:tcW w:type="dxa" w:w="3408"/>
            <w:vAlign w:val="center"/>
          </w:tcPr>
          <w:p>
            <w:pPr>
              <w:spacing w:after="0"/>
            </w:pPr>
            <w:r/>
            <w:r>
              <w:rPr>
                <w:b w:val="0"/>
                <w:sz w:val="17"/>
              </w:rPr>
              <w:t>1 - Patient core</w:t>
            </w:r>
          </w:p>
        </w:tc>
        <w:tc>
          <w:tcPr>
            <w:tcW w:type="dxa" w:w="3408"/>
            <w:vAlign w:val="center"/>
          </w:tcPr>
          <w:p>
            <w:pPr>
              <w:spacing w:after="0"/>
            </w:pPr>
            <w:r/>
            <w:r>
              <w:rPr>
                <w:b w:val="0"/>
                <w:sz w:val="17"/>
              </w:rPr>
              <w:t>auth, chat sessions, messages, profiles</w:t>
            </w:r>
          </w:p>
        </w:tc>
        <w:tc>
          <w:tcPr>
            <w:tcW w:type="dxa" w:w="3408"/>
            <w:vAlign w:val="center"/>
          </w:tcPr>
          <w:p>
            <w:pPr>
              <w:spacing w:after="0"/>
            </w:pPr>
            <w:r/>
            <w:r>
              <w:rPr>
                <w:b w:val="0"/>
                <w:sz w:val="17"/>
              </w:rPr>
              <w:t>Patient can chat; each conversation creates a new session</w:t>
            </w:r>
          </w:p>
        </w:tc>
      </w:tr>
      <w:tr>
        <w:tc>
          <w:tcPr>
            <w:tcW w:type="dxa" w:w="3408"/>
            <w:vAlign w:val="center"/>
          </w:tcPr>
          <w:p>
            <w:pPr>
              <w:spacing w:after="0"/>
            </w:pPr>
            <w:r/>
            <w:r>
              <w:rPr>
                <w:b w:val="0"/>
                <w:sz w:val="17"/>
              </w:rPr>
              <w:t>2 - Memory</w:t>
            </w:r>
          </w:p>
        </w:tc>
        <w:tc>
          <w:tcPr>
            <w:tcW w:type="dxa" w:w="3408"/>
            <w:vAlign w:val="center"/>
          </w:tcPr>
          <w:p>
            <w:pPr>
              <w:spacing w:after="0"/>
            </w:pPr>
            <w:r/>
            <w:r>
              <w:rPr>
                <w:b w:val="0"/>
                <w:sz w:val="17"/>
              </w:rPr>
              <w:t>personal/health namespaces, summaries, retrieval</w:t>
            </w:r>
          </w:p>
        </w:tc>
        <w:tc>
          <w:tcPr>
            <w:tcW w:type="dxa" w:w="3408"/>
            <w:vAlign w:val="center"/>
          </w:tcPr>
          <w:p>
            <w:pPr>
              <w:spacing w:after="0"/>
            </w:pPr>
            <w:r/>
            <w:r>
              <w:rPr>
                <w:b w:val="0"/>
                <w:sz w:val="17"/>
              </w:rPr>
              <w:t>New session can recall selected prior facts under token budget</w:t>
            </w:r>
          </w:p>
        </w:tc>
      </w:tr>
      <w:tr>
        <w:tc>
          <w:tcPr>
            <w:tcW w:type="dxa" w:w="3408"/>
            <w:vAlign w:val="center"/>
          </w:tcPr>
          <w:p>
            <w:pPr>
              <w:spacing w:after="0"/>
            </w:pPr>
            <w:r/>
            <w:r>
              <w:rPr>
                <w:b w:val="0"/>
                <w:sz w:val="17"/>
              </w:rPr>
              <w:t>3 - Clinical ledger</w:t>
            </w:r>
          </w:p>
        </w:tc>
        <w:tc>
          <w:tcPr>
            <w:tcW w:type="dxa" w:w="3408"/>
            <w:vAlign w:val="center"/>
          </w:tcPr>
          <w:p>
            <w:pPr>
              <w:spacing w:after="0"/>
            </w:pPr>
            <w:r/>
            <w:r>
              <w:rPr>
                <w:b w:val="0"/>
                <w:sz w:val="17"/>
              </w:rPr>
              <w:t>health events, timeline, documents, provenance</w:t>
            </w:r>
          </w:p>
        </w:tc>
        <w:tc>
          <w:tcPr>
            <w:tcW w:type="dxa" w:w="3408"/>
            <w:vAlign w:val="center"/>
          </w:tcPr>
          <w:p>
            <w:pPr>
              <w:spacing w:after="0"/>
            </w:pPr>
            <w:r/>
            <w:r>
              <w:rPr>
                <w:b w:val="0"/>
                <w:sz w:val="17"/>
              </w:rPr>
              <w:t>Patient can view durable health timeline with source labels</w:t>
            </w:r>
          </w:p>
        </w:tc>
      </w:tr>
      <w:tr>
        <w:tc>
          <w:tcPr>
            <w:tcW w:type="dxa" w:w="3408"/>
            <w:vAlign w:val="center"/>
          </w:tcPr>
          <w:p>
            <w:pPr>
              <w:spacing w:after="0"/>
            </w:pPr>
            <w:r/>
            <w:r>
              <w:rPr>
                <w:b w:val="0"/>
                <w:sz w:val="17"/>
              </w:rPr>
              <w:t>4 - Clinician</w:t>
            </w:r>
          </w:p>
        </w:tc>
        <w:tc>
          <w:tcPr>
            <w:tcW w:type="dxa" w:w="3408"/>
            <w:vAlign w:val="center"/>
          </w:tcPr>
          <w:p>
            <w:pPr>
              <w:spacing w:after="0"/>
            </w:pPr>
            <w:r/>
            <w:r>
              <w:rPr>
                <w:b w:val="0"/>
                <w:sz w:val="17"/>
              </w:rPr>
              <w:t>lease, clinician auth, roster, EMR matrix, verification</w:t>
            </w:r>
          </w:p>
        </w:tc>
        <w:tc>
          <w:tcPr>
            <w:tcW w:type="dxa" w:w="3408"/>
            <w:vAlign w:val="center"/>
          </w:tcPr>
          <w:p>
            <w:pPr>
              <w:spacing w:after="0"/>
            </w:pPr>
            <w:r/>
            <w:r>
              <w:rPr>
                <w:b w:val="0"/>
                <w:sz w:val="17"/>
              </w:rPr>
              <w:t>Doctor sees only leased Health Context</w:t>
            </w:r>
          </w:p>
        </w:tc>
      </w:tr>
      <w:tr>
        <w:tc>
          <w:tcPr>
            <w:tcW w:type="dxa" w:w="3408"/>
            <w:vAlign w:val="center"/>
          </w:tcPr>
          <w:p>
            <w:pPr>
              <w:spacing w:after="0"/>
            </w:pPr>
            <w:r/>
            <w:r>
              <w:rPr>
                <w:b w:val="0"/>
                <w:sz w:val="17"/>
              </w:rPr>
              <w:t>5 - AI clinical assist</w:t>
            </w:r>
          </w:p>
        </w:tc>
        <w:tc>
          <w:tcPr>
            <w:tcW w:type="dxa" w:w="3408"/>
            <w:vAlign w:val="center"/>
          </w:tcPr>
          <w:p>
            <w:pPr>
              <w:spacing w:after="0"/>
            </w:pPr>
            <w:r/>
            <w:r>
              <w:rPr>
                <w:b w:val="0"/>
                <w:sz w:val="17"/>
              </w:rPr>
              <w:t>summaries, hypotheses, evidence retrieval</w:t>
            </w:r>
          </w:p>
        </w:tc>
        <w:tc>
          <w:tcPr>
            <w:tcW w:type="dxa" w:w="3408"/>
            <w:vAlign w:val="center"/>
          </w:tcPr>
          <w:p>
            <w:pPr>
              <w:spacing w:after="0"/>
            </w:pPr>
            <w:r/>
            <w:r>
              <w:rPr>
                <w:b w:val="0"/>
                <w:sz w:val="17"/>
              </w:rPr>
              <w:t>Clinician can question AI and verify/correct events</w:t>
            </w:r>
          </w:p>
        </w:tc>
      </w:tr>
      <w:tr>
        <w:tc>
          <w:tcPr>
            <w:tcW w:type="dxa" w:w="3408"/>
            <w:vAlign w:val="center"/>
          </w:tcPr>
          <w:p>
            <w:pPr>
              <w:spacing w:after="0"/>
            </w:pPr>
            <w:r/>
            <w:r>
              <w:rPr>
                <w:b w:val="0"/>
                <w:sz w:val="17"/>
              </w:rPr>
              <w:t>6 - Claims/FHIR</w:t>
            </w:r>
          </w:p>
        </w:tc>
        <w:tc>
          <w:tcPr>
            <w:tcW w:type="dxa" w:w="3408"/>
            <w:vAlign w:val="center"/>
          </w:tcPr>
          <w:p>
            <w:pPr>
              <w:spacing w:after="0"/>
            </w:pPr>
            <w:r/>
            <w:r>
              <w:rPr>
                <w:b w:val="0"/>
                <w:sz w:val="17"/>
              </w:rPr>
              <w:t>FHIR mapping, claims preview/export, audit</w:t>
            </w:r>
          </w:p>
        </w:tc>
        <w:tc>
          <w:tcPr>
            <w:tcW w:type="dxa" w:w="3408"/>
            <w:vAlign w:val="center"/>
          </w:tcPr>
          <w:p>
            <w:pPr>
              <w:spacing w:after="0"/>
            </w:pPr>
            <w:r/>
            <w:r>
              <w:rPr>
                <w:b w:val="0"/>
                <w:sz w:val="17"/>
              </w:rPr>
              <w:t>Export uses verified clinical data only</w:t>
            </w:r>
          </w:p>
        </w:tc>
      </w:tr>
      <w:tr>
        <w:tc>
          <w:tcPr>
            <w:tcW w:type="dxa" w:w="3408"/>
            <w:vAlign w:val="center"/>
          </w:tcPr>
          <w:p>
            <w:pPr>
              <w:spacing w:after="0"/>
            </w:pPr>
            <w:r/>
            <w:r>
              <w:rPr>
                <w:b w:val="0"/>
                <w:sz w:val="17"/>
              </w:rPr>
              <w:t>7 - Hardening</w:t>
            </w:r>
          </w:p>
        </w:tc>
        <w:tc>
          <w:tcPr>
            <w:tcW w:type="dxa" w:w="3408"/>
            <w:vAlign w:val="center"/>
          </w:tcPr>
          <w:p>
            <w:pPr>
              <w:spacing w:after="0"/>
            </w:pPr>
            <w:r/>
            <w:r>
              <w:rPr>
                <w:b w:val="0"/>
                <w:sz w:val="17"/>
              </w:rPr>
              <w:t>security tests, privacy tests, performance, clinical QA</w:t>
            </w:r>
          </w:p>
        </w:tc>
        <w:tc>
          <w:tcPr>
            <w:tcW w:type="dxa" w:w="3408"/>
            <w:vAlign w:val="center"/>
          </w:tcPr>
          <w:p>
            <w:pPr>
              <w:spacing w:after="0"/>
            </w:pPr>
            <w:r/>
            <w:r>
              <w:rPr>
                <w:b w:val="0"/>
                <w:sz w:val="17"/>
              </w:rPr>
              <w:t>Release criteria passed; audit and incident workflows operational</w:t>
            </w:r>
          </w:p>
        </w:tc>
      </w:tr>
    </w:tbl>
    <w:p/>
    <w:p>
      <w:pPr>
        <w:pStyle w:val="Heading1"/>
      </w:pPr>
      <w:r>
        <w:t>22. Acceptance Criteria for a Working MVP</w:t>
      </w:r>
    </w:p>
    <w:p>
      <w:pPr>
        <w:pStyle w:val="ListBullet"/>
        <w:spacing w:after="40"/>
      </w:pPr>
      <w:r>
        <w:t>AC-01: Every new patient conversation has a unique session_id and can be closed independently.</w:t>
      </w:r>
    </w:p>
    <w:p>
      <w:pPr>
        <w:pStyle w:val="ListBullet"/>
        <w:spacing w:after="40"/>
      </w:pPr>
      <w:r>
        <w:t>AC-02: The system can answer a relevant continuity question from prior sessions without sending the full historical transcript.</w:t>
      </w:r>
    </w:p>
    <w:p>
      <w:pPr>
        <w:pStyle w:val="ListBullet"/>
        <w:spacing w:after="40"/>
      </w:pPr>
      <w:r>
        <w:t>AC-03: A personal-memory retrieval request from clinician context returns zero personal records by architecture, not merely by prompt instruction.</w:t>
      </w:r>
    </w:p>
    <w:p>
      <w:pPr>
        <w:pStyle w:val="ListBullet"/>
        <w:spacing w:after="40"/>
      </w:pPr>
      <w:r>
        <w:t>AC-04: A patient symptom is stored as a reported event with source message and timestamp.</w:t>
      </w:r>
    </w:p>
    <w:p>
      <w:pPr>
        <w:pStyle w:val="ListBullet"/>
        <w:spacing w:after="40"/>
      </w:pPr>
      <w:r>
        <w:t>AC-05: AI-generated hypotheses are visually and structurally distinct from confirmed clinician/lab evidence.</w:t>
      </w:r>
    </w:p>
    <w:p>
      <w:pPr>
        <w:pStyle w:val="ListBullet"/>
        <w:spacing w:after="40"/>
      </w:pPr>
      <w:r>
        <w:t>AC-06: A clinician cannot access a patient record without an active lease and authenticated identity.</w:t>
      </w:r>
    </w:p>
    <w:p>
      <w:pPr>
        <w:pStyle w:val="ListBullet"/>
        <w:spacing w:after="40"/>
      </w:pPr>
      <w:r>
        <w:t>AC-07: Lease expiry immediately blocks clinical reads/writes.</w:t>
      </w:r>
    </w:p>
    <w:p>
      <w:pPr>
        <w:pStyle w:val="ListBullet"/>
        <w:spacing w:after="40"/>
      </w:pPr>
      <w:r>
        <w:t>AC-08: Every sensitive read/export/write produces an audit record.</w:t>
      </w:r>
    </w:p>
    <w:p>
      <w:pPr>
        <w:pStyle w:val="ListBullet"/>
        <w:spacing w:after="40"/>
      </w:pPr>
      <w:r>
        <w:t>AC-09: Clinician verification creates a provenance-bearing status transition rather than mutating the original self-report.</w:t>
      </w:r>
    </w:p>
    <w:p>
      <w:pPr>
        <w:pStyle w:val="ListBullet"/>
        <w:spacing w:after="40"/>
      </w:pPr>
      <w:r>
        <w:t>AC-10: Claims export excludes personal diary, raw chat and unverified AI hypotheses.</w:t>
      </w:r>
    </w:p>
    <w:p>
      <w:pPr>
        <w:pStyle w:val="ListBullet"/>
        <w:spacing w:after="40"/>
      </w:pPr>
      <w:r>
        <w:t>AC-11: Patient can see who accessed their Health Context and when.</w:t>
      </w:r>
    </w:p>
    <w:p>
      <w:pPr>
        <w:pStyle w:val="ListBullet"/>
        <w:spacing w:after="40"/>
      </w:pPr>
      <w:r>
        <w:t>AC-12: Context packet generation obeys a measurable token budget and reports which memory tiers were used.</w:t>
      </w:r>
    </w:p>
    <w:p>
      <w:pPr>
        <w:pStyle w:val="ListBullet"/>
        <w:spacing w:after="40"/>
      </w:pPr>
      <w:r>
        <w:t>AC-13: Contradictory health facts are flagged rather than silently overwritten.</w:t>
      </w:r>
    </w:p>
    <w:p>
      <w:pPr>
        <w:pStyle w:val="ListBullet"/>
        <w:spacing w:after="40"/>
      </w:pPr>
      <w:r>
        <w:t>AC-14: Emergency/red-flag scenarios trigger the defined safety pathway instead of ordinary conversational continuation.</w:t>
      </w:r>
    </w:p>
    <w:p>
      <w:pPr>
        <w:pStyle w:val="ListBullet"/>
        <w:spacing w:after="40"/>
      </w:pPr>
      <w:r>
        <w:t>AC-15: FHIR output validates against the chosen FHIR R4 profiles for supported resources.</w:t>
      </w:r>
    </w:p>
    <w:p>
      <w:pPr>
        <w:pStyle w:val="Heading1"/>
      </w:pPr>
      <w:r>
        <w:t>23. AI Evaluation &amp; Observability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pPr>
              <w:spacing w:after="0"/>
            </w:pPr>
            <w:r/>
            <w:r>
              <w:rPr>
                <w:b/>
                <w:sz w:val="17"/>
              </w:rPr>
              <w:t>Metric</w:t>
            </w:r>
          </w:p>
        </w:tc>
        <w:tc>
          <w:tcPr>
            <w:tcW w:type="dxa" w:w="3408"/>
            <w:vAlign w:val="center"/>
            <w:shd w:fill="D9EAF7"/>
          </w:tcPr>
          <w:p>
            <w:pPr>
              <w:spacing w:after="0"/>
            </w:pPr>
            <w:r/>
            <w:r>
              <w:rPr>
                <w:b/>
                <w:sz w:val="17"/>
              </w:rPr>
              <w:t>What to measure</w:t>
            </w:r>
          </w:p>
        </w:tc>
        <w:tc>
          <w:tcPr>
            <w:tcW w:type="dxa" w:w="3408"/>
            <w:vAlign w:val="center"/>
            <w:shd w:fill="D9EAF7"/>
          </w:tcPr>
          <w:p>
            <w:pPr>
              <w:spacing w:after="0"/>
            </w:pPr>
            <w:r/>
            <w:r>
              <w:rPr>
                <w:b/>
                <w:sz w:val="17"/>
              </w:rPr>
              <w:t>Target direction</w:t>
            </w:r>
          </w:p>
        </w:tc>
      </w:tr>
      <w:tr>
        <w:tc>
          <w:tcPr>
            <w:tcW w:type="dxa" w:w="3408"/>
            <w:vAlign w:val="center"/>
          </w:tcPr>
          <w:p>
            <w:pPr>
              <w:spacing w:after="0"/>
            </w:pPr>
            <w:r/>
            <w:r>
              <w:rPr>
                <w:b w:val="0"/>
                <w:sz w:val="17"/>
              </w:rPr>
              <w:t>Memory precision</w:t>
            </w:r>
          </w:p>
        </w:tc>
        <w:tc>
          <w:tcPr>
            <w:tcW w:type="dxa" w:w="3408"/>
            <w:vAlign w:val="center"/>
          </w:tcPr>
          <w:p>
            <w:pPr>
              <w:spacing w:after="0"/>
            </w:pPr>
            <w:r/>
            <w:r>
              <w:rPr>
                <w:b w:val="0"/>
                <w:sz w:val="17"/>
              </w:rPr>
              <w:t>Retrieved memories actually useful to current turn</w:t>
            </w:r>
          </w:p>
        </w:tc>
        <w:tc>
          <w:tcPr>
            <w:tcW w:type="dxa" w:w="3408"/>
            <w:vAlign w:val="center"/>
          </w:tcPr>
          <w:p>
            <w:pPr>
              <w:spacing w:after="0"/>
            </w:pPr>
            <w:r/>
            <w:r>
              <w:rPr>
                <w:b w:val="0"/>
                <w:sz w:val="17"/>
              </w:rPr>
              <w:t>High</w:t>
            </w:r>
          </w:p>
        </w:tc>
      </w:tr>
      <w:tr>
        <w:tc>
          <w:tcPr>
            <w:tcW w:type="dxa" w:w="3408"/>
            <w:vAlign w:val="center"/>
          </w:tcPr>
          <w:p>
            <w:pPr>
              <w:spacing w:after="0"/>
            </w:pPr>
            <w:r/>
            <w:r>
              <w:rPr>
                <w:b w:val="0"/>
                <w:sz w:val="17"/>
              </w:rPr>
              <w:t>Memory recall</w:t>
            </w:r>
          </w:p>
        </w:tc>
        <w:tc>
          <w:tcPr>
            <w:tcW w:type="dxa" w:w="3408"/>
            <w:vAlign w:val="center"/>
          </w:tcPr>
          <w:p>
            <w:pPr>
              <w:spacing w:after="0"/>
            </w:pPr>
            <w:r/>
            <w:r>
              <w:rPr>
                <w:b w:val="0"/>
                <w:sz w:val="17"/>
              </w:rPr>
              <w:t>Relevant durable facts successfully retrieved</w:t>
            </w:r>
          </w:p>
        </w:tc>
        <w:tc>
          <w:tcPr>
            <w:tcW w:type="dxa" w:w="3408"/>
            <w:vAlign w:val="center"/>
          </w:tcPr>
          <w:p>
            <w:pPr>
              <w:spacing w:after="0"/>
            </w:pPr>
            <w:r/>
            <w:r>
              <w:rPr>
                <w:b w:val="0"/>
                <w:sz w:val="17"/>
              </w:rPr>
              <w:t>High</w:t>
            </w:r>
          </w:p>
        </w:tc>
      </w:tr>
      <w:tr>
        <w:tc>
          <w:tcPr>
            <w:tcW w:type="dxa" w:w="3408"/>
            <w:vAlign w:val="center"/>
          </w:tcPr>
          <w:p>
            <w:pPr>
              <w:spacing w:after="0"/>
            </w:pPr>
            <w:r/>
            <w:r>
              <w:rPr>
                <w:b w:val="0"/>
                <w:sz w:val="17"/>
              </w:rPr>
              <w:t>Token efficiency</w:t>
            </w:r>
          </w:p>
        </w:tc>
        <w:tc>
          <w:tcPr>
            <w:tcW w:type="dxa" w:w="3408"/>
            <w:vAlign w:val="center"/>
          </w:tcPr>
          <w:p>
            <w:pPr>
              <w:spacing w:after="0"/>
            </w:pPr>
            <w:r/>
            <w:r>
              <w:rPr>
                <w:b w:val="0"/>
                <w:sz w:val="17"/>
              </w:rPr>
              <w:t>Tokens used per response vs. full-history baseline</w:t>
            </w:r>
          </w:p>
        </w:tc>
        <w:tc>
          <w:tcPr>
            <w:tcW w:type="dxa" w:w="3408"/>
            <w:vAlign w:val="center"/>
          </w:tcPr>
          <w:p>
            <w:pPr>
              <w:spacing w:after="0"/>
            </w:pPr>
            <w:r/>
            <w:r>
              <w:rPr>
                <w:b w:val="0"/>
                <w:sz w:val="17"/>
              </w:rPr>
              <w:t>Low</w:t>
            </w:r>
          </w:p>
        </w:tc>
      </w:tr>
      <w:tr>
        <w:tc>
          <w:tcPr>
            <w:tcW w:type="dxa" w:w="3408"/>
            <w:vAlign w:val="center"/>
          </w:tcPr>
          <w:p>
            <w:pPr>
              <w:spacing w:after="0"/>
            </w:pPr>
            <w:r/>
            <w:r>
              <w:rPr>
                <w:b w:val="0"/>
                <w:sz w:val="17"/>
              </w:rPr>
              <w:t>Clinical extraction precision</w:t>
            </w:r>
          </w:p>
        </w:tc>
        <w:tc>
          <w:tcPr>
            <w:tcW w:type="dxa" w:w="3408"/>
            <w:vAlign w:val="center"/>
          </w:tcPr>
          <w:p>
            <w:pPr>
              <w:spacing w:after="0"/>
            </w:pPr>
            <w:r/>
            <w:r>
              <w:rPr>
                <w:b w:val="0"/>
                <w:sz w:val="17"/>
              </w:rPr>
              <w:t>Extracted health events are truly clinical</w:t>
            </w:r>
          </w:p>
        </w:tc>
        <w:tc>
          <w:tcPr>
            <w:tcW w:type="dxa" w:w="3408"/>
            <w:vAlign w:val="center"/>
          </w:tcPr>
          <w:p>
            <w:pPr>
              <w:spacing w:after="0"/>
            </w:pPr>
            <w:r/>
            <w:r>
              <w:rPr>
                <w:b w:val="0"/>
                <w:sz w:val="17"/>
              </w:rPr>
              <w:t>High</w:t>
            </w:r>
          </w:p>
        </w:tc>
      </w:tr>
      <w:tr>
        <w:tc>
          <w:tcPr>
            <w:tcW w:type="dxa" w:w="3408"/>
            <w:vAlign w:val="center"/>
          </w:tcPr>
          <w:p>
            <w:pPr>
              <w:spacing w:after="0"/>
            </w:pPr>
            <w:r/>
            <w:r>
              <w:rPr>
                <w:b w:val="0"/>
                <w:sz w:val="17"/>
              </w:rPr>
              <w:t>Clinical extraction recall</w:t>
            </w:r>
          </w:p>
        </w:tc>
        <w:tc>
          <w:tcPr>
            <w:tcW w:type="dxa" w:w="3408"/>
            <w:vAlign w:val="center"/>
          </w:tcPr>
          <w:p>
            <w:pPr>
              <w:spacing w:after="0"/>
            </w:pPr>
            <w:r/>
            <w:r>
              <w:rPr>
                <w:b w:val="0"/>
                <w:sz w:val="17"/>
              </w:rPr>
              <w:t>Important health events not missed</w:t>
            </w:r>
          </w:p>
        </w:tc>
        <w:tc>
          <w:tcPr>
            <w:tcW w:type="dxa" w:w="3408"/>
            <w:vAlign w:val="center"/>
          </w:tcPr>
          <w:p>
            <w:pPr>
              <w:spacing w:after="0"/>
            </w:pPr>
            <w:r/>
            <w:r>
              <w:rPr>
                <w:b w:val="0"/>
                <w:sz w:val="17"/>
              </w:rPr>
              <w:t>High</w:t>
            </w:r>
          </w:p>
        </w:tc>
      </w:tr>
      <w:tr>
        <w:tc>
          <w:tcPr>
            <w:tcW w:type="dxa" w:w="3408"/>
            <w:vAlign w:val="center"/>
          </w:tcPr>
          <w:p>
            <w:pPr>
              <w:spacing w:after="0"/>
            </w:pPr>
            <w:r/>
            <w:r>
              <w:rPr>
                <w:b w:val="0"/>
                <w:sz w:val="17"/>
              </w:rPr>
              <w:t>Temporal accuracy</w:t>
            </w:r>
          </w:p>
        </w:tc>
        <w:tc>
          <w:tcPr>
            <w:tcW w:type="dxa" w:w="3408"/>
            <w:vAlign w:val="center"/>
          </w:tcPr>
          <w:p>
            <w:pPr>
              <w:spacing w:after="0"/>
            </w:pPr>
            <w:r/>
            <w:r>
              <w:rPr>
                <w:b w:val="0"/>
                <w:sz w:val="17"/>
              </w:rPr>
              <w:t>Correct onset/duration/time relationships</w:t>
            </w:r>
          </w:p>
        </w:tc>
        <w:tc>
          <w:tcPr>
            <w:tcW w:type="dxa" w:w="3408"/>
            <w:vAlign w:val="center"/>
          </w:tcPr>
          <w:p>
            <w:pPr>
              <w:spacing w:after="0"/>
            </w:pPr>
            <w:r/>
            <w:r>
              <w:rPr>
                <w:b w:val="0"/>
                <w:sz w:val="17"/>
              </w:rPr>
              <w:t>High</w:t>
            </w:r>
          </w:p>
        </w:tc>
      </w:tr>
      <w:tr>
        <w:tc>
          <w:tcPr>
            <w:tcW w:type="dxa" w:w="3408"/>
            <w:vAlign w:val="center"/>
          </w:tcPr>
          <w:p>
            <w:pPr>
              <w:spacing w:after="0"/>
            </w:pPr>
            <w:r/>
            <w:r>
              <w:rPr>
                <w:b w:val="0"/>
                <w:sz w:val="17"/>
              </w:rPr>
              <w:t>Provenance completeness</w:t>
            </w:r>
          </w:p>
        </w:tc>
        <w:tc>
          <w:tcPr>
            <w:tcW w:type="dxa" w:w="3408"/>
            <w:vAlign w:val="center"/>
          </w:tcPr>
          <w:p>
            <w:pPr>
              <w:spacing w:after="0"/>
            </w:pPr>
            <w:r/>
            <w:r>
              <w:rPr>
                <w:b w:val="0"/>
                <w:sz w:val="17"/>
              </w:rPr>
              <w:t>Clinical facts have source references</w:t>
            </w:r>
          </w:p>
        </w:tc>
        <w:tc>
          <w:tcPr>
            <w:tcW w:type="dxa" w:w="3408"/>
            <w:vAlign w:val="center"/>
          </w:tcPr>
          <w:p>
            <w:pPr>
              <w:spacing w:after="0"/>
            </w:pPr>
            <w:r/>
            <w:r>
              <w:rPr>
                <w:b w:val="0"/>
                <w:sz w:val="17"/>
              </w:rPr>
              <w:t>100% for durable clinical records</w:t>
            </w:r>
          </w:p>
        </w:tc>
      </w:tr>
      <w:tr>
        <w:tc>
          <w:tcPr>
            <w:tcW w:type="dxa" w:w="3408"/>
            <w:vAlign w:val="center"/>
          </w:tcPr>
          <w:p>
            <w:pPr>
              <w:spacing w:after="0"/>
            </w:pPr>
            <w:r/>
            <w:r>
              <w:rPr>
                <w:b w:val="0"/>
                <w:sz w:val="17"/>
              </w:rPr>
              <w:t>Privacy leakage rate</w:t>
            </w:r>
          </w:p>
        </w:tc>
        <w:tc>
          <w:tcPr>
            <w:tcW w:type="dxa" w:w="3408"/>
            <w:vAlign w:val="center"/>
          </w:tcPr>
          <w:p>
            <w:pPr>
              <w:spacing w:after="0"/>
            </w:pPr>
            <w:r/>
            <w:r>
              <w:rPr>
                <w:b w:val="0"/>
                <w:sz w:val="17"/>
              </w:rPr>
              <w:t>Personal facts appearing in clinician context</w:t>
            </w:r>
          </w:p>
        </w:tc>
        <w:tc>
          <w:tcPr>
            <w:tcW w:type="dxa" w:w="3408"/>
            <w:vAlign w:val="center"/>
          </w:tcPr>
          <w:p>
            <w:pPr>
              <w:spacing w:after="0"/>
            </w:pPr>
            <w:r/>
            <w:r>
              <w:rPr>
                <w:b w:val="0"/>
                <w:sz w:val="17"/>
              </w:rPr>
              <w:t>0</w:t>
            </w:r>
          </w:p>
        </w:tc>
      </w:tr>
      <w:tr>
        <w:tc>
          <w:tcPr>
            <w:tcW w:type="dxa" w:w="3408"/>
            <w:vAlign w:val="center"/>
          </w:tcPr>
          <w:p>
            <w:pPr>
              <w:spacing w:after="0"/>
            </w:pPr>
            <w:r/>
            <w:r>
              <w:rPr>
                <w:b w:val="0"/>
                <w:sz w:val="17"/>
              </w:rPr>
              <w:t>Hallucination rate</w:t>
            </w:r>
          </w:p>
        </w:tc>
        <w:tc>
          <w:tcPr>
            <w:tcW w:type="dxa" w:w="3408"/>
            <w:vAlign w:val="center"/>
          </w:tcPr>
          <w:p>
            <w:pPr>
              <w:spacing w:after="0"/>
            </w:pPr>
            <w:r/>
            <w:r>
              <w:rPr>
                <w:b w:val="0"/>
                <w:sz w:val="17"/>
              </w:rPr>
              <w:t>Unsupported clinical claims</w:t>
            </w:r>
          </w:p>
        </w:tc>
        <w:tc>
          <w:tcPr>
            <w:tcW w:type="dxa" w:w="3408"/>
            <w:vAlign w:val="center"/>
          </w:tcPr>
          <w:p>
            <w:pPr>
              <w:spacing w:after="0"/>
            </w:pPr>
            <w:r/>
            <w:r>
              <w:rPr>
                <w:b w:val="0"/>
                <w:sz w:val="17"/>
              </w:rPr>
              <w:t>Near zero / strict acceptance threshold</w:t>
            </w:r>
          </w:p>
        </w:tc>
      </w:tr>
      <w:tr>
        <w:tc>
          <w:tcPr>
            <w:tcW w:type="dxa" w:w="3408"/>
            <w:vAlign w:val="center"/>
          </w:tcPr>
          <w:p>
            <w:pPr>
              <w:spacing w:after="0"/>
            </w:pPr>
            <w:r/>
            <w:r>
              <w:rPr>
                <w:b w:val="0"/>
                <w:sz w:val="17"/>
              </w:rPr>
              <w:t>Lease enforcement</w:t>
            </w:r>
          </w:p>
        </w:tc>
        <w:tc>
          <w:tcPr>
            <w:tcW w:type="dxa" w:w="3408"/>
            <w:vAlign w:val="center"/>
          </w:tcPr>
          <w:p>
            <w:pPr>
              <w:spacing w:after="0"/>
            </w:pPr>
            <w:r/>
            <w:r>
              <w:rPr>
                <w:b w:val="0"/>
                <w:sz w:val="17"/>
              </w:rPr>
              <w:t>Unauthorized requests blocked</w:t>
            </w:r>
          </w:p>
        </w:tc>
        <w:tc>
          <w:tcPr>
            <w:tcW w:type="dxa" w:w="3408"/>
            <w:vAlign w:val="center"/>
          </w:tcPr>
          <w:p>
            <w:pPr>
              <w:spacing w:after="0"/>
            </w:pPr>
            <w:r/>
            <w:r>
              <w:rPr>
                <w:b w:val="0"/>
                <w:sz w:val="17"/>
              </w:rPr>
              <w:t>100%</w:t>
            </w:r>
          </w:p>
        </w:tc>
      </w:tr>
      <w:tr>
        <w:tc>
          <w:tcPr>
            <w:tcW w:type="dxa" w:w="3408"/>
            <w:vAlign w:val="center"/>
          </w:tcPr>
          <w:p>
            <w:pPr>
              <w:spacing w:after="0"/>
            </w:pPr>
            <w:r/>
            <w:r>
              <w:rPr>
                <w:b w:val="0"/>
                <w:sz w:val="17"/>
              </w:rPr>
              <w:t>Audit completeness</w:t>
            </w:r>
          </w:p>
        </w:tc>
        <w:tc>
          <w:tcPr>
            <w:tcW w:type="dxa" w:w="3408"/>
            <w:vAlign w:val="center"/>
          </w:tcPr>
          <w:p>
            <w:pPr>
              <w:spacing w:after="0"/>
            </w:pPr>
            <w:r/>
            <w:r>
              <w:rPr>
                <w:b w:val="0"/>
                <w:sz w:val="17"/>
              </w:rPr>
              <w:t>Protected operations represented in audit trail</w:t>
            </w:r>
          </w:p>
        </w:tc>
        <w:tc>
          <w:tcPr>
            <w:tcW w:type="dxa" w:w="3408"/>
            <w:vAlign w:val="center"/>
          </w:tcPr>
          <w:p>
            <w:pPr>
              <w:spacing w:after="0"/>
            </w:pPr>
            <w:r/>
            <w:r>
              <w:rPr>
                <w:b w:val="0"/>
                <w:sz w:val="17"/>
              </w:rPr>
              <w:t>100%</w:t>
            </w:r>
          </w:p>
        </w:tc>
      </w:tr>
      <w:tr>
        <w:tc>
          <w:tcPr>
            <w:tcW w:type="dxa" w:w="3408"/>
            <w:vAlign w:val="center"/>
          </w:tcPr>
          <w:p>
            <w:pPr>
              <w:spacing w:after="0"/>
            </w:pPr>
            <w:r/>
            <w:r>
              <w:rPr>
                <w:b w:val="0"/>
                <w:sz w:val="17"/>
              </w:rPr>
              <w:t>Conversation naturalness</w:t>
            </w:r>
          </w:p>
        </w:tc>
        <w:tc>
          <w:tcPr>
            <w:tcW w:type="dxa" w:w="3408"/>
            <w:vAlign w:val="center"/>
          </w:tcPr>
          <w:p>
            <w:pPr>
              <w:spacing w:after="0"/>
            </w:pPr>
            <w:r/>
            <w:r>
              <w:rPr>
                <w:b w:val="0"/>
                <w:sz w:val="17"/>
              </w:rPr>
              <w:t>Unnecessary questions per health conversation</w:t>
            </w:r>
          </w:p>
        </w:tc>
        <w:tc>
          <w:tcPr>
            <w:tcW w:type="dxa" w:w="3408"/>
            <w:vAlign w:val="center"/>
          </w:tcPr>
          <w:p>
            <w:pPr>
              <w:spacing w:after="0"/>
            </w:pPr>
            <w:r/>
            <w:r>
              <w:rPr>
                <w:b w:val="0"/>
                <w:sz w:val="17"/>
              </w:rPr>
              <w:t>Low while preserving safety</w:t>
            </w:r>
          </w:p>
        </w:tc>
      </w:tr>
    </w:tbl>
    <w:p/>
    <w:p>
      <w:pPr>
        <w:pStyle w:val="Heading1"/>
      </w:pPr>
      <w:r>
        <w:t>24. Failure Handling</w:t>
      </w:r>
    </w:p>
    <w:p>
      <w:pPr>
        <w:pStyle w:val="ListBullet"/>
        <w:spacing w:after="40"/>
      </w:pPr>
      <w:r>
        <w:t>LLM unavailable: patient can still view timeline and record raw notes; send a clear temporary-unavailable response.</w:t>
      </w:r>
    </w:p>
    <w:p>
      <w:pPr>
        <w:pStyle w:val="ListBullet"/>
        <w:spacing w:after="40"/>
      </w:pPr>
      <w:r>
        <w:t>Embedding service unavailable: fall back to structured retrieval/recent summaries; queue vector indexing for later.</w:t>
      </w:r>
    </w:p>
    <w:p>
      <w:pPr>
        <w:pStyle w:val="ListBullet"/>
        <w:spacing w:after="40"/>
      </w:pPr>
      <w:r>
        <w:t>Extraction model unavailable: preserve raw chat and mark extraction pending; never lose the source message.</w:t>
      </w:r>
    </w:p>
    <w:p>
      <w:pPr>
        <w:pStyle w:val="ListBullet"/>
        <w:spacing w:after="40"/>
      </w:pPr>
      <w:r>
        <w:t>Data conflict: show conflict state and source hierarchy; do not silently pick one.</w:t>
      </w:r>
    </w:p>
    <w:p>
      <w:pPr>
        <w:pStyle w:val="ListBullet"/>
        <w:spacing w:after="40"/>
      </w:pPr>
      <w:r>
        <w:t>Lease expired mid-session: allow safe UI closure but block protected reads/writes until renewed.</w:t>
      </w:r>
    </w:p>
    <w:p>
      <w:pPr>
        <w:pStyle w:val="ListBullet"/>
        <w:spacing w:after="40"/>
      </w:pPr>
      <w:r>
        <w:t>Unknown clinical terminology: store raw concept + unresolved coding status; do not invent a code.</w:t>
      </w:r>
    </w:p>
    <w:p>
      <w:pPr>
        <w:pStyle w:val="ListBullet"/>
        <w:spacing w:after="40"/>
      </w:pPr>
      <w:r>
        <w:t>Unsafe health request: safety policy can interrupt normal conversational behavior and direct appropriate care/escalation.</w:t>
      </w:r>
    </w:p>
    <w:p>
      <w:pPr>
        <w:pStyle w:val="Heading1"/>
      </w:pPr>
      <w:r>
        <w:t>25. What “Memory” Means in Mhistree</w:t>
      </w:r>
    </w:p>
    <w:p>
      <w:pPr>
        <w:spacing w:after="100" w:line="259" w:lineRule="auto"/>
      </w:pPr>
      <w:r>
        <w:t>Mhistree memory is not one database and it is not the chat transcript. It is a controlled hierarchy of representations: raw evidence, structured clinical facts, episodic memories, summaries, user preferences and semantic indexes. The system chooses which representation to retrieve based on the current task.</w:t>
      </w:r>
    </w:p>
    <w:p>
      <w:pPr>
        <w:pStyle w:val="Code"/>
        <w:spacing w:after="80"/>
        <w:ind w:left="288"/>
      </w:pPr>
      <w:r>
        <w:t>RAW EVIDENCE</w:t>
        <w:br/>
        <w:t xml:space="preserve">   |</w:t>
        <w:br/>
        <w:t xml:space="preserve">   +--&gt; STRUCTURED CLINICAL LEDGER ----&gt; FHIR / EMR / CLAIMS</w:t>
        <w:br/>
        <w:t xml:space="preserve">   |</w:t>
        <w:br/>
        <w:t xml:space="preserve">   +--&gt; EPISODIC MEMORY ---------------&gt; semantic retrieval</w:t>
        <w:br/>
        <w:t xml:space="preserve">   |</w:t>
        <w:br/>
        <w:t xml:space="preserve">   +--&gt; SUMMARIES ----------------------&gt; low-token continuity</w:t>
        <w:br/>
        <w:t xml:space="preserve">   |</w:t>
        <w:br/>
        <w:t xml:space="preserve">   +--&gt; USER PREFERENCES ---------------&gt; personalization</w:t>
        <w:br/>
        <w:br/>
        <w:t>Current turn</w:t>
        <w:br/>
        <w:t xml:space="preserve">   -&gt; context router</w:t>
        <w:br/>
        <w:t xml:space="preserve">   -&gt; relevant layers only</w:t>
        <w:br/>
        <w:t xml:space="preserve">   -&gt; small context packet</w:t>
        <w:br/>
        <w:t xml:space="preserve">   -&gt; LLM</w:t>
        <w:br/>
        <w:t xml:space="preserve">   -&gt; response + background memory update</w:t>
      </w:r>
    </w:p>
    <w:p>
      <w:pPr>
        <w:pStyle w:val="Heading1"/>
      </w:pPr>
      <w:r>
        <w:t>26. Research Basis and External References</w:t>
      </w:r>
    </w:p>
    <w:p>
      <w:pPr>
        <w:spacing w:after="100" w:line="259" w:lineRule="auto"/>
      </w:pPr>
      <w:r>
        <w:t>The supplied Mhistree blueprint is the primary product source. The following external sources were researched to validate or deepen the architecture. These references should be rechecked during implementation because standards, regulations, payer requirements and model capabilities evolve.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pPr>
              <w:spacing w:after="0"/>
            </w:pPr>
            <w:r/>
            <w:r>
              <w:rPr>
                <w:b/>
                <w:sz w:val="17"/>
              </w:rPr>
              <w:t>Reference</w:t>
            </w:r>
          </w:p>
        </w:tc>
        <w:tc>
          <w:tcPr>
            <w:tcW w:type="dxa" w:w="3408"/>
            <w:vAlign w:val="center"/>
            <w:shd w:fill="D9EAF7"/>
          </w:tcPr>
          <w:p>
            <w:pPr>
              <w:spacing w:after="0"/>
            </w:pPr>
            <w:r/>
            <w:r>
              <w:rPr>
                <w:b/>
                <w:sz w:val="17"/>
              </w:rPr>
              <w:t>URL</w:t>
            </w:r>
          </w:p>
        </w:tc>
        <w:tc>
          <w:tcPr>
            <w:tcW w:type="dxa" w:w="3408"/>
            <w:vAlign w:val="center"/>
            <w:shd w:fill="D9EAF7"/>
          </w:tcPr>
          <w:p>
            <w:pPr>
              <w:spacing w:after="0"/>
            </w:pPr>
            <w:r/>
            <w:r>
              <w:rPr>
                <w:b/>
                <w:sz w:val="17"/>
              </w:rPr>
              <w:t>Relevance</w:t>
            </w:r>
          </w:p>
        </w:tc>
      </w:tr>
      <w:tr>
        <w:tc>
          <w:tcPr>
            <w:tcW w:type="dxa" w:w="3408"/>
            <w:vAlign w:val="center"/>
          </w:tcPr>
          <w:p>
            <w:pPr>
              <w:spacing w:after="0"/>
            </w:pPr>
            <w:r/>
            <w:r>
              <w:rPr>
                <w:b w:val="0"/>
                <w:sz w:val="17"/>
              </w:rPr>
              <w:t>HL7 FHIR R4 Index</w:t>
            </w:r>
          </w:p>
        </w:tc>
        <w:tc>
          <w:tcPr>
            <w:tcW w:type="dxa" w:w="3408"/>
            <w:vAlign w:val="center"/>
          </w:tcPr>
          <w:p>
            <w:pPr>
              <w:spacing w:after="0"/>
            </w:pPr>
            <w:r/>
            <w:r>
              <w:rPr>
                <w:b w:val="0"/>
                <w:sz w:val="17"/>
              </w:rPr>
              <w:t>https://hl7.org/fhir/R4/</w:t>
            </w:r>
          </w:p>
        </w:tc>
        <w:tc>
          <w:tcPr>
            <w:tcW w:type="dxa" w:w="3408"/>
            <w:vAlign w:val="center"/>
          </w:tcPr>
          <w:p>
            <w:pPr>
              <w:spacing w:after="0"/>
            </w:pPr>
            <w:r/>
            <w:r>
              <w:rPr>
                <w:b w:val="0"/>
                <w:sz w:val="17"/>
              </w:rPr>
              <w:t>FHIR R4 framework and security/privacy/interoperability resource structure.</w:t>
            </w:r>
          </w:p>
        </w:tc>
      </w:tr>
      <w:tr>
        <w:tc>
          <w:tcPr>
            <w:tcW w:type="dxa" w:w="3408"/>
            <w:vAlign w:val="center"/>
          </w:tcPr>
          <w:p>
            <w:pPr>
              <w:spacing w:after="0"/>
            </w:pPr>
            <w:r/>
            <w:r>
              <w:rPr>
                <w:b w:val="0"/>
                <w:sz w:val="17"/>
              </w:rPr>
              <w:t>HL7 FHIR R4 Consent</w:t>
            </w:r>
          </w:p>
        </w:tc>
        <w:tc>
          <w:tcPr>
            <w:tcW w:type="dxa" w:w="3408"/>
            <w:vAlign w:val="center"/>
          </w:tcPr>
          <w:p>
            <w:pPr>
              <w:spacing w:after="0"/>
            </w:pPr>
            <w:r/>
            <w:r>
              <w:rPr>
                <w:b w:val="0"/>
                <w:sz w:val="17"/>
              </w:rPr>
              <w:t>https://hl7.org/fhir/R4/consent.html</w:t>
            </w:r>
          </w:p>
        </w:tc>
        <w:tc>
          <w:tcPr>
            <w:tcW w:type="dxa" w:w="3408"/>
            <w:vAlign w:val="center"/>
          </w:tcPr>
          <w:p>
            <w:pPr>
              <w:spacing w:after="0"/>
            </w:pPr>
            <w:r/>
            <w:r>
              <w:rPr>
                <w:b w:val="0"/>
                <w:sz w:val="17"/>
              </w:rPr>
              <w:t>Consent as a record of permissions/denials, recipients, purposes and time periods.</w:t>
            </w:r>
          </w:p>
        </w:tc>
      </w:tr>
      <w:tr>
        <w:tc>
          <w:tcPr>
            <w:tcW w:type="dxa" w:w="3408"/>
            <w:vAlign w:val="center"/>
          </w:tcPr>
          <w:p>
            <w:pPr>
              <w:spacing w:after="0"/>
            </w:pPr>
            <w:r/>
            <w:r>
              <w:rPr>
                <w:b w:val="0"/>
                <w:sz w:val="17"/>
              </w:rPr>
              <w:t>HL7 FHIR R4 Provenance</w:t>
            </w:r>
          </w:p>
        </w:tc>
        <w:tc>
          <w:tcPr>
            <w:tcW w:type="dxa" w:w="3408"/>
            <w:vAlign w:val="center"/>
          </w:tcPr>
          <w:p>
            <w:pPr>
              <w:spacing w:after="0"/>
            </w:pPr>
            <w:r/>
            <w:r>
              <w:rPr>
                <w:b w:val="0"/>
                <w:sz w:val="17"/>
              </w:rPr>
              <w:t>https://hl7.org/fhir/R4/provenance.html</w:t>
            </w:r>
          </w:p>
        </w:tc>
        <w:tc>
          <w:tcPr>
            <w:tcW w:type="dxa" w:w="3408"/>
            <w:vAlign w:val="center"/>
          </w:tcPr>
          <w:p>
            <w:pPr>
              <w:spacing w:after="0"/>
            </w:pPr>
            <w:r/>
            <w:r>
              <w:rPr>
                <w:b w:val="0"/>
                <w:sz w:val="17"/>
              </w:rPr>
              <w:t>Origin and transformation provenance for resources.</w:t>
            </w:r>
          </w:p>
        </w:tc>
      </w:tr>
      <w:tr>
        <w:tc>
          <w:tcPr>
            <w:tcW w:type="dxa" w:w="3408"/>
            <w:vAlign w:val="center"/>
          </w:tcPr>
          <w:p>
            <w:pPr>
              <w:spacing w:after="0"/>
            </w:pPr>
            <w:r/>
            <w:r>
              <w:rPr>
                <w:b w:val="0"/>
                <w:sz w:val="17"/>
              </w:rPr>
              <w:t>HL7 FHIR R4 AuditEvent</w:t>
            </w:r>
          </w:p>
        </w:tc>
        <w:tc>
          <w:tcPr>
            <w:tcW w:type="dxa" w:w="3408"/>
            <w:vAlign w:val="center"/>
          </w:tcPr>
          <w:p>
            <w:pPr>
              <w:spacing w:after="0"/>
            </w:pPr>
            <w:r/>
            <w:r>
              <w:rPr>
                <w:b w:val="0"/>
                <w:sz w:val="17"/>
              </w:rPr>
              <w:t>https://hl7.org/fhir/R4/auditevent.html</w:t>
            </w:r>
          </w:p>
        </w:tc>
        <w:tc>
          <w:tcPr>
            <w:tcW w:type="dxa" w:w="3408"/>
            <w:vAlign w:val="center"/>
          </w:tcPr>
          <w:p>
            <w:pPr>
              <w:spacing w:after="0"/>
            </w:pPr>
            <w:r/>
            <w:r>
              <w:rPr>
                <w:b w:val="0"/>
                <w:sz w:val="17"/>
              </w:rPr>
              <w:t>Security audit logging and auditable system events.</w:t>
            </w:r>
          </w:p>
        </w:tc>
      </w:tr>
      <w:tr>
        <w:tc>
          <w:tcPr>
            <w:tcW w:type="dxa" w:w="3408"/>
            <w:vAlign w:val="center"/>
          </w:tcPr>
          <w:p>
            <w:pPr>
              <w:spacing w:after="0"/>
            </w:pPr>
            <w:r/>
            <w:r>
              <w:rPr>
                <w:b w:val="0"/>
                <w:sz w:val="17"/>
              </w:rPr>
              <w:t>HL7 FHIR R4 DiagnosticReport</w:t>
            </w:r>
          </w:p>
        </w:tc>
        <w:tc>
          <w:tcPr>
            <w:tcW w:type="dxa" w:w="3408"/>
            <w:vAlign w:val="center"/>
          </w:tcPr>
          <w:p>
            <w:pPr>
              <w:spacing w:after="0"/>
            </w:pPr>
            <w:r/>
            <w:r>
              <w:rPr>
                <w:b w:val="0"/>
                <w:sz w:val="17"/>
              </w:rPr>
              <w:t>https://hl7.org/fhir/R4/diagnosticreport.html</w:t>
            </w:r>
          </w:p>
        </w:tc>
        <w:tc>
          <w:tcPr>
            <w:tcW w:type="dxa" w:w="3408"/>
            <w:vAlign w:val="center"/>
          </w:tcPr>
          <w:p>
            <w:pPr>
              <w:spacing w:after="0"/>
            </w:pPr>
            <w:r/>
            <w:r>
              <w:rPr>
                <w:b w:val="0"/>
                <w:sz w:val="17"/>
              </w:rPr>
              <w:t>Diagnostic findings, context and report structure.</w:t>
            </w:r>
          </w:p>
        </w:tc>
      </w:tr>
      <w:tr>
        <w:tc>
          <w:tcPr>
            <w:tcW w:type="dxa" w:w="3408"/>
            <w:vAlign w:val="center"/>
          </w:tcPr>
          <w:p>
            <w:pPr>
              <w:spacing w:after="0"/>
            </w:pPr>
            <w:r/>
            <w:r>
              <w:rPr>
                <w:b w:val="0"/>
                <w:sz w:val="17"/>
              </w:rPr>
              <w:t>WHO - Ethics and Governance of AI for Health</w:t>
            </w:r>
          </w:p>
        </w:tc>
        <w:tc>
          <w:tcPr>
            <w:tcW w:type="dxa" w:w="3408"/>
            <w:vAlign w:val="center"/>
          </w:tcPr>
          <w:p>
            <w:pPr>
              <w:spacing w:after="0"/>
            </w:pPr>
            <w:r/>
            <w:r>
              <w:rPr>
                <w:b w:val="0"/>
                <w:sz w:val="17"/>
              </w:rPr>
              <w:t>https://www.who.int/publications/i/item/9789240029200</w:t>
            </w:r>
          </w:p>
        </w:tc>
        <w:tc>
          <w:tcPr>
            <w:tcW w:type="dxa" w:w="3408"/>
            <w:vAlign w:val="center"/>
          </w:tcPr>
          <w:p>
            <w:pPr>
              <w:spacing w:after="0"/>
            </w:pPr>
            <w:r/>
            <w:r>
              <w:rPr>
                <w:b w:val="0"/>
                <w:sz w:val="17"/>
              </w:rPr>
              <w:t>Ethics, human rights, governance and accountability for AI in health.</w:t>
            </w:r>
          </w:p>
        </w:tc>
      </w:tr>
      <w:tr>
        <w:tc>
          <w:tcPr>
            <w:tcW w:type="dxa" w:w="3408"/>
            <w:vAlign w:val="center"/>
          </w:tcPr>
          <w:p>
            <w:pPr>
              <w:spacing w:after="0"/>
            </w:pPr>
            <w:r/>
            <w:r>
              <w:rPr>
                <w:b w:val="0"/>
                <w:sz w:val="17"/>
              </w:rPr>
              <w:t>WHO - Large Multi-Modal Models Guidance</w:t>
            </w:r>
          </w:p>
        </w:tc>
        <w:tc>
          <w:tcPr>
            <w:tcW w:type="dxa" w:w="3408"/>
            <w:vAlign w:val="center"/>
          </w:tcPr>
          <w:p>
            <w:pPr>
              <w:spacing w:after="0"/>
            </w:pPr>
            <w:r/>
            <w:r>
              <w:rPr>
                <w:b w:val="0"/>
                <w:sz w:val="17"/>
              </w:rPr>
              <w:t>https://www.who.int/publications/b/70584</w:t>
            </w:r>
          </w:p>
        </w:tc>
        <w:tc>
          <w:tcPr>
            <w:tcW w:type="dxa" w:w="3408"/>
            <w:vAlign w:val="center"/>
          </w:tcPr>
          <w:p>
            <w:pPr>
              <w:spacing w:after="0"/>
            </w:pPr>
            <w:r/>
            <w:r>
              <w:rPr>
                <w:b w:val="0"/>
                <w:sz w:val="17"/>
              </w:rPr>
              <w:t>Governance considerations for generative/multimodal AI in health.</w:t>
            </w:r>
          </w:p>
        </w:tc>
      </w:tr>
      <w:tr>
        <w:tc>
          <w:tcPr>
            <w:tcW w:type="dxa" w:w="3408"/>
            <w:vAlign w:val="center"/>
          </w:tcPr>
          <w:p>
            <w:pPr>
              <w:spacing w:after="0"/>
            </w:pPr>
            <w:r/>
            <w:r>
              <w:rPr>
                <w:b w:val="0"/>
                <w:sz w:val="17"/>
              </w:rPr>
              <w:t>Nigeria Data Protection Commission - NDPA 2023</w:t>
            </w:r>
          </w:p>
        </w:tc>
        <w:tc>
          <w:tcPr>
            <w:tcW w:type="dxa" w:w="3408"/>
            <w:vAlign w:val="center"/>
          </w:tcPr>
          <w:p>
            <w:pPr>
              <w:spacing w:after="0"/>
            </w:pPr>
            <w:r/>
            <w:r>
              <w:rPr>
                <w:b w:val="0"/>
                <w:sz w:val="17"/>
              </w:rPr>
              <w:t>https://ndpc.gov.ng/download/nigeria-data-protection-act-2023</w:t>
            </w:r>
          </w:p>
        </w:tc>
        <w:tc>
          <w:tcPr>
            <w:tcW w:type="dxa" w:w="3408"/>
            <w:vAlign w:val="center"/>
          </w:tcPr>
          <w:p>
            <w:pPr>
              <w:spacing w:after="0"/>
            </w:pPr>
            <w:r/>
            <w:r>
              <w:rPr>
                <w:b w:val="0"/>
                <w:sz w:val="17"/>
              </w:rPr>
              <w:t>Nigeria privacy/data protection framework.</w:t>
            </w:r>
          </w:p>
        </w:tc>
      </w:tr>
      <w:tr>
        <w:tc>
          <w:tcPr>
            <w:tcW w:type="dxa" w:w="3408"/>
            <w:vAlign w:val="center"/>
          </w:tcPr>
          <w:p>
            <w:pPr>
              <w:spacing w:after="0"/>
            </w:pPr>
            <w:r/>
            <w:r>
              <w:rPr>
                <w:b w:val="0"/>
                <w:sz w:val="17"/>
              </w:rPr>
              <w:t>NDPC Resources</w:t>
            </w:r>
          </w:p>
        </w:tc>
        <w:tc>
          <w:tcPr>
            <w:tcW w:type="dxa" w:w="3408"/>
            <w:vAlign w:val="center"/>
          </w:tcPr>
          <w:p>
            <w:pPr>
              <w:spacing w:after="0"/>
            </w:pPr>
            <w:r/>
            <w:r>
              <w:rPr>
                <w:b w:val="0"/>
                <w:sz w:val="17"/>
              </w:rPr>
              <w:t>https://ndpc.gov.ng/resources/</w:t>
            </w:r>
          </w:p>
        </w:tc>
        <w:tc>
          <w:tcPr>
            <w:tcW w:type="dxa" w:w="3408"/>
            <w:vAlign w:val="center"/>
          </w:tcPr>
          <w:p>
            <w:pPr>
              <w:spacing w:after="0"/>
            </w:pPr>
            <w:r/>
            <w:r>
              <w:rPr>
                <w:b w:val="0"/>
                <w:sz w:val="17"/>
              </w:rPr>
              <w:t>NDPC official resource hub including privacy guidance.</w:t>
            </w:r>
          </w:p>
        </w:tc>
      </w:tr>
      <w:tr>
        <w:tc>
          <w:tcPr>
            <w:tcW w:type="dxa" w:w="3408"/>
            <w:vAlign w:val="center"/>
          </w:tcPr>
          <w:p>
            <w:pPr>
              <w:spacing w:after="0"/>
            </w:pPr>
            <w:r/>
            <w:r>
              <w:rPr>
                <w:b w:val="0"/>
                <w:sz w:val="17"/>
              </w:rPr>
              <w:t>NDPC privacy-preserving technology statement</w:t>
            </w:r>
          </w:p>
        </w:tc>
        <w:tc>
          <w:tcPr>
            <w:tcW w:type="dxa" w:w="3408"/>
            <w:vAlign w:val="center"/>
          </w:tcPr>
          <w:p>
            <w:pPr>
              <w:spacing w:after="0"/>
            </w:pPr>
            <w:r/>
            <w:r>
              <w:rPr>
                <w:b w:val="0"/>
                <w:sz w:val="17"/>
              </w:rPr>
              <w:t>https://ndpc.gov.ng/ndpc-highlights-privacy-preserving-technologies-as-key-priority-for-securing-health-data-in-nigeria/</w:t>
            </w:r>
          </w:p>
        </w:tc>
        <w:tc>
          <w:tcPr>
            <w:tcW w:type="dxa" w:w="3408"/>
            <w:vAlign w:val="center"/>
          </w:tcPr>
          <w:p>
            <w:pPr>
              <w:spacing w:after="0"/>
            </w:pPr>
            <w:r/>
            <w:r>
              <w:rPr>
                <w:b w:val="0"/>
                <w:sz w:val="17"/>
              </w:rPr>
              <w:t>Privacy-by-design and privacy-preserving technology emphasis for health data.</w:t>
            </w:r>
          </w:p>
        </w:tc>
      </w:tr>
      <w:tr>
        <w:tc>
          <w:tcPr>
            <w:tcW w:type="dxa" w:w="3408"/>
            <w:vAlign w:val="center"/>
          </w:tcPr>
          <w:p>
            <w:pPr>
              <w:spacing w:after="0"/>
            </w:pPr>
            <w:r/>
            <w:r>
              <w:rPr>
                <w:b w:val="0"/>
                <w:sz w:val="17"/>
              </w:rPr>
              <w:t>NHIA - Claims SOP</w:t>
            </w:r>
          </w:p>
        </w:tc>
        <w:tc>
          <w:tcPr>
            <w:tcW w:type="dxa" w:w="3408"/>
            <w:vAlign w:val="center"/>
          </w:tcPr>
          <w:p>
            <w:pPr>
              <w:spacing w:after="0"/>
            </w:pPr>
            <w:r/>
            <w:r>
              <w:rPr>
                <w:b w:val="0"/>
                <w:sz w:val="17"/>
              </w:rPr>
              <w:t>https://www.nhia.gov.ng/download/standard-operating-procedure-for-claims-submission-review-and-payment/</w:t>
            </w:r>
          </w:p>
        </w:tc>
        <w:tc>
          <w:tcPr>
            <w:tcW w:type="dxa" w:w="3408"/>
            <w:vAlign w:val="center"/>
          </w:tcPr>
          <w:p>
            <w:pPr>
              <w:spacing w:after="0"/>
            </w:pPr>
            <w:r/>
            <w:r>
              <w:rPr>
                <w:b w:val="0"/>
                <w:sz w:val="17"/>
              </w:rPr>
              <w:t>Current NHIA claims submission/review/payment SOP reference.</w:t>
            </w:r>
          </w:p>
        </w:tc>
      </w:tr>
      <w:tr>
        <w:tc>
          <w:tcPr>
            <w:tcW w:type="dxa" w:w="3408"/>
            <w:vAlign w:val="center"/>
          </w:tcPr>
          <w:p>
            <w:pPr>
              <w:spacing w:after="0"/>
            </w:pPr>
            <w:r/>
            <w:r>
              <w:rPr>
                <w:b w:val="0"/>
                <w:sz w:val="17"/>
              </w:rPr>
              <w:t>MemGPT</w:t>
            </w:r>
          </w:p>
        </w:tc>
        <w:tc>
          <w:tcPr>
            <w:tcW w:type="dxa" w:w="3408"/>
            <w:vAlign w:val="center"/>
          </w:tcPr>
          <w:p>
            <w:pPr>
              <w:spacing w:after="0"/>
            </w:pPr>
            <w:r/>
            <w:r>
              <w:rPr>
                <w:b w:val="0"/>
                <w:sz w:val="17"/>
              </w:rPr>
              <w:t>https://arxiv.org/abs/2310.08560</w:t>
            </w:r>
          </w:p>
        </w:tc>
        <w:tc>
          <w:tcPr>
            <w:tcW w:type="dxa" w:w="3408"/>
            <w:vAlign w:val="center"/>
          </w:tcPr>
          <w:p>
            <w:pPr>
              <w:spacing w:after="0"/>
            </w:pPr>
            <w:r/>
            <w:r>
              <w:rPr>
                <w:b w:val="0"/>
                <w:sz w:val="17"/>
              </w:rPr>
              <w:t>Hierarchical memory/context management for long-running conversations.</w:t>
            </w:r>
          </w:p>
        </w:tc>
      </w:tr>
      <w:tr>
        <w:tc>
          <w:tcPr>
            <w:tcW w:type="dxa" w:w="3408"/>
            <w:vAlign w:val="center"/>
          </w:tcPr>
          <w:p>
            <w:pPr>
              <w:spacing w:after="0"/>
            </w:pPr>
            <w:r/>
            <w:r>
              <w:rPr>
                <w:b w:val="0"/>
                <w:sz w:val="17"/>
              </w:rPr>
              <w:t>A-MEM</w:t>
            </w:r>
          </w:p>
        </w:tc>
        <w:tc>
          <w:tcPr>
            <w:tcW w:type="dxa" w:w="3408"/>
            <w:vAlign w:val="center"/>
          </w:tcPr>
          <w:p>
            <w:pPr>
              <w:spacing w:after="0"/>
            </w:pPr>
            <w:r/>
            <w:r>
              <w:rPr>
                <w:b w:val="0"/>
                <w:sz w:val="17"/>
              </w:rPr>
              <w:t>https://arxiv.org/abs/2502.12110</w:t>
            </w:r>
          </w:p>
        </w:tc>
        <w:tc>
          <w:tcPr>
            <w:tcW w:type="dxa" w:w="3408"/>
            <w:vAlign w:val="center"/>
          </w:tcPr>
          <w:p>
            <w:pPr>
              <w:spacing w:after="0"/>
            </w:pPr>
            <w:r/>
            <w:r>
              <w:rPr>
                <w:b w:val="0"/>
                <w:sz w:val="17"/>
              </w:rPr>
              <w:t>Agentic memory with structured notes and dynamic links.</w:t>
            </w:r>
          </w:p>
        </w:tc>
      </w:tr>
      <w:tr>
        <w:tc>
          <w:tcPr>
            <w:tcW w:type="dxa" w:w="3408"/>
            <w:vAlign w:val="center"/>
          </w:tcPr>
          <w:p>
            <w:pPr>
              <w:spacing w:after="0"/>
            </w:pPr>
            <w:r/>
            <w:r>
              <w:rPr>
                <w:b w:val="0"/>
                <w:sz w:val="17"/>
              </w:rPr>
              <w:t>MGRetrieval</w:t>
            </w:r>
          </w:p>
        </w:tc>
        <w:tc>
          <w:tcPr>
            <w:tcW w:type="dxa" w:w="3408"/>
            <w:vAlign w:val="center"/>
          </w:tcPr>
          <w:p>
            <w:pPr>
              <w:spacing w:after="0"/>
            </w:pPr>
            <w:r/>
            <w:r>
              <w:rPr>
                <w:b w:val="0"/>
                <w:sz w:val="17"/>
              </w:rPr>
              <w:t>https://arxiv.org/abs/2605.27437</w:t>
            </w:r>
          </w:p>
        </w:tc>
        <w:tc>
          <w:tcPr>
            <w:tcW w:type="dxa" w:w="3408"/>
            <w:vAlign w:val="center"/>
          </w:tcPr>
          <w:p>
            <w:pPr>
              <w:spacing w:after="0"/>
            </w:pPr>
            <w:r/>
            <w:r>
              <w:rPr>
                <w:b w:val="0"/>
                <w:sz w:val="17"/>
              </w:rPr>
              <w:t>Recent memory-guided reflective retrieval research for long-term dialogue.</w:t>
            </w:r>
          </w:p>
        </w:tc>
      </w:tr>
    </w:tbl>
    <w:p/>
    <w:p>
      <w:pPr>
        <w:pStyle w:val="Heading1"/>
      </w:pPr>
      <w:r>
        <w:t>27. Final MVP Architecture Decision</w:t>
      </w:r>
    </w:p>
    <w:p>
      <w:pPr>
        <w:spacing w:after="100" w:line="259" w:lineRule="auto"/>
      </w:pPr>
      <w:r>
        <w:t>The recommended MVP is a modular patient/clinician health platform centered on PostgreSQL as the clinical source of truth, pgvector for semantic retrieval, object storage for documents/media, a queue for asynchronous extraction, a dedicated context router for token-efficient memory, and a strict authorization layer around the Health Context. The patient-facing conversation is continuous in experience but segmented technically into sessions. The clinician-facing experience is scoped by a patient-created access lease. The AI helps interpret and organize information, but clinical truth remains tied to evidence and human verification.</w:t>
      </w:r>
    </w:p>
    <w:p>
      <w:pPr>
        <w:spacing w:after="100" w:line="259" w:lineRule="auto"/>
      </w:pPr>
      <w:r>
        <w:t>This design intentionally allows Mhistree to grow later into more advanced agentic memory, graph-based longitudinal reasoning, hospital interoperability, claims automation and predictive analytics without making those high-risk or high-complexity features prerequisites for the first working MVP.</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Mhistree | MVP Specification | Confidential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Mhistree - Complete Product &amp; Engineering MVP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b/>
      <w:color w:val="1F4E79"/>
      <w:sz w:val="19"/>
    </w:rPr>
  </w:style>
  <w:style w:type="paragraph" w:customStyle="1" w:styleId="Code">
    <w:name w:val="Code"/>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Mhistree Complete Product, Clinical Workflow &amp; MVP Engineering Specification</dc:title>
  <dc:subject>Longitudinal health companion product and engineering specification</dc:subject>
  <dc:creator>Mhistree product architecture working document</dc:creator>
  <cp:keywords>Mhistree, healthcare, AI, longitudinal health record, FHIR, Nigeria, HMO, NHIA, memory, clinician portal</cp:keywords>
  <dc:description>generated by python-docx</dc:description>
  <cp:lastModifiedBy/>
  <cp:revision>1</cp:revision>
  <dcterms:created xsi:type="dcterms:W3CDTF">2013-12-23T23:15:00Z</dcterms:created>
  <dcterms:modified xsi:type="dcterms:W3CDTF">2013-12-23T23:15:00Z</dcterms:modified>
  <cp:category/>
</cp:coreProperties>
</file>