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4C4AE">
      <w:pPr>
        <w:rPr>
          <w:rFonts w:hint="eastAsia"/>
        </w:rPr>
      </w:pPr>
      <w:r>
        <w:rPr>
          <w:rFonts w:hint="eastAsia"/>
        </w:rPr>
        <w:t>全球绿色航运走廊正在成为推动国际航运脱碳的重要实践。通过连接港口、航运企业、燃料供应商、货主和政府，绿色航运走廊为零排放船舶的应用、绿色燃料供应及加注设施建设提供了共同推进的场景。然而，船舶与燃料的较高成本如何分担，绿色燃料如何实现稳定生产和跨区域供应，仍是绿色航运走廊从规划走向运营必须解决的问题。    </w:t>
      </w:r>
    </w:p>
    <w:p w14:paraId="3838899D">
      <w:pPr>
        <w:rPr>
          <w:rFonts w:hint="eastAsia"/>
        </w:rPr>
      </w:pPr>
      <w:r>
        <w:rPr>
          <w:rFonts w:hint="eastAsia"/>
        </w:rPr>
        <w:t>在此背景下，爱思唯尔国际海洋旗舰期刊Ocean &amp; Coastal Management（OCMA）面向全球学者推出特刊 Global Green Shipping Corridors（全球绿色航运走廊），面向全球研究者公开征稿。本特刊从海事运输与物流产业、国际组织及政府治理等视角，探讨绿色航运走廊的规划、建设和运营，关注技术应用、供应链协同、商业激励与公共政策如何共同推动航运脱碳。</w:t>
      </w:r>
    </w:p>
    <w:p w14:paraId="0AF56F5D">
      <w:pPr>
        <w:rPr>
          <w:rFonts w:hint="eastAsia"/>
        </w:rPr>
      </w:pPr>
      <w:r>
        <w:rPr>
          <w:rFonts w:hint="eastAsia"/>
        </w:rPr>
        <w:t>￼</w:t>
      </w:r>
    </w:p>
    <w:p w14:paraId="575CFDA1">
      <w:pPr>
        <w:pStyle w:val="2"/>
        <w:keepNext w:val="0"/>
        <w:keepLines w:val="0"/>
        <w:widowControl/>
        <w:suppressLineNumbers w:val="0"/>
        <w:ind w:left="0" w:firstLine="420"/>
      </w:pPr>
      <w:r>
        <w:rPr>
          <w:b w:val="0"/>
          <w:bCs w:val="0"/>
        </w:rPr>
        <w:t>全球绿色航运走廊涉及船舶、港口、绿色燃料和腹地物流等多个环节。其发展既需要可靠的燃料生产与加注网络，也需要航运企业、港口运营商、货主和政策制定者形成可持续的合作机制。</w:t>
      </w:r>
      <w:r>
        <w:rPr>
          <w:b/>
          <w:bCs/>
        </w:rPr>
        <w:t>本特刊欢迎理论研究、实证分析、政策评估、优化建模及跨学科研究，关注包括但不限于以下方向：</w:t>
      </w:r>
    </w:p>
    <w:p w14:paraId="2D92A159">
      <w:pPr>
        <w:keepNext w:val="0"/>
        <w:keepLines w:val="0"/>
        <w:widowControl/>
        <w:numPr>
          <w:ilvl w:val="0"/>
          <w:numId w:val="1"/>
        </w:numPr>
        <w:suppressLineNumbers w:val="0"/>
        <w:spacing w:before="0" w:beforeAutospacing="1" w:after="0" w:afterAutospacing="1"/>
        <w:ind w:left="1440" w:hanging="360"/>
      </w:pPr>
    </w:p>
    <w:p w14:paraId="6947B956">
      <w:pPr>
        <w:pStyle w:val="2"/>
        <w:keepNext w:val="0"/>
        <w:keepLines w:val="0"/>
        <w:widowControl/>
        <w:suppressLineNumbers w:val="0"/>
        <w:ind w:left="720"/>
      </w:pPr>
      <w:r>
        <w:t>班轮联盟背景下绿色与数字航运走廊的理论框架和政策设计；</w:t>
      </w:r>
    </w:p>
    <w:p w14:paraId="1BF3E0A9">
      <w:pPr>
        <w:keepNext w:val="0"/>
        <w:keepLines w:val="0"/>
        <w:widowControl/>
        <w:numPr>
          <w:ilvl w:val="0"/>
          <w:numId w:val="1"/>
        </w:numPr>
        <w:suppressLineNumbers w:val="0"/>
        <w:spacing w:before="0" w:beforeAutospacing="1" w:after="0" w:afterAutospacing="1"/>
        <w:ind w:left="1440" w:hanging="360"/>
      </w:pPr>
    </w:p>
    <w:p w14:paraId="40383F8A">
      <w:pPr>
        <w:keepNext w:val="0"/>
        <w:keepLines w:val="0"/>
        <w:widowControl/>
        <w:numPr>
          <w:ilvl w:val="0"/>
          <w:numId w:val="1"/>
        </w:numPr>
        <w:suppressLineNumbers w:val="0"/>
        <w:spacing w:before="0" w:beforeAutospacing="1" w:after="0" w:afterAutospacing="1"/>
        <w:ind w:left="1440" w:hanging="360"/>
      </w:pPr>
    </w:p>
    <w:p w14:paraId="1EF7EE2D">
      <w:pPr>
        <w:pStyle w:val="2"/>
        <w:keepNext w:val="0"/>
        <w:keepLines w:val="0"/>
        <w:widowControl/>
        <w:suppressLineNumbers w:val="0"/>
        <w:ind w:left="720"/>
      </w:pPr>
      <w:r>
        <w:t>绿色燃料供应链的分析、规划与管理；</w:t>
      </w:r>
    </w:p>
    <w:p w14:paraId="16070E97">
      <w:pPr>
        <w:keepNext w:val="0"/>
        <w:keepLines w:val="0"/>
        <w:widowControl/>
        <w:numPr>
          <w:ilvl w:val="0"/>
          <w:numId w:val="1"/>
        </w:numPr>
        <w:suppressLineNumbers w:val="0"/>
        <w:spacing w:before="0" w:beforeAutospacing="1" w:after="0" w:afterAutospacing="1"/>
        <w:ind w:left="1440" w:hanging="360"/>
      </w:pPr>
    </w:p>
    <w:p w14:paraId="2193BF84">
      <w:pPr>
        <w:keepNext w:val="0"/>
        <w:keepLines w:val="0"/>
        <w:widowControl/>
        <w:numPr>
          <w:ilvl w:val="0"/>
          <w:numId w:val="1"/>
        </w:numPr>
        <w:suppressLineNumbers w:val="0"/>
        <w:spacing w:before="0" w:beforeAutospacing="1" w:after="0" w:afterAutospacing="1"/>
        <w:ind w:left="1440" w:hanging="360"/>
      </w:pPr>
    </w:p>
    <w:p w14:paraId="490D06D9">
      <w:pPr>
        <w:pStyle w:val="2"/>
        <w:keepNext w:val="0"/>
        <w:keepLines w:val="0"/>
        <w:widowControl/>
        <w:suppressLineNumbers w:val="0"/>
        <w:ind w:left="720"/>
      </w:pPr>
      <w:r>
        <w:t>海事运输脱碳战略与实施路径；</w:t>
      </w:r>
    </w:p>
    <w:p w14:paraId="1D989295">
      <w:pPr>
        <w:keepNext w:val="0"/>
        <w:keepLines w:val="0"/>
        <w:widowControl/>
        <w:numPr>
          <w:ilvl w:val="0"/>
          <w:numId w:val="1"/>
        </w:numPr>
        <w:suppressLineNumbers w:val="0"/>
        <w:spacing w:before="0" w:beforeAutospacing="1" w:after="0" w:afterAutospacing="1"/>
        <w:ind w:left="1440" w:hanging="360"/>
      </w:pPr>
    </w:p>
    <w:p w14:paraId="76904BB3">
      <w:pPr>
        <w:keepNext w:val="0"/>
        <w:keepLines w:val="0"/>
        <w:widowControl/>
        <w:numPr>
          <w:ilvl w:val="0"/>
          <w:numId w:val="1"/>
        </w:numPr>
        <w:suppressLineNumbers w:val="0"/>
        <w:spacing w:before="0" w:beforeAutospacing="1" w:after="0" w:afterAutospacing="1"/>
        <w:ind w:left="1440" w:hanging="360"/>
      </w:pPr>
    </w:p>
    <w:p w14:paraId="774E9224">
      <w:pPr>
        <w:pStyle w:val="2"/>
        <w:keepNext w:val="0"/>
        <w:keepLines w:val="0"/>
        <w:widowControl/>
        <w:suppressLineNumbers w:val="0"/>
        <w:ind w:left="720"/>
      </w:pPr>
      <w:r>
        <w:t>绿色燃料枢纽港的功能及其与燃料供应链的协同；</w:t>
      </w:r>
    </w:p>
    <w:p w14:paraId="19749CF9">
      <w:pPr>
        <w:keepNext w:val="0"/>
        <w:keepLines w:val="0"/>
        <w:widowControl/>
        <w:numPr>
          <w:ilvl w:val="0"/>
          <w:numId w:val="1"/>
        </w:numPr>
        <w:suppressLineNumbers w:val="0"/>
        <w:spacing w:before="0" w:beforeAutospacing="1" w:after="0" w:afterAutospacing="1"/>
        <w:ind w:left="1440" w:hanging="360"/>
      </w:pPr>
    </w:p>
    <w:p w14:paraId="1539C964">
      <w:pPr>
        <w:keepNext w:val="0"/>
        <w:keepLines w:val="0"/>
        <w:widowControl/>
        <w:numPr>
          <w:ilvl w:val="0"/>
          <w:numId w:val="1"/>
        </w:numPr>
        <w:suppressLineNumbers w:val="0"/>
        <w:spacing w:before="0" w:beforeAutospacing="1" w:after="0" w:afterAutospacing="1"/>
        <w:ind w:left="1440" w:hanging="360"/>
      </w:pPr>
    </w:p>
    <w:p w14:paraId="5F3EAD3F">
      <w:pPr>
        <w:pStyle w:val="2"/>
        <w:keepNext w:val="0"/>
        <w:keepLines w:val="0"/>
        <w:widowControl/>
        <w:suppressLineNumbers w:val="0"/>
        <w:ind w:left="720"/>
      </w:pPr>
      <w:r>
        <w:t>船舶、铁路和公路运输衔接的绿色多式联运物流；</w:t>
      </w:r>
    </w:p>
    <w:p w14:paraId="428984BF">
      <w:pPr>
        <w:keepNext w:val="0"/>
        <w:keepLines w:val="0"/>
        <w:widowControl/>
        <w:numPr>
          <w:ilvl w:val="0"/>
          <w:numId w:val="1"/>
        </w:numPr>
        <w:suppressLineNumbers w:val="0"/>
        <w:spacing w:before="0" w:beforeAutospacing="1" w:after="0" w:afterAutospacing="1"/>
        <w:ind w:left="1440" w:hanging="360"/>
      </w:pPr>
    </w:p>
    <w:p w14:paraId="2678BB64">
      <w:pPr>
        <w:keepNext w:val="0"/>
        <w:keepLines w:val="0"/>
        <w:widowControl/>
        <w:numPr>
          <w:ilvl w:val="0"/>
          <w:numId w:val="1"/>
        </w:numPr>
        <w:suppressLineNumbers w:val="0"/>
        <w:spacing w:before="0" w:beforeAutospacing="1" w:after="0" w:afterAutospacing="1"/>
        <w:ind w:left="1440" w:hanging="360"/>
      </w:pPr>
    </w:p>
    <w:p w14:paraId="20EB0FE8">
      <w:pPr>
        <w:pStyle w:val="2"/>
        <w:keepNext w:val="0"/>
        <w:keepLines w:val="0"/>
        <w:widowControl/>
        <w:suppressLineNumbers w:val="0"/>
        <w:ind w:left="720"/>
      </w:pPr>
      <w:r>
        <w:t>航运企业、港口运营商、货主及绿色燃料生产商和供应商的经济行为；</w:t>
      </w:r>
    </w:p>
    <w:p w14:paraId="4F8875B0">
      <w:pPr>
        <w:keepNext w:val="0"/>
        <w:keepLines w:val="0"/>
        <w:widowControl/>
        <w:numPr>
          <w:ilvl w:val="0"/>
          <w:numId w:val="1"/>
        </w:numPr>
        <w:suppressLineNumbers w:val="0"/>
        <w:spacing w:before="0" w:beforeAutospacing="1" w:after="0" w:afterAutospacing="1"/>
        <w:ind w:left="1440" w:hanging="360"/>
      </w:pPr>
    </w:p>
    <w:p w14:paraId="36F2541F">
      <w:pPr>
        <w:keepNext w:val="0"/>
        <w:keepLines w:val="0"/>
        <w:widowControl/>
        <w:numPr>
          <w:ilvl w:val="0"/>
          <w:numId w:val="1"/>
        </w:numPr>
        <w:suppressLineNumbers w:val="0"/>
        <w:spacing w:before="0" w:beforeAutospacing="1" w:after="0" w:afterAutospacing="1"/>
        <w:ind w:left="1440" w:hanging="360"/>
      </w:pPr>
    </w:p>
    <w:p w14:paraId="45A49441">
      <w:pPr>
        <w:pStyle w:val="2"/>
        <w:keepNext w:val="0"/>
        <w:keepLines w:val="0"/>
        <w:widowControl/>
        <w:suppressLineNumbers w:val="0"/>
        <w:ind w:left="720"/>
      </w:pPr>
      <w:r>
        <w:t>陆侧物流走廊与港口腹地连通性；</w:t>
      </w:r>
    </w:p>
    <w:p w14:paraId="1E29D313">
      <w:pPr>
        <w:keepNext w:val="0"/>
        <w:keepLines w:val="0"/>
        <w:widowControl/>
        <w:numPr>
          <w:ilvl w:val="0"/>
          <w:numId w:val="1"/>
        </w:numPr>
        <w:suppressLineNumbers w:val="0"/>
        <w:spacing w:before="0" w:beforeAutospacing="1" w:after="0" w:afterAutospacing="1"/>
        <w:ind w:left="1440" w:hanging="360"/>
      </w:pPr>
    </w:p>
    <w:p w14:paraId="06A46EFA">
      <w:pPr>
        <w:keepNext w:val="0"/>
        <w:keepLines w:val="0"/>
        <w:widowControl/>
        <w:numPr>
          <w:ilvl w:val="0"/>
          <w:numId w:val="1"/>
        </w:numPr>
        <w:suppressLineNumbers w:val="0"/>
        <w:spacing w:before="0" w:beforeAutospacing="1" w:after="0" w:afterAutospacing="1"/>
        <w:ind w:left="1440" w:hanging="360"/>
      </w:pPr>
    </w:p>
    <w:p w14:paraId="40986FBC">
      <w:pPr>
        <w:pStyle w:val="2"/>
        <w:keepNext w:val="0"/>
        <w:keepLines w:val="0"/>
        <w:widowControl/>
        <w:suppressLineNumbers w:val="0"/>
        <w:ind w:left="720"/>
      </w:pPr>
      <w:r>
        <w:t>人工智能支持的海事运输脱碳与数字化系统；</w:t>
      </w:r>
    </w:p>
    <w:p w14:paraId="060D2BF8">
      <w:pPr>
        <w:keepNext w:val="0"/>
        <w:keepLines w:val="0"/>
        <w:widowControl/>
        <w:numPr>
          <w:ilvl w:val="0"/>
          <w:numId w:val="1"/>
        </w:numPr>
        <w:suppressLineNumbers w:val="0"/>
        <w:spacing w:before="0" w:beforeAutospacing="1" w:after="0" w:afterAutospacing="1"/>
        <w:ind w:left="1440" w:hanging="360"/>
      </w:pPr>
    </w:p>
    <w:p w14:paraId="67C8A705">
      <w:pPr>
        <w:keepNext w:val="0"/>
        <w:keepLines w:val="0"/>
        <w:widowControl/>
        <w:numPr>
          <w:ilvl w:val="0"/>
          <w:numId w:val="1"/>
        </w:numPr>
        <w:suppressLineNumbers w:val="0"/>
        <w:spacing w:before="0" w:beforeAutospacing="1" w:after="0" w:afterAutospacing="1"/>
        <w:ind w:left="1440" w:hanging="360"/>
      </w:pPr>
    </w:p>
    <w:p w14:paraId="74E0D796">
      <w:pPr>
        <w:pStyle w:val="2"/>
        <w:keepNext w:val="0"/>
        <w:keepLines w:val="0"/>
        <w:widowControl/>
        <w:suppressLineNumbers w:val="0"/>
        <w:ind w:left="720"/>
      </w:pPr>
      <w:r>
        <w:t>零排放船舶建造和绿色燃料应用的激励政策；</w:t>
      </w:r>
    </w:p>
    <w:p w14:paraId="08488755">
      <w:pPr>
        <w:keepNext w:val="0"/>
        <w:keepLines w:val="0"/>
        <w:widowControl/>
        <w:numPr>
          <w:ilvl w:val="0"/>
          <w:numId w:val="1"/>
        </w:numPr>
        <w:suppressLineNumbers w:val="0"/>
        <w:spacing w:before="0" w:beforeAutospacing="1" w:after="0" w:afterAutospacing="1"/>
        <w:ind w:left="1440" w:hanging="360"/>
      </w:pPr>
    </w:p>
    <w:p w14:paraId="21E75C6F">
      <w:pPr>
        <w:keepNext w:val="0"/>
        <w:keepLines w:val="0"/>
        <w:widowControl/>
        <w:numPr>
          <w:ilvl w:val="0"/>
          <w:numId w:val="1"/>
        </w:numPr>
        <w:suppressLineNumbers w:val="0"/>
        <w:spacing w:before="0" w:beforeAutospacing="1" w:after="0" w:afterAutospacing="1"/>
        <w:ind w:left="1440" w:hanging="360"/>
      </w:pPr>
    </w:p>
    <w:p w14:paraId="39CF1296">
      <w:pPr>
        <w:pStyle w:val="2"/>
        <w:keepNext w:val="0"/>
        <w:keepLines w:val="0"/>
        <w:widowControl/>
        <w:suppressLineNumbers w:val="0"/>
        <w:ind w:left="720"/>
      </w:pPr>
      <w:r>
        <w:t>联合国机构、援助机构及国际和区域性银行推动绿色与数字航运走廊的合作平台；</w:t>
      </w:r>
    </w:p>
    <w:p w14:paraId="2088B4FF">
      <w:pPr>
        <w:keepNext w:val="0"/>
        <w:keepLines w:val="0"/>
        <w:widowControl/>
        <w:numPr>
          <w:ilvl w:val="0"/>
          <w:numId w:val="1"/>
        </w:numPr>
        <w:suppressLineNumbers w:val="0"/>
        <w:spacing w:before="0" w:beforeAutospacing="1" w:after="0" w:afterAutospacing="1"/>
        <w:ind w:left="1440" w:hanging="360"/>
      </w:pPr>
    </w:p>
    <w:p w14:paraId="5CA23DD6">
      <w:pPr>
        <w:keepNext w:val="0"/>
        <w:keepLines w:val="0"/>
        <w:widowControl/>
        <w:numPr>
          <w:ilvl w:val="0"/>
          <w:numId w:val="1"/>
        </w:numPr>
        <w:suppressLineNumbers w:val="0"/>
        <w:spacing w:before="0" w:beforeAutospacing="1" w:after="0" w:afterAutospacing="1"/>
        <w:ind w:left="1440" w:hanging="360"/>
      </w:pPr>
    </w:p>
    <w:p w14:paraId="7837E1D7">
      <w:pPr>
        <w:pStyle w:val="2"/>
        <w:keepNext w:val="0"/>
        <w:keepLines w:val="0"/>
        <w:widowControl/>
        <w:suppressLineNumbers w:val="0"/>
        <w:ind w:left="720"/>
      </w:pPr>
      <w:r>
        <w:t>绿色与数字航运走廊实施过程中的安全保障和环境监测；</w:t>
      </w:r>
    </w:p>
    <w:p w14:paraId="4DEA346D">
      <w:pPr>
        <w:keepNext w:val="0"/>
        <w:keepLines w:val="0"/>
        <w:widowControl/>
        <w:numPr>
          <w:ilvl w:val="0"/>
          <w:numId w:val="1"/>
        </w:numPr>
        <w:suppressLineNumbers w:val="0"/>
        <w:spacing w:before="0" w:beforeAutospacing="1" w:after="0" w:afterAutospacing="1"/>
        <w:ind w:left="1440" w:hanging="360"/>
      </w:pPr>
    </w:p>
    <w:p w14:paraId="09FA3054">
      <w:pPr>
        <w:keepNext w:val="0"/>
        <w:keepLines w:val="0"/>
        <w:widowControl/>
        <w:numPr>
          <w:ilvl w:val="0"/>
          <w:numId w:val="1"/>
        </w:numPr>
        <w:suppressLineNumbers w:val="0"/>
        <w:spacing w:before="0" w:beforeAutospacing="1" w:after="0" w:afterAutospacing="1"/>
        <w:ind w:left="1440" w:hanging="360"/>
      </w:pPr>
    </w:p>
    <w:p w14:paraId="30FE3B86">
      <w:pPr>
        <w:pStyle w:val="2"/>
        <w:keepNext w:val="0"/>
        <w:keepLines w:val="0"/>
        <w:widowControl/>
        <w:suppressLineNumbers w:val="0"/>
        <w:ind w:left="720"/>
      </w:pPr>
      <w:r>
        <w:t>基于人工智能的绿色航运走廊船期预测。</w:t>
      </w:r>
    </w:p>
    <w:p w14:paraId="2C8CAF3E">
      <w:pPr>
        <w:keepNext w:val="0"/>
        <w:keepLines w:val="0"/>
        <w:widowControl/>
        <w:numPr>
          <w:ilvl w:val="0"/>
          <w:numId w:val="1"/>
        </w:numPr>
        <w:suppressLineNumbers w:val="0"/>
        <w:spacing w:before="0" w:beforeAutospacing="1" w:after="0" w:afterAutospacing="1"/>
        <w:ind w:left="1440" w:hanging="360"/>
      </w:pPr>
    </w:p>
    <w:p w14:paraId="3D643387">
      <w:pPr>
        <w:pStyle w:val="2"/>
        <w:keepNext w:val="0"/>
        <w:keepLines w:val="0"/>
        <w:widowControl/>
        <w:suppressLineNumbers w:val="0"/>
        <w:jc w:val="both"/>
      </w:pPr>
      <w:r>
        <w:rPr>
          <w:b w:val="0"/>
          <w:bCs w:val="0"/>
        </w:rPr>
        <w:t>本特刊面向全球研究者公开征稿。请通过 Ocean &amp; Coastal Management 的在线投稿系统提交稿件，并在投稿时选择本特刊对应的专题选项。投稿时请在“Article Type Name”下拉菜单中选择“VSI: Green-shipping-corridors”。具体选项名称和稿件要求以期刊投稿系统及特刊页面正式公布的信息为准。</w:t>
      </w:r>
    </w:p>
    <w:p w14:paraId="5188E754">
      <w:pPr>
        <w:pStyle w:val="2"/>
        <w:keepNext w:val="0"/>
        <w:keepLines w:val="0"/>
        <w:widowControl/>
        <w:suppressLineNumbers w:val="0"/>
        <w:jc w:val="both"/>
      </w:pPr>
    </w:p>
    <w:p w14:paraId="41323C75">
      <w:pPr>
        <w:pStyle w:val="2"/>
        <w:keepNext w:val="0"/>
        <w:keepLines w:val="0"/>
        <w:widowControl/>
        <w:suppressLineNumbers w:val="0"/>
        <w:jc w:val="center"/>
      </w:pPr>
      <w:r>
        <w:rPr>
          <w:b/>
          <w:bCs/>
        </w:rPr>
        <w:t>OCMA期刊投稿平台Editorial Manager：</w:t>
      </w:r>
    </w:p>
    <w:p w14:paraId="52492C88">
      <w:pPr>
        <w:pStyle w:val="2"/>
        <w:keepNext w:val="0"/>
        <w:keepLines w:val="0"/>
        <w:widowControl/>
        <w:suppressLineNumbers w:val="0"/>
        <w:ind w:left="96" w:right="96"/>
        <w:jc w:val="center"/>
      </w:pPr>
      <w:r>
        <w:rPr>
          <w:b/>
          <w:bCs/>
        </w:rPr>
        <w:t>https://www.editorialmanager.com/ocma</w:t>
      </w:r>
    </w:p>
    <w:p w14:paraId="17ADAE72">
      <w:pPr>
        <w:pStyle w:val="2"/>
        <w:keepNext w:val="0"/>
        <w:keepLines w:val="0"/>
        <w:widowControl/>
        <w:suppressLineNumbers w:val="0"/>
        <w:jc w:val="center"/>
      </w:pPr>
    </w:p>
    <w:p w14:paraId="6B16E13A">
      <w:pPr>
        <w:keepNext w:val="0"/>
        <w:keepLines w:val="0"/>
        <w:widowControl/>
        <w:suppressLineNumbers w:val="0"/>
        <w:jc w:val="left"/>
      </w:pPr>
      <w:r>
        <w:rPr>
          <w:rFonts w:ascii="宋体" w:hAnsi="宋体" w:eastAsia="宋体" w:cs="宋体"/>
          <w:b w:val="0"/>
          <w:bCs w:val="0"/>
          <w:kern w:val="0"/>
          <w:sz w:val="24"/>
          <w:szCs w:val="24"/>
          <w:lang w:val="en-US" w:eastAsia="zh-CN" w:bidi="ar"/>
        </w:rPr>
        <w:t>     来稿应围绕全球绿色航运走廊的建设、运营及治理展开，并按照期刊的常规同行评审程序处理。期刊编辑将及时对优质论文提供审稿服务。编辑择优推荐高质量论文，发表的高质量论文将获得全球推广的机会。</w:t>
      </w:r>
    </w:p>
    <w:p w14:paraId="7CAF4B75">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4D4545"/>
    <w:multiLevelType w:val="multilevel"/>
    <w:tmpl w:val="044D45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833B99"/>
    <w:rsid w:val="11833B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291</Words>
  <Characters>337</Characters>
  <Lines>0</Lines>
  <Paragraphs>0</Paragraphs>
  <TotalTime>0</TotalTime>
  <ScaleCrop>false</ScaleCrop>
  <LinksUpToDate>false</LinksUpToDate>
  <CharactersWithSpaces>348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2026-10-28T04:36:00Z</dcterms:created>
  <dc:creator>张萌</dc:creator>
  <cp:lastModifiedBy>张萌</cp:lastModifiedBy>
  <dcterms:modified xsi:type="dcterms:W3CDTF">2026-10-28T04:37:19Z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935F455447E14960889C77C30D98297D_11</vt:lpwstr>
  </property>
  <property fmtid="{D5CDD505-2E9C-101B-9397-08002B2CF9AE}" pid="4" name="KSOTemplateDocerSaveRecord">
    <vt:lpwstr>eyJoZGlkIjoiZTFjZDY2MmZjNGM2ZWQ1ZTQ0NzkwYWRlYjRmMTFkNzYiLCJ1c2VySWQiOiIxNjYxMjIwMDEzIn0=</vt:lpwstr>
  </property>
</Properties>
</file>