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lang w:val="en-US"/>
        </w:rPr>
      </w:pPr>
      <w:r>
        <w:rPr>
          <w:lang w:val="en-US"/>
        </w:rPr>
      </w:r>
    </w:p>
    <w:tbl>
      <w:tblPr>
        <w:tblStyle w:val="TableNormal"/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8"/>
        <w:gridCol w:w="5099"/>
      </w:tblGrid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3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22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.0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.2025</w:t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hanging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Студенты: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Бочкарев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.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Э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Рабочий протокол и отчет по</w:t>
        <w:br/>
        <w:t>лабораторной работе №</w:t>
      </w:r>
      <w:r>
        <w:rPr>
          <w:rFonts w:eastAsia="Cambria" w:cs="Cambria" w:ascii="Cambria" w:hAnsi="Cambria"/>
          <w:b/>
          <w:sz w:val="40"/>
          <w:szCs w:val="40"/>
        </w:rPr>
        <w:t>5</w:t>
      </w:r>
      <w:r>
        <w:rPr>
          <w:rFonts w:eastAsia="Cambria" w:cs="Cambria" w:ascii="Cambria" w:hAnsi="Cambria"/>
          <w:b/>
          <w:sz w:val="40"/>
          <w:szCs w:val="40"/>
        </w:rPr>
        <w:t>.0</w:t>
      </w:r>
      <w:r>
        <w:rPr>
          <w:rFonts w:eastAsia="Cambria" w:cs="Cambria" w:ascii="Cambria" w:hAnsi="Cambria"/>
          <w:b/>
          <w:sz w:val="40"/>
          <w:szCs w:val="40"/>
        </w:rPr>
        <w:t>1</w:t>
      </w:r>
    </w:p>
    <w:p>
      <w:pPr>
        <w:pStyle w:val="LOnormal"/>
        <w:rPr/>
      </w:pPr>
      <w:r>
        <w:rPr/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Измерение температуры и интегрального</w:t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коэффициента излучения тела методом</w:t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спектральных отношений</w:t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Определить значения интегрального коэффициента излучения 𝐴</w:t>
      </w:r>
      <w:r>
        <w:rPr>
          <w:vertAlign w:val="subscript"/>
        </w:rPr>
        <w:t>𝑇</w:t>
      </w:r>
      <w:r>
        <w:rPr/>
        <w:t xml:space="preserve"> источника, исследовать зависимость 𝐴</w:t>
      </w:r>
      <w:r>
        <w:rPr>
          <w:vertAlign w:val="subscript"/>
        </w:rPr>
        <w:t>𝑇</w:t>
      </w:r>
      <w:r>
        <w:rPr/>
        <w:t xml:space="preserve"> от температуры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Оценить погрешности измерений.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3. Объект исследования.</w:t>
      </w:r>
    </w:p>
    <w:p>
      <w:pPr>
        <w:pStyle w:val="LOnormal"/>
        <w:widowControl w:val="false"/>
        <w:suppressAutoHyphens w:val="true"/>
        <w:bidi w:val="0"/>
        <w:spacing w:before="171" w:after="171"/>
        <w:ind w:left="540" w:right="0" w:hanging="0"/>
        <w:jc w:val="left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LOnormal"/>
        <w:tabs>
          <w:tab w:val="clear" w:pos="720"/>
          <w:tab w:val="left" w:pos="10077" w:leader="none"/>
        </w:tabs>
        <w:spacing w:before="171" w:after="171"/>
        <w:ind w:left="809" w:right="720" w:hanging="0"/>
        <w:rPr/>
      </w:pPr>
      <w:r>
        <w:rPr/>
        <w:t xml:space="preserve"> 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LOnormal"/>
        <w:spacing w:before="171" w:after="171"/>
        <w:ind w:left="809" w:hanging="0"/>
        <w:rPr/>
      </w:pPr>
      <w:r>
        <w:rPr/>
        <w:t>Рабочие формулы:</w:t>
      </w:r>
    </w:p>
    <w:p>
      <w:pPr>
        <w:pStyle w:val="LOnormal"/>
        <w:widowControl w:val="false"/>
        <w:numPr>
          <w:ilvl w:val="0"/>
          <w:numId w:val="7"/>
        </w:numPr>
        <w:suppressAutoHyphens w:val="true"/>
        <w:bidi w:val="0"/>
        <w:spacing w:before="171" w:after="171"/>
        <w:jc w:val="left"/>
        <w:rPr/>
      </w:pPr>
      <w:r>
        <w:rPr/>
        <w:t>формул</w:t>
      </w:r>
      <w:r>
        <w:rPr/>
        <w:t xml:space="preserve">а </w:t>
      </w:r>
      <w:r>
        <w:rPr/>
        <w:t xml:space="preserve">Планка </w:t>
      </w:r>
      <w:r>
        <w:rPr/>
        <w:drawing>
          <wp:inline distT="0" distB="0" distL="0" distR="0">
            <wp:extent cx="2611120" cy="74549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t>где 𝑐 - скорость света в вакууме,</w:t>
        <w:br/>
        <w:t xml:space="preserve"> ℎ - постоянная Планка,</w:t>
        <w:br/>
        <w:t xml:space="preserve"> 𝜆 - дли</w:t>
      </w:r>
      <w:r>
        <w:rPr/>
        <w:t>на волны ,</w:t>
        <w:br/>
        <w:t xml:space="preserve"> 𝑘 - постоянная Больцмана,</w:t>
        <w:br/>
        <w:t xml:space="preserve"> 𝑇 - температура</w:t>
      </w:r>
    </w:p>
    <w:p>
      <w:pPr>
        <w:pStyle w:val="LOnormal"/>
        <w:widowControl w:val="false"/>
        <w:numPr>
          <w:ilvl w:val="0"/>
          <w:numId w:val="7"/>
        </w:numPr>
        <w:suppressAutoHyphens w:val="true"/>
        <w:bidi w:val="0"/>
        <w:spacing w:before="171" w:after="171"/>
        <w:jc w:val="left"/>
        <w:rPr/>
      </w:pPr>
      <w:r>
        <w:rPr/>
        <w:t xml:space="preserve">энергетическая светимость абсолютно черного тела равна </w:t>
      </w:r>
      <w:r>
        <w:rPr/>
        <w:drawing>
          <wp:inline distT="0" distB="0" distL="0" distR="0">
            <wp:extent cx="2338705" cy="3689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0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widowControl w:val="false"/>
        <w:numPr>
          <w:ilvl w:val="0"/>
          <w:numId w:val="7"/>
        </w:numPr>
        <w:suppressAutoHyphens w:val="true"/>
        <w:bidi w:val="0"/>
        <w:spacing w:before="171" w:after="171"/>
        <w:jc w:val="left"/>
        <w:rPr/>
      </w:pPr>
      <w:r>
        <w:rPr/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/>
      </w:r>
    </w:p>
    <w:p>
      <w:pPr>
        <w:pStyle w:val="TextBody"/>
        <w:widowControl w:val="false"/>
        <w:suppressAutoHyphens w:val="true"/>
        <w:bidi w:val="0"/>
        <w:spacing w:lineRule="auto" w:line="276" w:before="171" w:after="171"/>
        <w:ind w:left="629" w:right="720" w:hanging="0"/>
        <w:jc w:val="left"/>
        <w:rPr>
          <w:color w:val="3465A4"/>
          <w:sz w:val="28"/>
          <w:szCs w:val="28"/>
        </w:rPr>
      </w:pPr>
      <w:r>
        <w:rPr>
          <w:rStyle w:val="StrongEmphasis"/>
          <w:color w:val="000000"/>
          <w:sz w:val="28"/>
          <w:szCs w:val="28"/>
        </w:rPr>
        <w:t>Исходные данные:</w:t>
      </w:r>
    </w:p>
    <w:p>
      <w:pPr>
        <w:pStyle w:val="TextBody"/>
        <w:widowControl w:val="false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1260" w:right="0" w:hanging="269"/>
        <w:jc w:val="left"/>
        <w:rPr>
          <w:color w:val="3465A4"/>
          <w:sz w:val="28"/>
          <w:szCs w:val="28"/>
        </w:rPr>
      </w:pPr>
      <w:r>
        <w:rPr/>
        <w:t>Интегральный коэффициент излучения при температуре=2000 К для вольфрама 𝐴</w:t>
      </w:r>
      <w:r>
        <w:rPr>
          <w:vertAlign w:val="subscript"/>
        </w:rPr>
        <w:t>2000</w:t>
      </w:r>
      <w:r>
        <w:rPr/>
        <w:t xml:space="preserve"> = 0,249 </w:t>
      </w:r>
    </w:p>
    <w:p>
      <w:pPr>
        <w:pStyle w:val="TextBody"/>
        <w:widowControl w:val="false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1260" w:right="0" w:hanging="269"/>
        <w:jc w:val="left"/>
        <w:rPr>
          <w:color w:val="3465A4"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6. Схема установки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ind w:left="720" w:firstLine="720"/>
        <w:jc w:val="center"/>
        <w:rPr/>
      </w:pPr>
      <w:r>
        <w:rPr>
          <w:b/>
          <w:bCs/>
          <w:color w:val="5983B0"/>
        </w:rPr>
        <w:t>Рис 1.  Схема экспериментальной установки</w:t>
      </w:r>
    </w:p>
    <w:p>
      <w:pPr>
        <w:pStyle w:val="LOnormal"/>
        <w:numPr>
          <w:ilvl w:val="0"/>
          <w:numId w:val="4"/>
        </w:numPr>
        <w:spacing w:before="228" w:after="228"/>
        <w:rPr>
          <w:sz w:val="28"/>
          <w:szCs w:val="28"/>
        </w:rPr>
      </w:pPr>
      <w:r>
        <w:rPr/>
      </w:r>
    </w:p>
    <w:p>
      <w:pPr>
        <w:pStyle w:val="LOnormal"/>
        <w:spacing w:before="228" w:after="228"/>
        <w:rPr>
          <w:sz w:val="28"/>
          <w:szCs w:val="28"/>
        </w:rPr>
      </w:pPr>
      <w:r>
        <w:rPr/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7. Результаты прямых измерений и их обработки</w:t>
      </w:r>
    </w:p>
    <w:p>
      <w:pPr>
        <w:pStyle w:val="TextBody"/>
        <w:spacing w:before="228" w:after="228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spacing w:before="228" w:after="228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spacing w:before="228" w:after="228"/>
        <w:jc w:val="center"/>
        <w:rPr/>
      </w:pPr>
      <w:r>
        <w:rPr>
          <w:color w:val="3465A4"/>
          <w:sz w:val="28"/>
          <w:szCs w:val="28"/>
        </w:rPr>
        <w:t xml:space="preserve">Таблица 1.1 </w:t>
      </w:r>
    </w:p>
    <w:tbl>
      <w:tblPr>
        <w:tblW w:w="6840" w:type="dxa"/>
        <w:jc w:val="left"/>
        <w:tblInd w:w="17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489"/>
        <w:gridCol w:w="1489"/>
        <w:gridCol w:w="1359"/>
        <w:gridCol w:w="1344"/>
        <w:gridCol w:w="2140"/>
      </w:tblGrid>
      <w:tr>
        <w:trPr>
          <w:trHeight w:val="287" w:hRule="atLeast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N</w:t>
            </w:r>
            <w:r>
              <w:rPr>
                <w:vertAlign w:val="subscript"/>
              </w:rPr>
              <w:t>замеров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I, мА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U, B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J</w:t>
            </w:r>
            <w:r>
              <w:rPr>
                <w:vertAlign w:val="subscript"/>
              </w:rPr>
              <w:t>1</w:t>
            </w:r>
            <w:r>
              <w:rPr>
                <w:position w:val="0"/>
                <w:sz w:val="24"/>
                <w:vertAlign w:val="baseline"/>
              </w:rPr>
              <w:t>/J</w:t>
            </w:r>
            <w:r>
              <w:rPr>
                <w:vertAlign w:val="subscript"/>
              </w:rPr>
              <w:t>0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J</w:t>
            </w:r>
            <w:r>
              <w:rPr>
                <w:vertAlign w:val="subscript"/>
              </w:rPr>
              <w:t>2</w:t>
            </w:r>
            <w:r>
              <w:rPr>
                <w:position w:val="0"/>
                <w:sz w:val="24"/>
                <w:vertAlign w:val="baseline"/>
              </w:rPr>
              <w:t>/J</w:t>
            </w:r>
            <w:r>
              <w:rPr>
                <w:vertAlign w:val="subscript"/>
              </w:rPr>
              <w:t>0</w:t>
            </w:r>
          </w:p>
        </w:tc>
      </w:tr>
      <w:tr>
        <w:trPr>
          <w:trHeight w:val="27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189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4.9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0.00</w:t>
            </w:r>
            <w:r>
              <w:rPr/>
              <w:t>6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</w:t>
            </w:r>
            <w:r>
              <w:rPr/>
              <w:t>084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195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5.3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0.010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0.118</w:t>
            </w:r>
          </w:p>
        </w:tc>
      </w:tr>
      <w:tr>
        <w:trPr>
          <w:trHeight w:val="27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202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5.7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0.016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0.164</w:t>
            </w:r>
          </w:p>
        </w:tc>
      </w:tr>
      <w:tr>
        <w:trPr>
          <w:trHeight w:val="27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6.1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0.025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0.220</w:t>
            </w:r>
          </w:p>
        </w:tc>
      </w:tr>
      <w:tr>
        <w:trPr>
          <w:trHeight w:val="27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</w:t>
            </w:r>
            <w:r>
              <w:rPr/>
              <w:t>0</w:t>
            </w:r>
            <w:r>
              <w:rPr/>
              <w:t>4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0.318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7.0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6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0.419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87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0.537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237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8.0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0.122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0.672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243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8.5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0.166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0.822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9.0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0.220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0.993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254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  <w:r>
              <w:rPr>
                <w:lang w:val="en-US"/>
              </w:rPr>
              <w:t>4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  <w:r>
              <w:rPr>
                <w:lang w:val="en-US"/>
              </w:rPr>
              <w:t>67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  <w:r>
              <w:rPr>
                <w:lang w:val="en-US"/>
              </w:rPr>
              <w:t>12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259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9.8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0.325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1.270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264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10.2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0.390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1.435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10.6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0.462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1.606</w:t>
            </w:r>
          </w:p>
        </w:tc>
      </w:tr>
      <w:tr>
        <w:trPr>
          <w:trHeight w:val="287" w:hRule="atLeast"/>
        </w:trPr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274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11.0</w:t>
            </w:r>
          </w:p>
        </w:tc>
        <w:tc>
          <w:tcPr>
            <w:tcW w:w="1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0.542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1.777</w:t>
            </w:r>
          </w:p>
        </w:tc>
      </w:tr>
    </w:tbl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/>
        <w:t>В таблице 1.1 записаны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/>
        <w:t>Силы тока 𝐼, протекающего через источник теплового излучения. Соответствующего напряжения 𝑈 на вольфрамовой спирали. Величины относительной интенсивности первого и второго фото-приемника 𝐽1/𝐽0 и 𝐽2/𝐽0 , которые будут сниматься c регистрирующего прибора.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8. Расчет результатов косвенных измерений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/>
      </w:pPr>
      <w:r>
        <w:rPr>
          <w:b/>
          <w:bCs/>
          <w:color w:val="5983B0"/>
        </w:rPr>
        <w:t xml:space="preserve">Таблица 2.1 </w:t>
      </w:r>
    </w:p>
    <w:tbl>
      <w:tblPr>
        <w:tblW w:w="5520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104"/>
        <w:gridCol w:w="1104"/>
        <w:gridCol w:w="1104"/>
        <w:gridCol w:w="1104"/>
        <w:gridCol w:w="1104"/>
      </w:tblGrid>
      <w:tr>
        <w:trPr>
          <w:trHeight w:val="293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N</w:t>
            </w:r>
            <w:r>
              <w:rPr>
                <w:vertAlign w:val="subscript"/>
              </w:rPr>
              <w:t>замеров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J</w:t>
            </w:r>
            <w:r>
              <w:rPr>
                <w:vertAlign w:val="subscript"/>
              </w:rPr>
              <w:t>1</w:t>
            </w:r>
            <w:r>
              <w:rPr>
                <w:position w:val="0"/>
                <w:sz w:val="24"/>
                <w:vertAlign w:val="baseline"/>
              </w:rPr>
              <w:t>/J</w:t>
            </w:r>
            <w:r>
              <w:rPr>
                <w:vertAlign w:val="subscript"/>
              </w:rPr>
              <w:t>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T, K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P, Вт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А</w:t>
            </w:r>
            <w:r>
              <w:rPr>
                <w:vertAlign w:val="subscript"/>
              </w:rPr>
              <w:t>т</w:t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13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14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15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>
          <w:sz w:val="24"/>
          <w:szCs w:val="24"/>
        </w:rPr>
      </w:pPr>
      <w:r>
        <w:rPr>
          <w:sz w:val="24"/>
          <w:szCs w:val="24"/>
        </w:rPr>
        <w:t>В таблице 2.1 записаны Мощности, выделяемой источником 𝑃</w:t>
      </w:r>
      <w:r>
        <w:rPr>
          <w:sz w:val="24"/>
          <w:szCs w:val="24"/>
          <w:vertAlign w:val="subscript"/>
        </w:rPr>
        <w:t>ист</w:t>
      </w:r>
      <w:r>
        <w:rPr>
          <w:sz w:val="24"/>
          <w:szCs w:val="24"/>
        </w:rPr>
        <w:t>. Отношения сигналов с фотоприемников 𝐽1/𝐽2 . Температуры нагретого тела 𝑇 . Интегрального коэффициента излучения 𝐴</w:t>
      </w:r>
      <w:r>
        <w:rPr>
          <w:sz w:val="24"/>
          <w:szCs w:val="24"/>
          <w:vertAlign w:val="subscript"/>
        </w:rPr>
        <w:t>𝑇</w:t>
      </w:r>
      <w:r>
        <w:rPr>
          <w:sz w:val="24"/>
          <w:szCs w:val="24"/>
        </w:rPr>
        <w:t xml:space="preserve"> 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9.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LOnormal"/>
        <w:spacing w:before="285" w:after="285"/>
        <w:ind w:right="720" w:hanging="0"/>
        <w:rPr/>
      </w:pPr>
      <w:r>
        <w:rPr>
          <w:b/>
          <w:bCs/>
        </w:rPr>
        <w:t>9.</w:t>
      </w:r>
      <w:r>
        <w:rPr>
          <w:rStyle w:val="StrongEmphasis"/>
          <w:b/>
          <w:bCs/>
        </w:rPr>
        <w:t>1.</w:t>
      </w:r>
      <w:r>
        <w:rPr>
          <w:rStyle w:val="StrongEmphasis"/>
        </w:rPr>
        <w:t xml:space="preserve"> Погрешности прямых измерений</w:t>
      </w:r>
    </w:p>
    <w:p>
      <w:pPr>
        <w:pStyle w:val="TextBody"/>
        <w:widowControl w:val="false"/>
        <w:numPr>
          <w:ilvl w:val="0"/>
          <w:numId w:val="0"/>
        </w:numPr>
        <w:suppressAutoHyphens w:val="true"/>
        <w:bidi w:val="0"/>
        <w:spacing w:before="285" w:after="285"/>
        <w:ind w:left="1169" w:hanging="0"/>
        <w:jc w:val="left"/>
        <w:rPr/>
      </w:pPr>
      <w:r>
        <w:rPr/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b/>
          <w:bCs/>
        </w:rPr>
        <w:t>9.2</w:t>
      </w:r>
      <w:r>
        <w:rPr>
          <w:rStyle w:val="StrongEmphasis"/>
          <w:b/>
          <w:bCs/>
        </w:rPr>
        <w:t xml:space="preserve"> Погрешность косвенных измерений (d)</w:t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/>
        <w:t xml:space="preserve">Формула для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Δx</m:t>
            </m:r>
          </m:num>
          <m:den>
            <m:r>
              <w:rPr>
                <w:rFonts w:ascii="Cambria Math" w:hAnsi="Cambria Math"/>
              </w:rPr>
              <m:t xml:space="preserve">λL</m:t>
            </m:r>
          </m:den>
        </m:f>
      </m:oMath>
      <w:r>
        <w:rPr/>
        <w:t>, где Δx — период интерференционной картины.</w:t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rStyle w:val="StrongEmphasis"/>
        </w:rPr>
        <w:t>Погрешность d</w:t>
      </w:r>
      <w:r>
        <w:rPr/>
        <w:t xml:space="preserve"> вычисляется по формуле для косвенных измерений:</w:t>
      </w:r>
    </w:p>
    <w:p>
      <w:pPr>
        <w:pStyle w:val="TextBody"/>
        <w:widowControl w:val="false"/>
        <w:suppressAutoHyphens w:val="true"/>
        <w:bidi w:val="0"/>
        <w:spacing w:before="285" w:after="285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εd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λΔλ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LΔL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ΔxΔ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Δx</m:t>
                  </m:r>
                </m:e>
              </m:d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rStyle w:val="StrongEmphasis"/>
          <w:b w:val="false"/>
          <w:bCs w:val="false"/>
          <w:i/>
        </w:rPr>
        <w:t>Пример расчета для L=65см:</w:t>
      </w:r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Δλ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6.5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0.0015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ΔL</m:t>
              </m:r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0.5</m:t>
              </m:r>
            </m:num>
            <m:den>
              <m:r>
                <w:rPr>
                  <w:rFonts w:ascii="Cambria Math" w:hAnsi="Cambria Math"/>
                </w:rPr>
                <m:t xml:space="preserve">65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0.0077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 xml:space="preserve">Погрешность Δx (разброс координат минимумов): Δ(Δx)≈0.1мм(оценка по разбросу данных). Тогда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Δ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Δx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Δx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0.1</m:t>
            </m:r>
          </m:num>
          <m:den>
            <m:r>
              <w:rPr>
                <w:rFonts w:ascii="Cambria Math" w:hAnsi="Cambria Math"/>
              </w:rPr>
              <m:t xml:space="preserve">0.5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0.04</m:t>
        </m:r>
        <m:r>
          <w:rPr>
            <w:rFonts w:ascii="Cambria Math" w:hAnsi="Cambria Math"/>
          </w:rPr>
          <m:t xml:space="preserve">.</m:t>
        </m:r>
      </m:oMath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 xml:space="preserve">Суммарная относительная погрешность: </w:t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0.0015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0.0077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0.04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0.041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4.1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%</m:t>
            </m:r>
          </m:e>
        </m:d>
        <m:r>
          <w:rPr>
            <w:rFonts w:ascii="Cambria Math" w:hAnsi="Cambria Math"/>
          </w:rPr>
          <m:t xml:space="preserve">.</m:t>
        </m:r>
      </m:oMath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>Абсолютная погрешность:</w:t>
      </w:r>
    </w:p>
    <w:p>
      <w:pPr>
        <w:pStyle w:val="TextBody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Δd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0.169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0.041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0.007</m:t>
          </m:r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spacing w:before="285" w:after="285"/>
        <w:ind w:right="720" w:hanging="0"/>
        <w:rPr>
          <w:i/>
          <w:i/>
        </w:rPr>
      </w:pPr>
      <w:r>
        <w:rPr/>
        <w:t xml:space="preserve">Для всех измерений среднее значение и погрешность: </w:t>
      </w:r>
    </w:p>
    <w:p>
      <w:pPr>
        <w:pStyle w:val="LOnormal"/>
        <w:spacing w:before="285" w:after="285"/>
        <w:ind w:right="72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⟨"/>
              <m:endChr m:val="⟩"/>
            </m:dPr>
            <m:e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0,169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0,1857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0,1788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0,1857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0,1625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0,1763</m:t>
          </m:r>
        </m:oMath>
      </m:oMathPara>
    </w:p>
    <w:p>
      <w:pPr>
        <w:pStyle w:val="LOnormal"/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⟨"/>
              <m:endChr m:val="⟩"/>
            </m:dPr>
            <m:e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0,1763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0,0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69</m:t>
              </m:r>
            </m:e>
          </m:d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5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0,95</m:t>
          </m:r>
        </m:oMath>
      </m:oMathPara>
    </w:p>
    <w:p>
      <w:pPr>
        <w:pStyle w:val="TextBody"/>
        <w:spacing w:before="285" w:after="285"/>
        <w:ind w:right="720" w:hanging="0"/>
        <w:rPr>
          <w:i/>
          <w:i/>
        </w:rPr>
      </w:pPr>
      <w:r>
        <w:rPr>
          <w:rStyle w:val="StrongEmphasis"/>
          <w:i/>
          <w:lang w:val="ru-RU"/>
        </w:rPr>
        <w:t>Сравнение с теорией:</w:t>
      </w:r>
      <w:r>
        <w:rPr>
          <w:rStyle w:val="StrongEmphasis"/>
          <w:i/>
          <w:lang w:val="en-US"/>
        </w:rPr>
        <w:t xml:space="preserve"> </w:t>
      </w:r>
      <w:r>
        <w:rPr/>
        <w:t>d</w:t>
      </w:r>
      <w:r>
        <w:rPr>
          <w:vertAlign w:val="subscript"/>
        </w:rPr>
        <w:t>теор</w:t>
      </w:r>
      <w:r>
        <w:rPr/>
        <w:t>​=(0.12±0.01)мм.</w:t>
      </w:r>
    </w:p>
    <w:p>
      <w:pPr>
        <w:pStyle w:val="TextBody"/>
        <w:spacing w:before="285" w:after="285"/>
        <w:ind w:right="720" w:hanging="0"/>
        <w:rPr>
          <w:i/>
          <w:i/>
        </w:rPr>
      </w:pPr>
      <w:r>
        <w:rPr/>
        <w:t>Расхождение может быть связано с систематическими погрешностями (например, неточность юстировки установки).</w:t>
      </w:r>
    </w:p>
    <w:p>
      <w:pPr>
        <w:pStyle w:val="LOnormal"/>
        <w:spacing w:before="285" w:after="285"/>
        <w:ind w:right="720" w:hanging="0"/>
        <w:rPr/>
      </w:pPr>
      <w:r>
        <w:rPr/>
      </w:r>
    </w:p>
    <w:p>
      <w:pPr>
        <w:pStyle w:val="LOnormal"/>
        <w:spacing w:before="285" w:after="285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10. Графики</w:t>
      </w:r>
    </w:p>
    <w:p>
      <w:pPr>
        <w:pStyle w:val="LOnormal"/>
        <w:spacing w:before="285" w:after="285"/>
        <w:jc w:val="center"/>
        <w:rPr>
          <w:b/>
          <w:b/>
          <w:bCs/>
          <w:color w:val="5983B0"/>
        </w:rPr>
      </w:pPr>
      <w:r>
        <w:rPr>
          <w:b/>
          <w:bCs/>
          <w:color w:val="5983B0"/>
        </w:rPr>
        <w:t>График 1.1</w:t>
      </w:r>
    </w:p>
    <w:p>
      <w:pPr>
        <w:pStyle w:val="LOnormal"/>
        <w:spacing w:before="285" w:after="285"/>
        <w:ind w:right="720" w:hanging="0"/>
        <w:rPr>
          <w:sz w:val="28"/>
          <w:szCs w:val="28"/>
        </w:rPr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11. Окончательные результаты.</w:t>
      </w:r>
    </w:p>
    <w:p>
      <w:pPr>
        <w:pStyle w:val="TextBody"/>
        <w:spacing w:before="285" w:after="285"/>
        <w:rPr>
          <w:rStyle w:val="StrongEmphasis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12. Выводы и анализ результатов работы.</w:t>
      </w:r>
    </w:p>
    <w:p>
      <w:pPr>
        <w:pStyle w:val="LOnormal"/>
        <w:spacing w:before="285" w:after="285"/>
        <w:ind w:left="720" w:right="720" w:hanging="0"/>
        <w:rPr>
          <w:color w:val="auto"/>
        </w:rPr>
      </w:pPr>
      <w:r>
        <w:rPr/>
      </w:r>
    </w:p>
    <w:sectPr>
      <w:headerReference w:type="first" r:id="rId4"/>
      <w:footerReference w:type="even" r:id="rId5"/>
      <w:footerReference w:type="default" r:id="rId6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tbl>
    <w:tblPr>
      <w:tblStyle w:val="TableNormal"/>
      <w:tblpPr w:vertAnchor="text" w:horzAnchor="text" w:leftFromText="181" w:rightFromText="181" w:tblpX="367" w:tblpY="1"/>
      <w:tblW w:w="100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noHBand="0" w:noVBand="1" w:firstColumn="0" w:lastRow="0" w:lastColumn="0" w:firstRow="0"/>
    </w:tblPr>
    <w:tblGrid>
      <w:gridCol w:w="6662"/>
      <w:gridCol w:w="3377"/>
    </w:tblGrid>
    <w:tr>
      <w:trPr/>
      <w:tc>
        <w:tcPr>
          <w:tcW w:w="6662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Университет ИТМО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Физико-технический мегафакультет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18"/>
              <w:szCs w:val="18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Физический факультет</w:t>
          </w:r>
        </w:p>
      </w:tc>
      <w:tc>
        <w:tcPr>
          <w:tcW w:w="3377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rFonts w:ascii="PT Sans" w:hAnsi="PT Sans" w:eastAsia="PT Sans" w:cs="PT Sans"/>
              <w:b/>
              <w:b/>
              <w:color w:val="000000"/>
              <w:sz w:val="20"/>
              <w:szCs w:val="20"/>
            </w:rPr>
          </w:pPr>
          <w:r>
            <w:rPr/>
            <w:drawing>
              <wp:inline distT="0" distB="0" distL="0" distR="0">
                <wp:extent cx="1844675" cy="506730"/>
                <wp:effectExtent l="0" t="0" r="0" b="0"/>
                <wp:docPr id="3" name="image2.jp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jp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4675" cy="506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169"/>
        </w:tabs>
        <w:ind w:left="11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29"/>
        </w:tabs>
        <w:ind w:left="15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89"/>
        </w:tabs>
        <w:ind w:left="18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9"/>
        </w:tabs>
        <w:ind w:left="26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69"/>
        </w:tabs>
        <w:ind w:left="29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29"/>
        </w:tabs>
        <w:ind w:left="33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89"/>
        </w:tabs>
        <w:ind w:left="36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49"/>
        </w:tabs>
        <w:ind w:left="404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/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/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/>
    </w:lvl>
    <w:lvl w:ilvl="4">
      <w:start w:val="1"/>
      <w:numFmt w:val="decimal"/>
      <w:lvlText w:val="%5."/>
      <w:lvlJc w:val="left"/>
      <w:pPr>
        <w:tabs>
          <w:tab w:val="num" w:pos="3060"/>
        </w:tabs>
        <w:ind w:left="3060" w:hanging="360"/>
      </w:pPr>
      <w:rPr/>
    </w:lvl>
    <w:lvl w:ilvl="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  <w:rPr/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/>
    </w:lvl>
    <w:lvl w:ilvl="7">
      <w:start w:val="1"/>
      <w:numFmt w:val="decimal"/>
      <w:lvlText w:val="%8."/>
      <w:lvlJc w:val="left"/>
      <w:pPr>
        <w:tabs>
          <w:tab w:val="num" w:pos="4140"/>
        </w:tabs>
        <w:ind w:left="4140" w:hanging="360"/>
      </w:pPr>
      <w:rPr/>
    </w:lvl>
    <w:lvl w:ilvl="8">
      <w:start w:val="1"/>
      <w:numFmt w:val="decimal"/>
      <w:lvlText w:val="%9."/>
      <w:lvlJc w:val="left"/>
      <w:pPr>
        <w:tabs>
          <w:tab w:val="num" w:pos="4500"/>
        </w:tabs>
        <w:ind w:left="45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427d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spacing w:lineRule="auto" w:line="420"/>
      <w:ind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spacing w:lineRule="auto" w:line="374" w:before="6" w:after="120"/>
      <w:ind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tabs>
        <w:tab w:val="clear" w:pos="720"/>
        <w:tab w:val="left" w:pos="1698" w:leader="none"/>
      </w:tabs>
      <w:spacing w:lineRule="auto" w:line="372"/>
      <w:ind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spacing w:lineRule="auto" w:line="192" w:before="30" w:after="552"/>
      <w:ind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b4451"/>
    <w:rPr>
      <w:color w:val="666666"/>
    </w:rPr>
  </w:style>
  <w:style w:type="character" w:styleId="NumberingSymbols" w:customStyle="1">
    <w:name w:val="Numbering Symbols"/>
    <w:qFormat/>
    <w:rPr/>
  </w:style>
  <w:style w:type="character" w:styleId="InternetLink">
    <w:name w:val="Hyperlink"/>
    <w:basedOn w:val="DefaultParagraphFont"/>
    <w:uiPriority w:val="99"/>
    <w:unhideWhenUsed/>
    <w:rsid w:val="00126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6feb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126feb"/>
    <w:rPr>
      <w:color w:val="800080" w:themeColor="followedHyperlink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fc5e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Application>LibreOffice/7.3.7.2$Linux_X86_64 LibreOffice_project/30$Build-2</Application>
  <AppVersion>15.0000</AppVersion>
  <Pages>5</Pages>
  <Words>419</Words>
  <Characters>2387</Characters>
  <CharactersWithSpaces>2696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2025-09-22T13:35:23Z</dcterms:modified>
  <cp:revision>282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