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24.jpeg" ContentType="image/jpe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Hlk195463594"/>
      <w:bookmarkEnd w:id="0"/>
      <w:r>
        <w:rPr/>
        <mc:AlternateContent>
          <mc:Choice Requires="wps">
            <w:drawing>
              <wp:inline distT="0" distB="0" distL="0" distR="0">
                <wp:extent cx="2992120" cy="2540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black" stroked="f" o:allowincell="f" style="position:absolute;margin-left:0pt;margin-top:-2.05pt;width:235.55pt;height:1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102"/>
      </w:tblGrid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kern w:val="0"/>
                <w:lang w:val="ru-RU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Группа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  <w:tab/>
              <w:tab/>
              <w:tab/>
            </w:r>
            <w:r>
              <w:rPr>
                <w:rFonts w:eastAsia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eastAsia="Times New Roman"/>
                <w:kern w:val="0"/>
                <w:sz w:val="2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К работе допущен: 17.03.2025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284"/>
                <w:tab w:val="left" w:pos="808" w:leader="none"/>
              </w:tabs>
              <w:suppressAutoHyphens w:val="true"/>
              <w:spacing w:before="240" w:after="0"/>
              <w:jc w:val="left"/>
              <w:rPr>
                <w:kern w:val="0"/>
                <w:lang w:val="ru-RU"/>
              </w:rPr>
            </w:pPr>
            <w:r>
              <w:rPr>
                <w:kern w:val="0"/>
                <w:u w:val="single"/>
                <w:lang w:val="ru-RU"/>
              </w:rPr>
              <w:t xml:space="preserve">Студенты: </w:t>
            </w:r>
            <w:r>
              <w:rPr>
                <w:kern w:val="0"/>
                <w:sz w:val="28"/>
                <w:szCs w:val="28"/>
                <w:u w:val="single"/>
                <w:lang w:val="ru-RU"/>
              </w:rPr>
              <w:t>Клименко А.А., Кузнецова А.А.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eastAsia="Times New Roman"/>
                <w:kern w:val="0"/>
                <w:sz w:val="2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Работа выполнена:</w:t>
            </w:r>
          </w:p>
        </w:tc>
      </w:tr>
      <w:tr>
        <w:trPr/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kern w:val="0"/>
                <w:lang w:val="ru-RU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Преподаватель</w:t>
            </w:r>
            <w:r>
              <w:rPr>
                <w:rFonts w:eastAsia="Times New Roman"/>
                <w:kern w:val="0"/>
                <w:sz w:val="20"/>
                <w:u w:val="single"/>
                <w:lang w:val="ru-RU" w:eastAsia="ru-RU" w:bidi="ar-SA"/>
              </w:rPr>
              <w:tab/>
            </w:r>
            <w:r>
              <w:rPr>
                <w:rFonts w:eastAsia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 А. В</w:t>
            </w:r>
            <w:r>
              <w:rPr>
                <w:rFonts w:eastAsia="Arial"/>
                <w:kern w:val="0"/>
                <w:sz w:val="20"/>
                <w:u w:val="single"/>
                <w:lang w:val="ru-RU" w:eastAsia="zh-CN" w:bidi="hi-IN"/>
              </w:rPr>
              <w:t>.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40" w:after="0"/>
              <w:jc w:val="left"/>
              <w:rPr>
                <w:rFonts w:eastAsia="Times New Roman"/>
                <w:kern w:val="0"/>
                <w:sz w:val="20"/>
                <w:lang w:val="ru-RU" w:eastAsia="ru-RU" w:bidi="ar-SA"/>
              </w:rPr>
            </w:pPr>
            <w:r>
              <w:rPr>
                <w:rFonts w:eastAsia="Times New Roman"/>
                <w:kern w:val="0"/>
                <w:sz w:val="20"/>
                <w:lang w:val="ru-RU" w:eastAsia="ru-RU" w:bidi="ar-SA"/>
              </w:rPr>
              <w:t>Отчет принят:</w:t>
            </w:r>
          </w:p>
        </w:tc>
      </w:tr>
    </w:tbl>
    <w:p>
      <w:pPr>
        <w:pStyle w:val="Normal"/>
        <w:spacing w:before="240" w:after="240"/>
        <w:jc w:val="center"/>
        <w:rPr>
          <w:rFonts w:cs="Times New Roman"/>
          <w:b/>
          <w:b/>
          <w:spacing w:val="30"/>
          <w:sz w:val="40"/>
          <w:szCs w:val="36"/>
        </w:rPr>
      </w:pPr>
      <w:r>
        <w:rPr>
          <w:rFonts w:cs="Times New Roman"/>
          <w:b/>
          <w:spacing w:val="30"/>
          <w:sz w:val="40"/>
          <w:szCs w:val="36"/>
        </w:rPr>
        <w:t>Рабочий протокол и отчет по</w:t>
        <w:br/>
        <w:t>лабораторной работе №3.10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Изучение свободных затухающих электромагнитных колебаний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1400" cy="1270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black" stroked="f" o:allowincell="f" style="position:absolute;margin-left:0pt;margin-top:-1.05pt;width:481.95pt;height:0.95pt;mso-wrap-style:none;v-text-anchor:middle;mso-position-vertical:top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/>
      </w:pPr>
      <w:r>
        <w:rPr/>
        <w:t>Изучение основных характеристик свободных затухающих колебаний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Изучить поведение свободных затухающих электромагнитных колебаний в последовательном колебательном контуре, содержащем индуктивность, ёмкость и активное сопротивление.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Экспериментально зарегистрировать затухающие колебания напряжения на конденсаторе с помощью осциллографа.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Измерить амплитуды напряжения на конденсаторе в разные моменты времени и определить логарифмический декремент затухания при различных сопротивлениях магазина сопротивлений.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Построить график зависимости логарифмического декремента от сопротивления контура и определить полное и собственное сопротивления цепи.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Рассчитать индуктивность катушки, сравнить её с паспортным значением и оценить погрешность измерений.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Вычислить добротность контура различными способами и проанализировать её зависимость от сопротивления.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Определить критическое сопротивление как теоретически, так и по экспериментальным данным.</w:t>
      </w:r>
    </w:p>
    <w:p>
      <w:pPr>
        <w:pStyle w:val="TextBody"/>
        <w:numPr>
          <w:ilvl w:val="0"/>
          <w:numId w:val="2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Исследовать влияние ёмкости на период затухающих колебаний и сравнить экспериментальные данные с расчётами по формулам Томсона и с учётом затухания.</w:t>
      </w:r>
    </w:p>
    <w:p>
      <w:pPr>
        <w:pStyle w:val="TextBody"/>
        <w:numPr>
          <w:ilvl w:val="0"/>
          <w:numId w:val="0"/>
        </w:numPr>
        <w:tabs>
          <w:tab w:val="clear" w:pos="284"/>
          <w:tab w:val="left" w:pos="10077" w:leader="none"/>
          <w:tab w:val="left" w:pos="10885" w:leader="none"/>
        </w:tabs>
        <w:spacing w:before="171" w:after="171"/>
        <w:ind w:left="0" w:right="720" w:hanging="0"/>
        <w:rPr/>
      </w:pPr>
      <w:r>
        <w:rPr>
          <w:b/>
          <w:bCs/>
          <w:sz w:val="28"/>
          <w:szCs w:val="28"/>
        </w:rPr>
        <w:t>3. Объект исследования</w:t>
      </w:r>
    </w:p>
    <w:p>
      <w:pPr>
        <w:pStyle w:val="Normal"/>
        <w:rPr/>
      </w:pPr>
      <w:r>
        <w:rPr/>
        <w:tab/>
        <w:tab/>
        <w:t>Ферромагнитный сердечник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TextBody"/>
        <w:tabs>
          <w:tab w:val="clear" w:pos="284"/>
          <w:tab w:val="left" w:pos="10077" w:leader="none"/>
        </w:tabs>
        <w:spacing w:before="171" w:after="171"/>
        <w:ind w:left="809" w:right="720" w:hanging="0"/>
        <w:rPr/>
      </w:pPr>
      <w:r>
        <w:rPr/>
        <w:t>Эмпирический лабораторный экспериментальный метод исследования.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Normal"/>
        <w:ind w:left="989" w:right="0" w:hanging="0"/>
        <w:rPr/>
      </w:pPr>
      <w:r>
        <w:rPr/>
        <w:t>Рабоче формулы:</w:t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852035" cy="1276985"/>
            <wp:effectExtent l="0" t="0" r="0" b="0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867910" cy="1407795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960620" cy="126365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984115" cy="93154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5019675" cy="938530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972685" cy="1238885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759960" cy="1186180"/>
            <wp:effectExtent l="0" t="0" r="0" b="0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5007610" cy="141668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827905" cy="106235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ind w:left="1709" w:right="0" w:hanging="0"/>
        <w:rPr/>
      </w:pPr>
      <w:r>
        <w:rPr/>
        <w:drawing>
          <wp:inline distT="0" distB="0" distL="0" distR="0">
            <wp:extent cx="4939030" cy="1257300"/>
            <wp:effectExtent l="0" t="0" r="0" b="0"/>
            <wp:docPr id="1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1709" w:right="0" w:hanging="0"/>
        <w:rPr/>
      </w:pPr>
      <w:r>
        <w:rPr/>
        <w:t xml:space="preserve">(15) </w:t>
      </w:r>
      <w:r>
        <w:rPr/>
        <w:drawing>
          <wp:inline distT="0" distB="0" distL="0" distR="0">
            <wp:extent cx="4964430" cy="71691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709" w:right="0" w:hanging="0"/>
        <w:rPr/>
      </w:pPr>
      <w:r>
        <w:rPr/>
        <w:t xml:space="preserve">(25) </w:t>
      </w:r>
      <w:r>
        <w:rPr/>
        <w:drawing>
          <wp:inline distT="0" distB="0" distL="0" distR="0">
            <wp:extent cx="5041265" cy="95059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709" w:right="0" w:hanging="0"/>
        <w:rPr/>
      </w:pPr>
      <w:r>
        <w:rPr/>
        <w:t xml:space="preserve">(22) </w:t>
      </w:r>
      <w:r>
        <w:rPr/>
        <w:drawing>
          <wp:inline distT="0" distB="0" distL="0" distR="0">
            <wp:extent cx="4973320" cy="73977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2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709" w:right="0" w:hanging="0"/>
        <w:rPr/>
      </w:pPr>
      <w:r>
        <w:rPr/>
        <w:t xml:space="preserve">(23) </w:t>
      </w:r>
      <w:r>
        <w:rPr/>
        <w:drawing>
          <wp:inline distT="0" distB="0" distL="0" distR="0">
            <wp:extent cx="4606290" cy="702945"/>
            <wp:effectExtent l="0" t="0" r="0" b="0"/>
            <wp:docPr id="1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709" w:right="0" w:hanging="0"/>
        <w:rPr/>
      </w:pPr>
      <w:r>
        <w:rPr/>
        <w:t>(28).</w:t>
      </w:r>
      <w:r>
        <w:rPr/>
        <w:drawing>
          <wp:inline distT="0" distB="0" distL="0" distR="0">
            <wp:extent cx="5033645" cy="605155"/>
            <wp:effectExtent l="0" t="0" r="0" b="0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709" w:right="0" w:hanging="0"/>
        <w:rPr/>
      </w:pPr>
      <w:r>
        <w:rPr/>
        <w:t xml:space="preserve">(29) </w:t>
      </w:r>
      <w:r>
        <w:rPr/>
        <w:drawing>
          <wp:inline distT="0" distB="0" distL="0" distR="0">
            <wp:extent cx="5029200" cy="604520"/>
            <wp:effectExtent l="0" t="0" r="0" b="0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1709" w:right="0" w:hanging="0"/>
        <w:rPr/>
      </w:pPr>
      <w:r>
        <w:rPr/>
        <w:t xml:space="preserve">(30) </w:t>
      </w:r>
      <w:r>
        <w:rPr/>
        <w:drawing>
          <wp:inline distT="0" distB="0" distL="0" distR="0">
            <wp:extent cx="5066030" cy="1005840"/>
            <wp:effectExtent l="0" t="0" r="0" b="0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6. Измерительные приборы.</w:t>
      </w:r>
    </w:p>
    <w:p>
      <w:pPr>
        <w:pStyle w:val="LOnormal"/>
        <w:spacing w:before="171" w:after="171"/>
        <w:ind w:left="809" w:right="720" w:hanging="0"/>
        <w:jc w:val="center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Таблица 1. Измерительные приборы</w:t>
      </w:r>
    </w:p>
    <w:tbl>
      <w:tblPr>
        <w:tblW w:w="9847" w:type="dxa"/>
        <w:jc w:val="left"/>
        <w:tblInd w:w="4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977"/>
        <w:gridCol w:w="1609"/>
        <w:gridCol w:w="2164"/>
        <w:gridCol w:w="2020"/>
      </w:tblGrid>
      <w:tr>
        <w:trPr>
          <w:trHeight w:val="20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  <w:t xml:space="preserve">№ </w:t>
            </w:r>
            <w:r>
              <w:rPr>
                <w:b/>
                <w:i/>
              </w:rPr>
              <w:t>п/п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b/>
                <w:b/>
                <w:i/>
                <w:i/>
              </w:rPr>
            </w:pPr>
            <w:bookmarkStart w:id="1" w:name="_gjdgxs"/>
            <w:bookmarkEnd w:id="1"/>
            <w:r>
              <w:rPr>
                <w:b/>
                <w:i/>
              </w:rPr>
              <w:t>Наименование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  <w:t>Тип прибора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  <w:t>Используемый</w:t>
              <w:br/>
              <w:t>диапазон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  <w:t>Погрешность</w:t>
              <w:br/>
              <w:t>прибора</w:t>
            </w:r>
          </w:p>
        </w:tc>
      </w:tr>
      <w:tr>
        <w:trPr>
          <w:trHeight w:val="772" w:hRule="atLeast"/>
          <w:cantSplit w:val="true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i/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LOnormal"/>
              <w:widowControl w:val="false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Осциллограф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цифровой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К</w:t>
            </w:r>
            <w:r>
              <w:rPr>
                <w:i/>
                <w:sz w:val="22"/>
                <w:szCs w:val="22"/>
                <w:vertAlign w:val="subscript"/>
                <w:lang w:val="en-US"/>
              </w:rPr>
              <w:t>у</w:t>
            </w:r>
            <w:r>
              <w:rPr>
                <w:i/>
                <w:sz w:val="22"/>
                <w:szCs w:val="22"/>
                <w:lang w:val="en-US"/>
              </w:rPr>
              <w:t xml:space="preserve"> = 0,2 /1 В</w:t>
            </w:r>
          </w:p>
          <w:p>
            <w:pPr>
              <w:pStyle w:val="LO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  <w:lang w:val="en-US"/>
              </w:rPr>
            </w:pPr>
            <w:r>
              <w:rPr>
                <w:i/>
                <w:sz w:val="22"/>
                <w:szCs w:val="22"/>
                <w:lang w:val="en-US"/>
              </w:rPr>
              <w:t>К</w:t>
            </w:r>
            <w:r>
              <w:rPr>
                <w:i/>
                <w:sz w:val="22"/>
                <w:szCs w:val="22"/>
                <w:vertAlign w:val="subscript"/>
                <w:lang w:val="en-US"/>
              </w:rPr>
              <w:t>х</w:t>
            </w:r>
            <w:r>
              <w:rPr>
                <w:i/>
                <w:sz w:val="22"/>
                <w:szCs w:val="22"/>
                <w:lang w:val="en-US"/>
              </w:rPr>
              <w:t xml:space="preserve"> = 10 мс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pacing w:before="120" w:after="120"/>
              <w:jc w:val="center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Коткл = </w:t>
            </w:r>
            <w:r>
              <w:rPr>
                <w:i/>
                <w:sz w:val="22"/>
                <w:szCs w:val="22"/>
                <w:u w:val="single"/>
              </w:rPr>
              <w:t>+</w:t>
            </w:r>
            <w:r>
              <w:rPr>
                <w:i/>
                <w:sz w:val="22"/>
                <w:szCs w:val="22"/>
              </w:rPr>
              <w:t xml:space="preserve"> 3%</w:t>
            </w:r>
          </w:p>
        </w:tc>
      </w:tr>
    </w:tbl>
    <w:p>
      <w:pPr>
        <w:pStyle w:val="LOnormal"/>
        <w:spacing w:lineRule="auto" w:line="276" w:before="171" w:after="171"/>
        <w:ind w:left="900" w:right="0" w:hanging="0"/>
        <w:rPr/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7. Схема установки</w:t>
      </w:r>
    </w:p>
    <w:p>
      <w:pPr>
        <w:pStyle w:val="LOnormal"/>
        <w:ind w:left="720" w:right="0" w:firstLine="720"/>
        <w:rPr/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2975" cy="3048000"/>
            <wp:effectExtent l="0" t="0" r="0" b="0"/>
            <wp:wrapSquare wrapText="largest"/>
            <wp:docPr id="2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9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228" w:after="228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8. Результаты прямых измерений и их обработки</w:t>
      </w:r>
    </w:p>
    <w:tbl>
      <w:tblPr>
        <w:tblW w:w="9000" w:type="dxa"/>
        <w:jc w:val="left"/>
        <w:tblInd w:w="9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04"/>
        <w:gridCol w:w="910"/>
        <w:gridCol w:w="709"/>
        <w:gridCol w:w="708"/>
        <w:gridCol w:w="402"/>
        <w:gridCol w:w="1316"/>
        <w:gridCol w:w="1315"/>
        <w:gridCol w:w="1721"/>
        <w:gridCol w:w="1314"/>
      </w:tblGrid>
      <w:tr>
        <w:trPr/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Rм, Ом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T, мс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2U</w:t>
            </w:r>
            <w:r>
              <w:rPr>
                <w:rFonts w:eastAsia="Arial"/>
                <w:vertAlign w:val="subscript"/>
              </w:rPr>
              <w:t>i</w:t>
            </w:r>
            <w:r>
              <w:rPr>
                <w:rFonts w:eastAsia="Arial"/>
              </w:rPr>
              <w:t>, дел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2U</w:t>
            </w:r>
            <w:r>
              <w:rPr>
                <w:rFonts w:eastAsia="Arial"/>
                <w:vertAlign w:val="subscript"/>
              </w:rPr>
              <w:t>i+n,</w:t>
            </w:r>
            <w:r>
              <w:rPr>
                <w:rFonts w:eastAsia="Arial"/>
              </w:rPr>
              <w:t xml:space="preserve"> дел</w:t>
            </w:r>
          </w:p>
        </w:tc>
        <w:tc>
          <w:tcPr>
            <w:tcW w:w="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λ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Q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R, Ом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L, мГн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5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3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8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0,36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12,2426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4,62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5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0,4013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11,3855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5,2676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4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3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0,4284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10,9181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6,2202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4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4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2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0,4331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10,8434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7,8806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4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2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9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0,5135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9,7883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7,0476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50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8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0,5365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9,5488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102,5088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7,9275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60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3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7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7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0,555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9,3717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8,9229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70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</w:t>
            </w:r>
            <w:r>
              <w:rPr>
                <w:rFonts w:eastAsia="Arial"/>
              </w:rPr>
              <w:t>9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3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6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0,5879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9,0876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122,5088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9,4299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80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  <w:lang w:val="en-US"/>
              </w:rPr>
              <w:t>2,</w:t>
            </w:r>
            <w:r>
              <w:rPr>
                <w:rFonts w:eastAsia="Arial"/>
              </w:rPr>
              <w:t>3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7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0,763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8,0285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132,5088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6,5483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90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2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2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5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0,8524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7,6794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142,5088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6,0694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100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2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1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5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0,973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7,3304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152,5088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5,3349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200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8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4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1,0986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7,0686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252,5088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11,4706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300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2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1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1,2425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6,8544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352,5088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17,4784</w:t>
            </w:r>
          </w:p>
        </w:tc>
      </w:tr>
      <w:tr>
        <w:trPr/>
        <w:tc>
          <w:tcPr>
            <w:tcW w:w="6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400</w:t>
            </w:r>
          </w:p>
        </w:tc>
        <w:tc>
          <w:tcPr>
            <w:tcW w:w="9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,05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1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1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>
                <w:rFonts w:eastAsia="Arial"/>
              </w:rPr>
              <w:t>0</w:t>
            </w:r>
            <w:r>
              <w:rPr>
                <w:rFonts w:eastAsia="Arial"/>
                <w:lang w:val="en-US"/>
              </w:rPr>
              <w:t>,</w:t>
            </w:r>
            <w:r>
              <w:rPr>
                <w:rFonts w:eastAsia="Arial"/>
              </w:rPr>
              <w:t>1</w:t>
            </w:r>
          </w:p>
        </w:tc>
        <w:tc>
          <w:tcPr>
            <w:tcW w:w="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</w:t>
            </w:r>
          </w:p>
        </w:tc>
        <w:tc>
          <w:tcPr>
            <w:tcW w:w="13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1,1989</w:t>
            </w:r>
          </w:p>
        </w:tc>
        <w:tc>
          <w:tcPr>
            <w:tcW w:w="13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6,9115</w:t>
            </w:r>
          </w:p>
        </w:tc>
        <w:tc>
          <w:tcPr>
            <w:tcW w:w="1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452,5088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30,9297</w:t>
            </w:r>
          </w:p>
        </w:tc>
      </w:tr>
    </w:tbl>
    <w:p>
      <w:pPr>
        <w:pStyle w:val="LOnormal"/>
        <w:spacing w:before="228" w:after="228"/>
        <w:jc w:val="center"/>
        <w:rPr>
          <w:color w:val="729FCF"/>
          <w:sz w:val="28"/>
          <w:szCs w:val="28"/>
        </w:rPr>
      </w:pPr>
      <w:r>
        <w:rPr>
          <w:color w:val="729FCF"/>
          <w:sz w:val="28"/>
          <w:szCs w:val="28"/>
        </w:rPr>
        <w:t>Таблица 1.1</w:t>
      </w:r>
    </w:p>
    <w:p>
      <w:pPr>
        <w:pStyle w:val="LOnormal"/>
        <w:widowControl w:val="false"/>
        <w:bidi w:val="0"/>
        <w:spacing w:before="228" w:after="228"/>
        <w:ind w:left="1440" w:right="809" w:hanging="0"/>
        <w:jc w:val="left"/>
        <w:rPr/>
      </w:pPr>
      <w:r>
        <w:rPr/>
        <w:t>В первом столбце мы записывали текущее сопротивление в Омах, его мы выставляли при помощи магазина сопротивлений.</w:t>
      </w:r>
    </w:p>
    <w:p>
      <w:pPr>
        <w:pStyle w:val="LOnormal"/>
        <w:widowControl w:val="false"/>
        <w:bidi w:val="0"/>
        <w:spacing w:before="228" w:after="228"/>
        <w:ind w:left="1440" w:right="809" w:hanging="0"/>
        <w:jc w:val="left"/>
        <w:rPr/>
      </w:pPr>
      <w:r>
        <w:rPr/>
        <w:t>Во втором столбце заносили измеренный период колебаний T, полученный с экрана осциллографа. Для повышения точности измерения период определяли по нескольким колебаниям и делили общий интервал на их количество.</w:t>
      </w:r>
    </w:p>
    <w:p>
      <w:pPr>
        <w:pStyle w:val="TextBody"/>
        <w:widowControl w:val="false"/>
        <w:bidi w:val="0"/>
        <w:spacing w:before="228" w:after="228"/>
        <w:ind w:left="1440" w:right="809" w:hanging="0"/>
        <w:jc w:val="left"/>
        <w:rPr/>
      </w:pPr>
      <w:r>
        <w:rPr>
          <w:rStyle w:val="StrongEmphasis"/>
          <w:b w:val="false"/>
          <w:bCs w:val="false"/>
        </w:rPr>
        <w:t>В третьем и четвёртом столбцах</w:t>
      </w:r>
      <w:r>
        <w:rPr/>
        <w:t xml:space="preserve"> указывались удвоенные амплитуды колебаний напряжения на конденсаторе:</w:t>
      </w:r>
    </w:p>
    <w:p>
      <w:pPr>
        <w:pStyle w:val="TextBody"/>
        <w:widowControl w:val="false"/>
        <w:numPr>
          <w:ilvl w:val="0"/>
          <w:numId w:val="5"/>
        </w:numPr>
        <w:tabs>
          <w:tab w:val="clear" w:pos="284"/>
          <w:tab w:val="left" w:pos="0" w:leader="none"/>
        </w:tabs>
        <w:bidi w:val="0"/>
        <w:ind w:left="2149" w:right="809" w:hanging="283"/>
        <w:jc w:val="left"/>
        <w:rPr/>
      </w:pPr>
      <w:r>
        <w:rPr/>
        <w:t>2Ui​ — в начальный момент,</w:t>
      </w:r>
    </w:p>
    <w:p>
      <w:pPr>
        <w:pStyle w:val="TextBody"/>
        <w:widowControl w:val="false"/>
        <w:numPr>
          <w:ilvl w:val="0"/>
          <w:numId w:val="5"/>
        </w:numPr>
        <w:tabs>
          <w:tab w:val="clear" w:pos="284"/>
          <w:tab w:val="left" w:pos="0" w:leader="none"/>
        </w:tabs>
        <w:bidi w:val="0"/>
        <w:ind w:left="2149" w:right="809" w:hanging="283"/>
        <w:jc w:val="left"/>
        <w:rPr/>
      </w:pPr>
      <w:r>
        <w:rPr/>
        <w:t>2Ui+n​ — спустя n полных периодов.</w:t>
        <w:br/>
        <w:t>Эти значения снимались в делениях с экрана осциллографа, поскольку при расчёте логарифмического декремента используется их отношение, и нет необходимости переводить их в вольты.</w:t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809" w:hanging="0"/>
        <w:jc w:val="left"/>
        <w:rPr/>
      </w:pPr>
      <w:r>
        <w:rPr>
          <w:rStyle w:val="StrongEmphasis"/>
          <w:b w:val="false"/>
          <w:bCs w:val="false"/>
        </w:rPr>
        <w:t xml:space="preserve">В </w:t>
      </w:r>
      <w:r>
        <w:rPr>
          <w:rStyle w:val="StrongEmphasis"/>
          <w:b/>
          <w:bCs/>
        </w:rPr>
        <w:t>пятом</w:t>
      </w:r>
      <w:r>
        <w:rPr>
          <w:rStyle w:val="StrongEmphasis"/>
          <w:b w:val="false"/>
          <w:bCs w:val="false"/>
        </w:rPr>
        <w:t xml:space="preserve"> столбце</w:t>
      </w:r>
      <w:r>
        <w:rPr/>
        <w:t xml:space="preserve"> записывалось значение n — количество полных периодов между моментами, в которые измерялись амплитуды Ui​ и Ui+n​. Обычно мы выбирали n=3, но при увеличении сопротивления волна начинала затухать быстрее, поэтому мы были вынужденны уменьшить n до 2 (двух).</w:t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809" w:hanging="0"/>
        <w:jc w:val="left"/>
        <w:rPr/>
      </w:pPr>
      <w:r>
        <w:rPr>
          <w:rStyle w:val="StrongEmphasis"/>
          <w:b w:val="false"/>
          <w:bCs w:val="false"/>
        </w:rPr>
        <w:t xml:space="preserve">В </w:t>
      </w:r>
      <w:r>
        <w:rPr>
          <w:rStyle w:val="StrongEmphasis"/>
          <w:b/>
          <w:bCs/>
        </w:rPr>
        <w:t>шестом</w:t>
      </w:r>
      <w:r>
        <w:rPr>
          <w:rStyle w:val="StrongEmphasis"/>
          <w:b w:val="false"/>
          <w:bCs w:val="false"/>
        </w:rPr>
        <w:t xml:space="preserve"> столбце</w:t>
      </w:r>
      <w:r>
        <w:rPr/>
        <w:t xml:space="preserve"> рассчитывался логарифмический декремент затухания λ по формуле (25):</w:t>
      </w:r>
    </w:p>
    <w:p>
      <w:pPr>
        <w:pStyle w:val="LOnormal"/>
        <w:spacing w:before="228" w:after="228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λ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ln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</m:den>
          </m:f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>Для первой строки значений: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λ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ln</m:t>
          </m:r>
          <m:f>
            <m:num>
              <m:r>
                <w:rPr>
                  <w:rFonts w:ascii="Cambria Math" w:hAnsi="Cambria Math"/>
                </w:rPr>
                <m:t xml:space="preserve">5,3</m:t>
              </m:r>
            </m:num>
            <m:den>
              <m:r>
                <w:rPr>
                  <w:rFonts w:ascii="Cambria Math" w:hAnsi="Cambria Math"/>
                </w:rPr>
                <m:t xml:space="preserve">1,8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0,36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 xml:space="preserve">Из графика 1.1 известно, что аппроксимирующая прямая пересекает ось абсцисс в точке </w:t>
      </w:r>
      <w:r>
        <w:rPr>
          <w:lang w:val="en-US"/>
        </w:rPr>
        <w:t>x</w:t>
      </w:r>
      <w:r>
        <w:rPr/>
        <w:t>=-52,5088, следовательно по формуле</w:t>
      </w:r>
    </w:p>
    <w:p>
      <w:pPr>
        <w:pStyle w:val="LOnormal"/>
        <w:spacing w:before="228" w:after="228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sSub>
            <m:e>
              <m:d>
                <m:dPr>
                  <m:begChr m:val=""/>
                  <m:endChr m:val="|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 xml:space="preserve">λ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52,5088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 xml:space="preserve">А значит наклон равен: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tan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0,0057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°</m:t>
        </m:r>
        <m:r>
          <w:rPr>
            <w:rFonts w:ascii="Cambria Math" w:hAnsi="Cambria Math"/>
          </w:rPr>
          <m:t xml:space="preserve">19</m:t>
        </m:r>
        <m:r>
          <w:rPr>
            <w:rFonts w:ascii="Cambria Math" w:hAnsi="Cambria Math"/>
          </w:rPr>
          <m:t xml:space="preserve">'</m:t>
        </m:r>
        <m:r>
          <w:rPr>
            <w:rFonts w:ascii="Cambria Math" w:hAnsi="Cambria Math"/>
          </w:rPr>
          <m:t xml:space="preserve">36</m:t>
        </m:r>
        <m:r>
          <w:rPr>
            <w:rFonts w:ascii="Cambria Math" w:hAnsi="Cambria Math"/>
          </w:rPr>
          <m:t xml:space="preserve">″</m:t>
        </m:r>
      </m:oMath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 xml:space="preserve">Рассчитаем значения полного сопротивления R по формуле (30) и запишем в </w:t>
      </w:r>
      <w:r>
        <w:rPr>
          <w:b/>
          <w:bCs/>
        </w:rPr>
        <w:t>восьмой</w:t>
      </w:r>
      <w:r>
        <w:rPr/>
        <w:t xml:space="preserve"> столбец: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>Для первой строки значений: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2,5088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2,5088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 xml:space="preserve">Рассчитаем значения индуктивности L, по формуле (23) и запишем в </w:t>
      </w:r>
      <w:r>
        <w:rPr>
          <w:b/>
          <w:bCs/>
        </w:rPr>
        <w:t>девятый</w:t>
      </w:r>
      <w:r>
        <w:rPr/>
        <w:t xml:space="preserve"> столбец: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λ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πR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L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≈</m:t>
          </m:r>
          <m:sSub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sSup>
            <m:e>
              <m:f>
                <m:num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πR</m:t>
                      </m:r>
                    </m:e>
                  </m:d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>Для первой строки значений:</w:t>
      </w:r>
    </w:p>
    <w:p>
      <w:pPr>
        <w:pStyle w:val="LOnormal"/>
        <w:spacing w:before="228" w:after="228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022</m:t>
          </m:r>
          <m:sSup>
            <m:e>
              <m:f>
                <m:num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52,5088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0,36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0</m:t>
              </m:r>
            </m:e>
            <m: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62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 xml:space="preserve">Вычислим добротность контура Q при различных сопротивлениях магазина по формуле (32) и запишем в </w:t>
      </w:r>
      <w:r>
        <w:rPr>
          <w:b/>
          <w:bCs/>
        </w:rPr>
        <w:t>седьмой</w:t>
      </w:r>
      <w:r>
        <w:rPr/>
        <w:t xml:space="preserve"> столбец: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λ</m:t>
                  </m:r>
                </m:sup>
              </m:sSup>
            </m:den>
          </m:f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>Для первой строки значений: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0,36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12,2426</m:t>
          </m:r>
        </m:oMath>
      </m:oMathPara>
    </w:p>
    <w:p>
      <w:pPr>
        <w:pStyle w:val="LOnormal"/>
        <w:spacing w:before="285" w:after="285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9. Расчет результатов косвенных измерений</w:t>
      </w:r>
    </w:p>
    <w:p>
      <w:pPr>
        <w:pStyle w:val="LOnormal"/>
        <w:widowControl w:val="false"/>
        <w:bidi w:val="0"/>
        <w:spacing w:before="228" w:after="228"/>
        <w:ind w:left="1349" w:right="0" w:hanging="0"/>
        <w:rPr/>
      </w:pPr>
      <w:r>
        <w:rPr/>
        <w:t>Вычисления индуктивности проведем только для малых значений сопротивления магазина: Rм ≤100 Ом</w:t>
      </w:r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6,8426</m:t>
          </m:r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rPr/>
      </w:pPr>
      <w:r>
        <w:rPr/>
        <w:t>Сравним среднее значение индуктивности с данными измерительного стенда:</w:t>
      </w:r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6,8426</m:t>
          </m:r>
          <m:r>
            <w:rPr>
              <w:rFonts w:ascii="Cambria Math" w:hAnsi="Cambria Math"/>
            </w:rPr>
            <m:t xml:space="preserve">мГн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стенда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10</m:t>
          </m:r>
          <m:r>
            <w:rPr>
              <w:rFonts w:ascii="Cambria Math" w:hAnsi="Cambria Math"/>
            </w:rPr>
            <m:t xml:space="preserve">мГн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стенда</m:t>
              </m:r>
            </m:sub>
          </m:sSub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rPr/>
      </w:pPr>
      <w:r>
        <w:rPr/>
        <w:t>Вычислим период колебаний в контуре при сопротивлении магазина 0, 200 и 400 Ом по формулам (14) и (30):</w:t>
      </w:r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LC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  <m: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</m:oMath>
      </m:oMathPara>
    </w:p>
    <w:tbl>
      <w:tblPr>
        <w:tblW w:w="4340" w:type="dxa"/>
        <w:jc w:val="left"/>
        <w:tblInd w:w="23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83"/>
        <w:gridCol w:w="2156"/>
      </w:tblGrid>
      <w:tr>
        <w:trPr/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>
                <w:kern w:val="0"/>
                <w:lang w:val="ru-RU"/>
              </w:rPr>
            </w:pPr>
            <w:r>
              <w:rPr>
                <w:kern w:val="0"/>
                <w:lang w:val="ru-RU"/>
              </w:rPr>
              <w:t>R</w:t>
            </w:r>
            <w:r>
              <w:rPr>
                <w:kern w:val="0"/>
                <w:vertAlign w:val="subscript"/>
                <w:lang w:val="ru-RU"/>
              </w:rPr>
              <w:t>м</w:t>
            </w:r>
            <w:r>
              <w:rPr>
                <w:kern w:val="0"/>
                <w:lang w:val="ru-RU"/>
              </w:rPr>
              <w:t>, Ом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LO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>
                <w:kern w:val="0"/>
                <w:lang w:val="ru-RU"/>
              </w:rPr>
            </w:pPr>
            <w:r>
              <w:rPr>
                <w:kern w:val="0"/>
                <w:lang w:val="en-US"/>
              </w:rPr>
              <w:t xml:space="preserve">T, </w:t>
            </w:r>
            <w:r>
              <w:rPr>
                <w:kern w:val="0"/>
                <w:lang w:val="ru-RU"/>
              </w:rPr>
              <w:t>мс</w:t>
            </w:r>
          </w:p>
        </w:tc>
      </w:tr>
      <w:tr>
        <w:trPr/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ind w:left="0" w:right="0" w:hanging="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0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>
                <w:rFonts w:eastAsia="Arial"/>
                <w:kern w:val="0"/>
                <w:lang w:val="ru-RU"/>
              </w:rPr>
            </w:pPr>
            <w:r>
              <w:rPr>
                <w:rFonts w:eastAsia="Arial"/>
                <w:kern w:val="0"/>
                <w:lang w:val="ru-RU"/>
              </w:rPr>
              <w:t>0,0634</w:t>
            </w:r>
          </w:p>
        </w:tc>
      </w:tr>
      <w:tr>
        <w:trPr/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ind w:left="0" w:right="0" w:hanging="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200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>
                <w:rFonts w:eastAsia="Arial"/>
                <w:kern w:val="0"/>
                <w:lang w:val="ru-RU"/>
              </w:rPr>
            </w:pPr>
            <w:r>
              <w:rPr>
                <w:rFonts w:eastAsia="Arial"/>
                <w:kern w:val="0"/>
                <w:lang w:val="ru-RU"/>
              </w:rPr>
              <w:t>0,1014</w:t>
            </w:r>
          </w:p>
        </w:tc>
      </w:tr>
      <w:tr>
        <w:trPr/>
        <w:tc>
          <w:tcPr>
            <w:tcW w:w="218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bidi w:val="0"/>
              <w:ind w:left="0" w:right="0" w:hanging="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400</w:t>
            </w:r>
          </w:p>
        </w:tc>
        <w:tc>
          <w:tcPr>
            <w:tcW w:w="2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widowControl w:val="false"/>
              <w:suppressAutoHyphens w:val="true"/>
              <w:bidi w:val="0"/>
              <w:spacing w:before="228" w:after="228"/>
              <w:ind w:left="0" w:right="0" w:hanging="0"/>
              <w:jc w:val="center"/>
              <w:rPr>
                <w:rFonts w:eastAsia="Arial"/>
                <w:kern w:val="0"/>
                <w:lang w:val="ru-RU"/>
              </w:rPr>
            </w:pPr>
            <w:r>
              <w:rPr>
                <w:rFonts w:eastAsia="Arial"/>
                <w:kern w:val="0"/>
                <w:lang w:val="ru-RU"/>
              </w:rPr>
              <w:t>0,1670</w:t>
            </w:r>
          </w:p>
        </w:tc>
      </w:tr>
    </w:tbl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>
          <w:color w:val="729FCF"/>
          <w:sz w:val="28"/>
          <w:szCs w:val="28"/>
        </w:rPr>
      </w:pPr>
      <w:r>
        <w:rPr>
          <w:color w:val="729FCF"/>
          <w:sz w:val="28"/>
          <w:szCs w:val="28"/>
        </w:rPr>
        <w:t>Таблица 2.1</w:t>
      </w:r>
    </w:p>
    <w:p>
      <w:pPr>
        <w:pStyle w:val="LOnormal"/>
        <w:widowControl w:val="false"/>
        <w:bidi w:val="0"/>
        <w:spacing w:before="228" w:after="228"/>
        <w:ind w:left="1349" w:right="0" w:hanging="0"/>
        <w:rPr/>
      </w:pPr>
      <w:r>
        <w:rPr/>
        <w:t>Для R</w:t>
      </w:r>
      <w:r>
        <w:rPr>
          <w:vertAlign w:val="subscript"/>
        </w:rPr>
        <w:t>м</w:t>
      </w:r>
      <w:r>
        <w:rPr/>
        <w:t xml:space="preserve"> = 0:</w:t>
      </w:r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ad>
                <m:radPr>
                  <m:degHide m:val="1"/>
                </m:radPr>
                <m:deg/>
                <m:e>
                  <m:f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4,62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0,022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52,5088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4,62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0,0634</m:t>
          </m:r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rPr>
          <w:iCs/>
        </w:rPr>
      </w:pPr>
      <w:r>
        <w:rPr>
          <w:iCs/>
        </w:rPr>
        <w:t>Результаты сравним с измеренными значениями:</w:t>
      </w:r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0634</m:t>
          </m:r>
          <m:r>
            <w:rPr>
              <w:rFonts w:ascii="Cambria Math" w:hAnsi="Cambria Math"/>
            </w:rPr>
            <m:t xml:space="preserve">мс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0,09</m:t>
          </m:r>
          <m:r>
            <w:rPr>
              <w:rFonts w:ascii="Cambria Math" w:hAnsi="Cambria Math"/>
            </w:rPr>
            <m:t xml:space="preserve">мс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200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1014</m:t>
          </m:r>
          <m:r>
            <w:rPr>
              <w:rFonts w:ascii="Cambria Math" w:hAnsi="Cambria Math"/>
            </w:rPr>
            <m:t xml:space="preserve">мс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200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05</m:t>
          </m:r>
          <m:r>
            <w:rPr>
              <w:rFonts w:ascii="Cambria Math" w:hAnsi="Cambria Math"/>
            </w:rPr>
            <m:t xml:space="preserve">мс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20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&gt;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20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40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1670</m:t>
          </m:r>
          <m:r>
            <w:rPr>
              <w:rFonts w:ascii="Cambria Math" w:hAnsi="Cambria Math"/>
            </w:rPr>
            <m:t xml:space="preserve">мс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40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05</m:t>
          </m:r>
          <m:r>
            <w:rPr>
              <w:rFonts w:ascii="Cambria Math" w:hAnsi="Cambria Math"/>
            </w:rPr>
            <m:t xml:space="preserve">мс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40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&gt;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40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</m:oMath>
      </m:oMathPara>
    </w:p>
    <w:p>
      <w:pPr>
        <w:pStyle w:val="LOnormal"/>
        <w:widowControl w:val="false"/>
        <w:bidi w:val="0"/>
        <w:spacing w:before="228" w:after="228"/>
        <w:ind w:left="1349" w:right="0" w:hanging="0"/>
        <w:rPr/>
      </w:pPr>
      <w:r>
        <w:rPr/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>
          <w:b w:val="false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b w:val="false"/>
          <w:bCs w:val="false"/>
          <w:i w:val="false"/>
          <w:iCs w:val="false"/>
          <w:sz w:val="26"/>
          <w:szCs w:val="26"/>
          <w:shd w:fill="auto" w:val="clear"/>
        </w:rPr>
        <w:t>973 Ома</w:t>
      </w:r>
      <w:r>
        <w:rPr>
          <w:b w:val="false"/>
          <w:bCs w:val="false"/>
          <w:i w:val="false"/>
          <w:iCs w:val="false"/>
          <w:sz w:val="26"/>
          <w:szCs w:val="26"/>
        </w:rPr>
        <w:t xml:space="preserve"> — исчезает периодичность у волны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Теперь оценим критическое сопротивление контура. </w:t>
      </w:r>
      <w:r>
        <w:rPr/>
        <w:t>Рассчитаем критическое сопротивление по формуле: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крит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теор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∗</m:t>
          </m:r>
          <m:rad>
            <m:radPr>
              <m:degHide m:val="1"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ср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∗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6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8426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022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115,3964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>Сравним полученные значения критического сопротивления: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крит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теор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115,3964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крит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973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крит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теор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&gt;</m:t>
          </m:r>
          <m:sSub>
            <m:e>
              <m:r>
                <w:rPr>
                  <w:rFonts w:ascii="Cambria Math" w:hAnsi="Cambria Math"/>
                </w:rPr>
                <m:t xml:space="preserve">R</m:t>
              </m:r>
            </m:e>
            <m:sub>
              <m:r>
                <w:rPr>
                  <w:rFonts w:ascii="Cambria Math" w:hAnsi="Cambria Math"/>
                </w:rPr>
                <m:t xml:space="preserve">крит</m:t>
              </m:r>
            </m:sub>
          </m:sSub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/>
        <w:t>Все хорошо.</w:t>
      </w:r>
    </w:p>
    <w:p>
      <w:pPr>
        <w:pStyle w:val="LOnormal"/>
        <w:spacing w:before="228" w:after="228"/>
        <w:rPr/>
      </w:pPr>
      <w:r>
        <w:rPr/>
        <w:t>Для данного этапа эксперимента мы установили нулевое значение сопротивления магазина сопротивлений Rм​=0. Далее поочерёдно включали в колебательный контур четыре различных конденсатора: C1​,C2​,C3​ и C4​. Для каждого из них с помощью осциллографа измеряли экспериментальное значение периода затухающих колебаний T</w:t>
      </w:r>
      <w:r>
        <w:rPr>
          <w:vertAlign w:val="subscript"/>
        </w:rPr>
        <w:t>эксп​.</w:t>
      </w:r>
    </w:p>
    <w:p>
      <w:pPr>
        <w:pStyle w:val="LOnormal"/>
        <w:spacing w:before="228" w:after="228"/>
        <w:rPr/>
      </w:pPr>
      <w:r>
        <w:rPr/>
        <w:t>На основе полученных данных, а также ранее найденных средних значений индуктивности L</w:t>
      </w:r>
      <w:r>
        <w:rPr>
          <w:vertAlign w:val="subscript"/>
        </w:rPr>
        <w:t>ср</w:t>
      </w:r>
      <w:r>
        <w:rPr/>
        <w:t>​ и собственного сопротивления контура R0​, были рассчитаны теоретические значения периода T</w:t>
      </w:r>
      <w:r>
        <w:rPr>
          <w:vertAlign w:val="subscript"/>
        </w:rPr>
        <w:t>теор</w:t>
      </w:r>
      <w:r>
        <w:rPr/>
        <w:t>​ по формуле (14). По результатам измерений и вычислений заполняем таблицу 2.2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41"/>
        <w:gridCol w:w="1980"/>
        <w:gridCol w:w="1894"/>
        <w:gridCol w:w="2068"/>
        <w:gridCol w:w="2822"/>
      </w:tblGrid>
      <w:tr>
        <w:trPr>
          <w:trHeight w:val="1175" w:hRule="atLeast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C, мкФ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Тэксп, мс</w:t>
            </w:r>
          </w:p>
        </w:tc>
        <w:tc>
          <w:tcPr>
            <w:tcW w:w="1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Т теор, мс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Т томпсон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4C7DC" w:val="clear"/>
            <w:vAlign w:val="center"/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/>
              <w:drawing>
                <wp:inline distT="0" distB="0" distL="0" distR="0">
                  <wp:extent cx="1550670" cy="521335"/>
                  <wp:effectExtent l="0" t="0" r="0" b="0"/>
                  <wp:docPr id="21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670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0" w:hRule="atLeast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0,022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0,09</w:t>
            </w:r>
          </w:p>
        </w:tc>
        <w:tc>
          <w:tcPr>
            <w:tcW w:w="1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0,0772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0,0771</w:t>
            </w:r>
          </w:p>
        </w:tc>
        <w:tc>
          <w:tcPr>
            <w:tcW w:w="2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16,616</w:t>
            </w:r>
          </w:p>
        </w:tc>
      </w:tr>
      <w:tr>
        <w:trPr>
          <w:trHeight w:val="310" w:hRule="atLeast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0,033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0,11</w:t>
            </w:r>
          </w:p>
        </w:tc>
        <w:tc>
          <w:tcPr>
            <w:tcW w:w="1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0,0946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0,0944</w:t>
            </w:r>
          </w:p>
        </w:tc>
        <w:tc>
          <w:tcPr>
            <w:tcW w:w="2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16,3111</w:t>
            </w:r>
          </w:p>
        </w:tc>
      </w:tr>
      <w:tr>
        <w:trPr>
          <w:trHeight w:val="300" w:hRule="atLeast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0,047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0,136</w:t>
            </w:r>
          </w:p>
        </w:tc>
        <w:tc>
          <w:tcPr>
            <w:tcW w:w="1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0,1129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0,1127</w:t>
            </w:r>
          </w:p>
        </w:tc>
        <w:tc>
          <w:tcPr>
            <w:tcW w:w="2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20,4115</w:t>
            </w:r>
          </w:p>
        </w:tc>
      </w:tr>
      <w:tr>
        <w:trPr>
          <w:trHeight w:val="292" w:hRule="atLeast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</w:rPr>
            </w:pPr>
            <w:r>
              <w:rPr>
                <w:rFonts w:eastAsia="Arial"/>
              </w:rPr>
              <w:t>0,47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0,43</w:t>
            </w:r>
          </w:p>
        </w:tc>
        <w:tc>
          <w:tcPr>
            <w:tcW w:w="18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0,3651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0,3563</w:t>
            </w:r>
          </w:p>
        </w:tc>
        <w:tc>
          <w:tcPr>
            <w:tcW w:w="2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17,7866</w:t>
            </w:r>
          </w:p>
        </w:tc>
      </w:tr>
    </w:tbl>
    <w:p>
      <w:pPr>
        <w:pStyle w:val="LOnormal"/>
        <w:spacing w:before="228" w:after="228"/>
        <w:jc w:val="center"/>
        <w:rPr>
          <w:color w:val="729FCF"/>
          <w:sz w:val="28"/>
          <w:szCs w:val="28"/>
          <w:lang w:val="en-US"/>
        </w:rPr>
      </w:pPr>
      <w:r>
        <w:rPr>
          <w:color w:val="729FCF"/>
          <w:sz w:val="28"/>
          <w:szCs w:val="28"/>
          <w:lang w:val="en-US"/>
        </w:rPr>
        <w:t>Таблица 2.2</w:t>
      </w:r>
    </w:p>
    <w:p>
      <w:pPr>
        <w:pStyle w:val="LOnormal"/>
        <w:spacing w:before="228" w:after="228"/>
        <w:rPr/>
      </w:pPr>
      <w:r>
        <w:rPr/>
        <w:t xml:space="preserve">Приведем вычисления для периода </w:t>
      </w:r>
      <w:r>
        <w:rPr>
          <w:lang w:val="en-US"/>
        </w:rPr>
        <w:t>T</w:t>
      </w:r>
      <w:r>
        <w:rPr>
          <w:vertAlign w:val="subscript"/>
        </w:rPr>
        <w:t>теор</w:t>
      </w:r>
      <w:r>
        <w:rPr/>
        <w:t xml:space="preserve"> по формуле (14), используя найденные выше индуктивность </w:t>
      </w:r>
      <w:r>
        <w:rPr>
          <w:lang w:val="en-US"/>
        </w:rPr>
        <w:t>L</w:t>
      </w:r>
      <w:r>
        <w:rPr>
          <w:vertAlign w:val="subscript"/>
        </w:rPr>
        <w:t>ср</w:t>
      </w:r>
      <w:r>
        <w:rPr/>
        <w:t xml:space="preserve"> и собственное сопротивление </w:t>
      </w:r>
      <w:r>
        <w:rPr>
          <w:lang w:val="en-US"/>
        </w:rPr>
        <w:t>R</w:t>
      </w:r>
      <w:r>
        <w:rPr/>
        <w:t>0 контура:</w:t>
      </w:r>
    </w:p>
    <w:p>
      <w:pPr>
        <w:pStyle w:val="LOnormal"/>
        <w:spacing w:before="228" w:after="228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ср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0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sSup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ср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>
      <w:pPr>
        <w:pStyle w:val="LOnormal"/>
        <w:spacing w:before="228" w:after="228"/>
        <w:rPr/>
      </w:pPr>
      <w:r>
        <w:rPr/>
        <w:t>Для первой строки значений:</w:t>
      </w:r>
    </w:p>
    <w:p>
      <w:pPr>
        <w:pStyle w:val="LOnormal"/>
        <w:spacing w:before="228" w:after="228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π</m:t>
              </m:r>
            </m:num>
            <m:den>
              <m:rad>
                <m:radPr>
                  <m:degHide m:val="1"/>
                </m:radPr>
                <m:deg/>
                <m:e>
                  <m:f>
                    <m:num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9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6,8426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0,022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52,5088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6,8426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 xml:space="preserve">∗</m:t>
          </m:r>
          <m:sSup>
            <m:e>
              <m:r>
                <w:rPr>
                  <w:rFonts w:ascii="Cambria Math" w:hAnsi="Cambria Math"/>
                </w:rPr>
                <m:t xml:space="preserve">10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0,0772</m:t>
          </m:r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  <w:t xml:space="preserve">Рассчитаем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</m:t>
        </m:r>
        <m:r>
          <w:rPr>
            <w:rFonts w:ascii="Cambria Math" w:hAnsi="Cambria Math"/>
          </w:rPr>
          <m:t xml:space="preserve">T</m:t>
        </m:r>
      </m:oMath>
      <w:r>
        <w:rPr/>
        <w:t xml:space="preserve"> по формуле:</w:t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δT</m:t>
          </m:r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эксп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теор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теор</m:t>
                  </m:r>
                </m:sub>
              </m:sSub>
            </m:den>
          </m:f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  <w:t>Для первой строки значений:</w:t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δT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09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0,0772</m:t>
              </m:r>
            </m:num>
            <m:den>
              <m:r>
                <w:rPr>
                  <w:rFonts w:ascii="Cambria Math" w:hAnsi="Cambria Math"/>
                </w:rPr>
                <m:t xml:space="preserve">0,0772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16,616</m:t>
          </m:r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  <w:t>Рассчитаем Т по формуле Томпсона:</w:t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π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LC</m:t>
              </m:r>
            </m:e>
          </m:rad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  <w:t>Для первой строки значений:</w:t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π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6,8426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0,022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0,0771</m:t>
          </m:r>
        </m:oMath>
      </m:oMathPara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  <w:t>Остальные значения в таблице заполнены аналогично.</w:t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left="1440" w:right="989" w:hanging="0"/>
        <w:rPr/>
      </w:pPr>
      <w:r>
        <w:rPr/>
        <w:t xml:space="preserve">Условие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≪</m:t>
        </m:r>
        <m:sSub>
          <m:e>
            <m:r>
              <w:rPr>
                <w:rFonts w:ascii="Cambria Math" w:hAnsi="Cambria Math"/>
              </w:rPr>
              <m:t xml:space="preserve">ω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>выполняется, а значит можем использовать формулу Томпсона для вычислений.</w:t>
      </w:r>
    </w:p>
    <w:p>
      <w:pPr>
        <w:pStyle w:val="LOnormal"/>
        <w:spacing w:before="285" w:after="285"/>
        <w:rPr/>
      </w:pPr>
      <w:r>
        <w:rPr>
          <w:b/>
          <w:sz w:val="28"/>
          <w:szCs w:val="28"/>
        </w:rPr>
        <w:t>10.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>
          <w:iCs/>
        </w:rPr>
      </w:pPr>
      <w:r>
        <w:rPr>
          <w:iCs/>
        </w:rPr>
        <w:t>Для 1-2 малых сопротивлений вычислим добротность Q по формуле (29):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R</m:t>
              </m:r>
            </m:den>
          </m:f>
          <m:r>
            <w:rPr>
              <w:rFonts w:ascii="Cambria Math" w:hAnsi="Cambria Math"/>
            </w:rPr>
            <m:t xml:space="preserve">∗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C</m:t>
                  </m:r>
                </m:den>
              </m:f>
            </m:e>
          </m:rad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>
          <w:iCs/>
        </w:rPr>
      </w:pPr>
      <w:r>
        <w:rPr>
          <w:iCs/>
        </w:rPr>
        <w:t>Для 1 строки: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2,5088</m:t>
              </m:r>
            </m:den>
          </m:f>
          <m:r>
            <w:rPr>
              <w:rFonts w:ascii="Cambria Math" w:hAnsi="Cambria Math"/>
            </w:rPr>
            <m:t xml:space="preserve">∗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62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022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8,7273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/>
      </w:pPr>
      <w:r>
        <w:rPr>
          <w:iCs/>
        </w:rPr>
        <w:t xml:space="preserve">Для </w:t>
      </w:r>
      <w:r>
        <w:rPr>
          <w:iCs/>
          <w:lang w:val="en-US"/>
        </w:rPr>
        <w:t>2</w:t>
      </w:r>
      <w:r>
        <w:rPr>
          <w:iCs/>
        </w:rPr>
        <w:t xml:space="preserve"> строки: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2,5088</m:t>
              </m:r>
            </m:den>
          </m:f>
          <m:r>
            <w:rPr>
              <w:rFonts w:ascii="Cambria Math" w:hAnsi="Cambria Math"/>
            </w:rPr>
            <m:t xml:space="preserve">∗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5,2676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022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7,8281</m:t>
          </m:r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>
          <w:iCs/>
        </w:rPr>
      </w:pPr>
      <w:r>
        <w:rPr>
          <w:iCs/>
        </w:rPr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rPr>
          <w:iCs/>
        </w:rPr>
      </w:pPr>
      <w:r>
        <w:rPr>
          <w:iCs/>
        </w:rPr>
        <w:t>Сравним полученные результаты.</w:t>
      </w:r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8,7273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12,2426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7,8281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11,3855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теор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Q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эксп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sub>
          </m:sSub>
        </m:oMath>
      </m:oMathPara>
    </w:p>
    <w:p>
      <w:pPr>
        <w:pStyle w:val="LOnormal"/>
        <w:widowControl w:val="false"/>
        <w:suppressAutoHyphens w:val="true"/>
        <w:bidi w:val="0"/>
        <w:spacing w:before="228" w:after="228"/>
        <w:ind w:left="1440" w:right="0" w:hanging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  <w:lang w:val="ru-RU" w:eastAsia="zh-CN" w:bidi="hi-IN"/>
        </w:rPr>
        <w:t>Значит измерения хорошие</w:t>
      </w:r>
    </w:p>
    <w:p>
      <w:pPr>
        <w:pStyle w:val="Normal"/>
        <w:spacing w:before="171" w:after="171"/>
        <w:ind w:left="720" w:right="0" w:hanging="0"/>
        <w:rPr/>
      </w:pPr>
      <w:r>
        <w:rPr/>
        <w:t xml:space="preserve">Рассчитаем погрешности для </w:t>
      </w:r>
      <w:r>
        <w:rPr>
          <w:lang w:val="en-US"/>
        </w:rPr>
        <w:t>L</w:t>
      </w:r>
      <w:r>
        <w:rPr>
          <w:vertAlign w:val="subscript"/>
        </w:rPr>
        <w:t>ср</w:t>
      </w:r>
    </w:p>
    <w:p>
      <w:pPr>
        <w:pStyle w:val="LOnormal"/>
        <w:spacing w:before="228" w:after="228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6,8426</m:t>
          </m:r>
        </m:oMath>
      </m:oMathPara>
    </w:p>
    <w:p>
      <w:pPr>
        <w:pStyle w:val="Normal"/>
        <w:spacing w:before="171" w:after="171"/>
        <w:ind w:left="720" w:right="0" w:hanging="0"/>
        <w:rPr/>
      </w:pPr>
      <w:r>
        <w:rPr/>
        <w:t>Среднее квадратическое отклонение (СКО):</w:t>
      </w:r>
    </w:p>
    <w:p>
      <w:pPr>
        <w:pStyle w:val="Normal"/>
        <w:spacing w:before="171" w:after="171"/>
        <w:ind w:left="72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11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ср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 xml:space="preserve">11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10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24,0833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110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0,4679</m:t>
          </m:r>
        </m:oMath>
      </m:oMathPara>
    </w:p>
    <w:p>
      <w:pPr>
        <w:pStyle w:val="Normal"/>
        <w:spacing w:before="171" w:after="171"/>
        <w:ind w:left="720" w:right="0" w:hanging="0"/>
        <w:rPr/>
      </w:pPr>
      <w:r>
        <w:rPr/>
        <w:t>Доверительный интервал случайной погрешности:</w:t>
      </w:r>
    </w:p>
    <w:p>
      <w:pPr>
        <w:pStyle w:val="Normal"/>
        <w:spacing w:before="171" w:after="171"/>
        <w:ind w:left="72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∆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α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11</m:t>
              </m:r>
            </m:sub>
          </m:sSub>
          <m:r>
            <w:rPr>
              <w:rFonts w:ascii="Cambria Math" w:hAnsi="Cambria Math"/>
            </w:rPr>
            <m:t xml:space="preserve">∗</m:t>
          </m:r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2,23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0,4679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1,0434</m:t>
          </m:r>
        </m:oMath>
      </m:oMathPara>
    </w:p>
    <w:p>
      <w:pPr>
        <w:pStyle w:val="Normal"/>
        <w:spacing w:before="171" w:after="171"/>
        <w:ind w:left="720" w:right="0" w:hanging="0"/>
        <w:rPr/>
      </w:pPr>
      <w:r>
        <w:rPr/>
        <w:t>Абсолютная погрешность измерения:</w:t>
      </w:r>
    </w:p>
    <w:p>
      <w:pPr>
        <w:pStyle w:val="Normal"/>
        <w:spacing w:before="171" w:after="171"/>
        <w:ind w:left="72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∆</m:t>
                          </m:r>
                        </m:e>
                        <m:sub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ср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den>
                      </m:f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и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1,0434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1,2382</m:t>
          </m:r>
        </m:oMath>
      </m:oMathPara>
    </w:p>
    <w:p>
      <w:pPr>
        <w:pStyle w:val="Normal"/>
        <w:spacing w:before="171" w:after="171"/>
        <w:ind w:left="720" w:right="0" w:hanging="0"/>
        <w:rPr/>
      </w:pPr>
      <w:r>
        <w:rPr/>
        <w:t>Относительная погрешность:</w:t>
      </w:r>
    </w:p>
    <w:p>
      <w:pPr>
        <w:pStyle w:val="Normal"/>
        <w:spacing w:before="171" w:after="171"/>
        <w:ind w:left="72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∆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1,2382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100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%</m:t>
              </m:r>
            </m:num>
            <m:den>
              <m:r>
                <w:rPr>
                  <w:rFonts w:ascii="Cambria Math" w:hAnsi="Cambria Math"/>
                </w:rPr>
                <m:t xml:space="preserve">6,8426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18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Normal"/>
        <w:spacing w:before="171" w:after="171"/>
        <w:ind w:left="720" w:right="0"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L</m:t>
              </m:r>
            </m:e>
            <m:sub>
              <m: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6,8426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1,2382</m:t>
              </m:r>
            </m:e>
          </m:d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ср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18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0,95</m:t>
          </m:r>
        </m:oMath>
      </m:oMathPara>
    </w:p>
    <w:p>
      <w:pPr>
        <w:pStyle w:val="Normal"/>
        <w:rPr/>
      </w:pPr>
      <w:r>
        <w:rPr>
          <w:rStyle w:val="StrongEmphasis"/>
          <w:iCs w:val="false"/>
          <w:sz w:val="28"/>
          <w:szCs w:val="28"/>
        </w:rPr>
        <w:t>11. График</w:t>
      </w:r>
    </w:p>
    <w:p>
      <w:pPr>
        <w:pStyle w:val="Normal"/>
        <w:rPr>
          <w:iCs w:val="false"/>
          <w:shd w:fill="FFFF00" w:val="clear"/>
        </w:rPr>
      </w:pPr>
      <w:r>
        <w:rPr>
          <w:iCs w:val="false"/>
          <w:shd w:fill="FFFF00" w:val="clear"/>
        </w:rPr>
      </w:r>
    </w:p>
    <w:p>
      <w:pPr>
        <w:pStyle w:val="Normal"/>
        <w:jc w:val="center"/>
        <w:rPr>
          <w:iCs w:val="false"/>
          <w:shd w:fill="FFFF00" w:val="clear"/>
        </w:rPr>
      </w:pPr>
      <w:r>
        <w:rPr>
          <w:iCs w:val="false"/>
          <w:shd w:fill="FFFF00" w:val="clear"/>
        </w:rPr>
      </w:r>
    </w:p>
    <w:p>
      <w:pPr>
        <w:pStyle w:val="Normal"/>
        <w:rPr/>
      </w:pPr>
      <w:r>
        <w:rPr/>
        <w:drawing>
          <wp:inline distT="0" distB="0" distL="0" distR="0">
            <wp:extent cx="6156325" cy="3641725"/>
            <wp:effectExtent l="0" t="0" r="0" b="0"/>
            <wp:docPr id="22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729FCF"/>
        </w:rPr>
      </w:pPr>
      <w:r>
        <w:rPr>
          <w:color w:val="729FCF"/>
        </w:rPr>
        <w:t>График 1.1</w:t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0" w:hanging="0"/>
        <w:jc w:val="left"/>
        <w:rPr/>
      </w:pPr>
      <w:r>
        <w:rPr/>
        <w:t>На основании экспериментальных данных из таблицы 1 был построен график 1.1 зависимости логарифмического декремента затухания λ от сопротивления магазина сопротивлений R</w:t>
      </w:r>
      <w:r>
        <w:rPr>
          <w:vertAlign w:val="subscript"/>
        </w:rPr>
        <w:t>м</w:t>
      </w:r>
      <w:r>
        <w:rPr/>
        <w:t>​.</w:t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1657350"/>
            <wp:effectExtent l="0" t="0" r="0" b="0"/>
            <wp:wrapSquare wrapText="largest"/>
            <wp:docPr id="2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0" w:hanging="0"/>
        <w:jc w:val="left"/>
        <w:rPr/>
      </w:pPr>
      <w:r>
        <w:rPr/>
        <w:t>Для анализа характера зависимости была выделена начальная область, соответствующая значениям R</w:t>
      </w:r>
      <w:r>
        <w:rPr>
          <w:vertAlign w:val="subscript"/>
        </w:rPr>
        <w:t>м</w:t>
      </w:r>
      <w:r>
        <w:rPr/>
        <w:t>​≤100 Ом, где затухание считается малым, а зависимость логарифмического декремента от сопротивления — практически линейной. В этой области была проведена аппроксимация экспериментальных точек прямой линией.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832475" cy="3678555"/>
            <wp:effectExtent l="0" t="0" r="0" b="0"/>
            <wp:docPr id="24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729FCF"/>
        </w:rPr>
      </w:pPr>
      <w:r>
        <w:rPr>
          <w:color w:val="729FCF"/>
        </w:rPr>
        <w:t>График 1.2</w:t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449" w:hanging="0"/>
        <w:jc w:val="left"/>
        <w:rPr>
          <w:color w:val="000000"/>
        </w:rPr>
      </w:pPr>
      <w:r>
        <w:rPr>
          <w:color w:val="000000"/>
        </w:rPr>
        <w:t>По экспериментальным данным, рассчитанным в таблице 1, построен график зависимости добротности колебательного контура Q от полного сопротивления R. График позволяет проанализировать, как качество (добротность) колебаний зависит от затухания в цепи.</w:t>
      </w:r>
    </w:p>
    <w:p>
      <w:pPr>
        <w:pStyle w:val="TextBody"/>
        <w:widowControl w:val="false"/>
        <w:suppressAutoHyphens w:val="true"/>
        <w:bidi w:val="0"/>
        <w:spacing w:lineRule="auto" w:line="276" w:before="0" w:after="140"/>
        <w:ind w:left="1440" w:right="449" w:hanging="0"/>
        <w:jc w:val="left"/>
        <w:rPr>
          <w:color w:val="000000"/>
        </w:rPr>
      </w:pPr>
      <w:r>
        <w:rPr>
          <w:color w:val="000000"/>
        </w:rPr>
        <w:t>Видно, что с увеличением сопротивления добротность постепенно уменьшается, что соответствует физическому смыслу: при большем сопротивлении энергия быстрее рассеивается в виде тепла, и система теряет способность поддерживать устойчивые колебания.</w:t>
      </w:r>
    </w:p>
    <w:p>
      <w:pPr>
        <w:pStyle w:val="Normal"/>
        <w:jc w:val="left"/>
        <w:rPr>
          <w:color w:val="729FCF"/>
        </w:rPr>
      </w:pPr>
      <w:r>
        <w:rPr>
          <w:color w:val="729FCF"/>
        </w:rPr>
      </w:r>
    </w:p>
    <w:p>
      <w:pPr>
        <w:pStyle w:val="Normal"/>
        <w:jc w:val="center"/>
        <w:rPr>
          <w:color w:val="729FCF"/>
        </w:rPr>
      </w:pPr>
      <w:r>
        <w:rPr>
          <w:color w:val="729FCF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31715" cy="3688715"/>
            <wp:effectExtent l="0" t="0" r="0" b="0"/>
            <wp:docPr id="2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729FCF"/>
        </w:rPr>
      </w:pPr>
      <w:r>
        <w:rPr>
          <w:color w:val="729FCF"/>
        </w:rPr>
        <w:t>График 1.3</w:t>
      </w:r>
    </w:p>
    <w:p>
      <w:pPr>
        <w:pStyle w:val="Normal"/>
        <w:jc w:val="center"/>
        <w:rPr>
          <w:color w:val="729FCF"/>
        </w:rPr>
      </w:pPr>
      <w:r>
        <w:rPr>
          <w:color w:val="729FCF"/>
        </w:rPr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TextBody"/>
        <w:spacing w:before="0" w:after="0"/>
        <w:ind w:left="540" w:right="0" w:hanging="0"/>
        <w:rPr>
          <w:rStyle w:val="StrongEmphasis"/>
        </w:rPr>
      </w:pPr>
      <w:r>
        <w:rPr/>
      </w:r>
    </w:p>
    <w:p>
      <w:pPr>
        <w:pStyle w:val="TextBody"/>
        <w:rPr/>
      </w:pPr>
      <w:r>
        <w:rPr>
          <w:rStyle w:val="StrongEmphasis"/>
          <w:sz w:val="28"/>
          <w:szCs w:val="28"/>
        </w:rPr>
        <w:t>12. Выводы и анализ результатов</w:t>
      </w:r>
    </w:p>
    <w:p>
      <w:pPr>
        <w:pStyle w:val="TextBody"/>
        <w:numPr>
          <w:ilvl w:val="0"/>
          <w:numId w:val="3"/>
        </w:numPr>
        <w:tabs>
          <w:tab w:val="clear" w:pos="284"/>
          <w:tab w:val="left" w:pos="0" w:leader="none"/>
        </w:tabs>
        <w:spacing w:before="0" w:after="0"/>
        <w:rPr/>
      </w:pPr>
      <w:r>
        <w:rPr/>
      </w:r>
    </w:p>
    <w:p>
      <w:pPr>
        <w:pStyle w:val="TextBody"/>
        <w:tabs>
          <w:tab w:val="clear" w:pos="284"/>
          <w:tab w:val="left" w:pos="0" w:leader="none"/>
        </w:tabs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first" r:id="rId25"/>
      <w:footerReference w:type="default" r:id="rId26"/>
      <w:type w:val="nextPage"/>
      <w:pgSz w:w="11906" w:h="16838"/>
      <w:pgMar w:left="567" w:right="567" w:gutter="567" w:header="720" w:top="567" w:footer="720" w:bottom="777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0" w:right="360" w:firstLine="360"/>
      <w:rPr/>
    </w:pPr>
    <w:r>
      <w:rPr/>
      <mc:AlternateContent>
        <mc:Choice Requires="wps">
          <w:drawing>
            <wp:anchor behindDoc="1" distT="0" distB="0" distL="0" distR="635" simplePos="0" locked="0" layoutInCell="0" allowOverlap="1" relativeHeight="45">
              <wp:simplePos x="0" y="0"/>
              <wp:positionH relativeFrom="margin">
                <wp:posOffset>6269355</wp:posOffset>
              </wp:positionH>
              <wp:positionV relativeFrom="paragraph">
                <wp:posOffset>635</wp:posOffset>
              </wp:positionV>
              <wp:extent cx="209550" cy="175260"/>
              <wp:effectExtent l="0" t="0" r="0" b="0"/>
              <wp:wrapSquare wrapText="bothSides"/>
              <wp:docPr id="30" name="Прямоугольник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9520" cy="175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Прямоугольник 5" path="m0,0l-2147483645,0l-2147483645,-2147483646l0,-2147483646xe" stroked="f" o:allowincell="f" style="position:absolute;margin-left:493.65pt;margin-top:0.05pt;width:16.45pt;height:13.7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 w:val="false"/>
      <w:rPr>
        <w:rFonts w:ascii="PT Sans" w:hAnsi="PT Sans"/>
        <w:b/>
        <w:b/>
        <w:sz w:val="8"/>
        <w:szCs w:val="16"/>
      </w:rPr>
    </w:pPr>
    <w:r>
      <w:rPr>
        <w:rFonts w:ascii="PT Sans" w:hAnsi="PT Sans"/>
        <w:b/>
        <w:sz w:val="8"/>
        <w:szCs w:val="16"/>
      </w:rPr>
      <mc:AlternateContent>
        <mc:Choice Requires="wps">
          <w:drawing>
            <wp:anchor behindDoc="1" distT="0" distB="0" distL="114935" distR="114935" simplePos="0" locked="0" layoutInCell="0" allowOverlap="1" relativeHeight="47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6375400" cy="499110"/>
              <wp:effectExtent l="0" t="0" r="0" b="0"/>
              <wp:wrapSquare wrapText="bothSides"/>
              <wp:docPr id="26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5240" cy="49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W w:w="10040" w:type="dxa"/>
                            <w:jc w:val="center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661"/>
                            <w:gridCol w:w="3378"/>
                          </w:tblGrid>
                          <w:tr>
                            <w:trPr/>
                            <w:tc>
                              <w:tcPr>
                                <w:tcW w:w="6661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suppressAutoHyphens w:val="tru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 w:eastAsia="Times New Roman"/>
                                    <w:b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rFonts w:eastAsia="Times New Roman" w:ascii="PT Sans" w:hAnsi="PT Sans"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  <w:t>Университет ИТМО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uppressAutoHyphens w:val="tru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 w:eastAsia="Times New Roman"/>
                                    <w:b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rFonts w:eastAsia="Times New Roman" w:ascii="PT Sans" w:hAnsi="PT Sans"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  <w:t>Физико-технический мегафакультет</w:t>
                                </w:r>
                              </w:p>
                              <w:p>
                                <w:pPr>
                                  <w:pStyle w:val="Header"/>
                                  <w:widowControl w:val="false"/>
                                  <w:suppressAutoHyphens w:val="true"/>
                                  <w:spacing w:before="0" w:after="0"/>
                                  <w:ind w:left="0" w:right="1033" w:hanging="0"/>
                                  <w:contextualSpacing/>
                                  <w:jc w:val="center"/>
                                  <w:rPr>
                                    <w:rFonts w:ascii="PT Sans" w:hAnsi="PT Sans" w:eastAsia="Times New Roman"/>
                                    <w:b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</w:pPr>
                                <w:r>
                                  <w:rPr>
                                    <w:rFonts w:eastAsia="Times New Roman" w:ascii="PT Sans" w:hAnsi="PT Sans"/>
                                    <w:b/>
                                    <w:kern w:val="0"/>
                                    <w:sz w:val="22"/>
                                    <w:szCs w:val="22"/>
                                    <w:lang w:val="ru-RU" w:eastAsia="ru-RU" w:bidi="ar-SA"/>
                                  </w:rPr>
                                  <w:t>Физический факультет</w:t>
                                </w:r>
                              </w:p>
                            </w:tc>
                            <w:tc>
                              <w:tcPr>
                                <w:tcW w:w="3378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Header"/>
                                  <w:widowControl w:val="false"/>
                                  <w:suppressAutoHyphens w:val="true"/>
                                  <w:spacing w:before="0" w:after="0"/>
                                  <w:jc w:val="center"/>
                                  <w:rPr>
                                    <w:rFonts w:eastAsia="Times New Roman"/>
                                    <w:kern w:val="0"/>
                                    <w:lang w:val="ru-RU" w:eastAsia="ru-RU" w:bidi="ar-SA"/>
                                  </w:rPr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818640" cy="499110"/>
                                      <wp:effectExtent l="0" t="0" r="0" b="0"/>
                                      <wp:docPr id="28" name="Рисунок 3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8" name="Рисунок 3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18640" cy="4991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3" path="m0,0l-2147483645,0l-2147483645,-2147483646l0,-2147483646xe" fillcolor="white" stroked="f" o:allowincell="f" style="position:absolute;margin-left:4.1pt;margin-top:0.05pt;width:501.95pt;height:39.25pt;mso-wrap-style:none;v-text-anchor:middle;mso-position-horizontal:center">
              <v:fill o:detectmouseclick="t" type="solid" color2="black" opacity="0"/>
              <v:stroke color="#3465a4" joinstyle="round" endcap="flat"/>
              <v:textbox>
                <w:txbxContent>
                  <w:tbl>
                    <w:tblPr>
                      <w:tblW w:w="10040" w:type="dxa"/>
                      <w:jc w:val="center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661"/>
                      <w:gridCol w:w="3378"/>
                    </w:tblGrid>
                    <w:tr>
                      <w:trPr/>
                      <w:tc>
                        <w:tcPr>
                          <w:tcW w:w="6661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suppressAutoHyphens w:val="tru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 w:eastAsia="Times New Roman"/>
                              <w:b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</w:pPr>
                          <w:r>
                            <w:rPr>
                              <w:rFonts w:eastAsia="Times New Roman" w:ascii="PT Sans" w:hAnsi="PT Sans"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  <w:t>Университет ИТМО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uppressAutoHyphens w:val="tru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 w:eastAsia="Times New Roman"/>
                              <w:b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</w:pPr>
                          <w:r>
                            <w:rPr>
                              <w:rFonts w:eastAsia="Times New Roman" w:ascii="PT Sans" w:hAnsi="PT Sans"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  <w:t>Физико-технический мегафакультет</w:t>
                          </w:r>
                        </w:p>
                        <w:p>
                          <w:pPr>
                            <w:pStyle w:val="Header"/>
                            <w:widowControl w:val="false"/>
                            <w:suppressAutoHyphens w:val="true"/>
                            <w:spacing w:before="0" w:after="0"/>
                            <w:ind w:left="0" w:right="1033" w:hanging="0"/>
                            <w:contextualSpacing/>
                            <w:jc w:val="center"/>
                            <w:rPr>
                              <w:rFonts w:ascii="PT Sans" w:hAnsi="PT Sans" w:eastAsia="Times New Roman"/>
                              <w:b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</w:pPr>
                          <w:r>
                            <w:rPr>
                              <w:rFonts w:eastAsia="Times New Roman" w:ascii="PT Sans" w:hAnsi="PT Sans"/>
                              <w:b/>
                              <w:kern w:val="0"/>
                              <w:sz w:val="22"/>
                              <w:szCs w:val="22"/>
                              <w:lang w:val="ru-RU" w:eastAsia="ru-RU" w:bidi="ar-SA"/>
                            </w:rPr>
                            <w:t>Физический факультет</w:t>
                          </w:r>
                        </w:p>
                      </w:tc>
                      <w:tc>
                        <w:tcPr>
                          <w:tcW w:w="3378" w:type="dxa"/>
                          <w:tcBorders/>
                          <w:vAlign w:val="center"/>
                        </w:tcPr>
                        <w:p>
                          <w:pPr>
                            <w:pStyle w:val="Header"/>
                            <w:widowControl w:val="false"/>
                            <w:suppressAutoHyphens w:val="true"/>
                            <w:spacing w:before="0" w:after="0"/>
                            <w:jc w:val="center"/>
                            <w:rPr>
                              <w:rFonts w:eastAsia="Times New Roman"/>
                              <w:kern w:val="0"/>
                              <w:lang w:val="ru-RU" w:eastAsia="ru-RU" w:bidi="ar-SA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818640" cy="499110"/>
                                <wp:effectExtent l="0" t="0" r="0" b="0"/>
                                <wp:docPr id="29" name="Рисунок 3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Рисунок 3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18640" cy="4991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284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szCs w:val="24"/>
        <w:w w:val="100"/>
        <w:vanish w:val="false"/>
        <w:rFonts w:ascii="Arial" w:hAnsi="Arial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 "/>
      <w:lvlJc w:val="left"/>
      <w:pPr>
        <w:tabs>
          <w:tab w:val="num" w:pos="0"/>
        </w:tabs>
        <w:ind w:left="0" w:hanging="0"/>
      </w:pPr>
      <w:rPr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3"/>
  <w:embedSystemFonts/>
  <w:defaultTabStop w:val="284"/>
  <w:autoHyphenation w:val="true"/>
  <w:doNotHyphenateCap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Times New Roman" w:cs="Arial"/>
      <w:iCs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spacing w:lineRule="exact" w:line="420"/>
      <w:ind w:left="0" w:right="648" w:hanging="0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spacing w:lineRule="exact" w:line="378" w:before="6" w:after="0"/>
      <w:ind w:left="0" w:right="-1438" w:hanging="0"/>
      <w:jc w:val="both"/>
      <w:outlineLvl w:val="1"/>
    </w:pPr>
    <w:rPr>
      <w:i/>
      <w:iCs w:val="false"/>
      <w:w w:val="77"/>
      <w:szCs w:val="29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tabs>
        <w:tab w:val="clear" w:pos="284"/>
        <w:tab w:val="left" w:pos="1698" w:leader="underscore"/>
      </w:tabs>
      <w:spacing w:lineRule="exact" w:line="372"/>
      <w:ind w:left="0" w:right="-200" w:hanging="0"/>
      <w:outlineLvl w:val="2"/>
    </w:pPr>
    <w:rPr>
      <w:i/>
      <w:iCs w:val="false"/>
      <w:szCs w:val="29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spacing w:lineRule="exact" w:line="192" w:before="30" w:after="552"/>
      <w:ind w:left="0" w:right="384" w:hanging="0"/>
      <w:outlineLvl w:val="3"/>
    </w:pPr>
    <w:rPr>
      <w:rFonts w:ascii="Times New Roman" w:hAnsi="Times New Roman" w:cs="Times New Roman"/>
      <w:b/>
      <w:bCs/>
      <w:i/>
      <w:iCs w:val="false"/>
      <w:spacing w:val="-1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Style10">
    <w:name w:val="Текст выноски Знак"/>
    <w:basedOn w:val="DefaultParagraphFont"/>
    <w:link w:val="BalloonText"/>
    <w:qFormat/>
    <w:rPr>
      <w:rFonts w:ascii="Tahoma" w:hAnsi="Tahoma" w:cs="Tahoma"/>
      <w:iCs/>
      <w:sz w:val="16"/>
      <w:szCs w:val="16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lockText">
    <w:name w:val="Block Text"/>
    <w:basedOn w:val="Normal"/>
    <w:qFormat/>
    <w:pPr>
      <w:widowControl/>
      <w:spacing w:lineRule="exact" w:line="274" w:before="5" w:after="0"/>
      <w:ind w:left="5" w:right="14" w:firstLine="535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BodyTextIndent3">
    <w:name w:val="Body Text Indent 3"/>
    <w:basedOn w:val="Normal"/>
    <w:qFormat/>
    <w:pPr>
      <w:widowControl/>
      <w:tabs>
        <w:tab w:val="clear" w:pos="284"/>
        <w:tab w:val="left" w:pos="1224" w:leader="none"/>
      </w:tabs>
      <w:spacing w:lineRule="exact" w:line="274"/>
      <w:ind w:left="0" w:right="0" w:firstLine="540"/>
      <w:jc w:val="both"/>
    </w:pPr>
    <w:rPr>
      <w:rFonts w:ascii="Times New Roman" w:hAnsi="Times New Roman" w:cs="Times New Roman"/>
      <w:i/>
      <w:iCs w:val="false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0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LOnormal">
    <w:name w:val="LO-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4.jpeg"/><Relationship Id="rId2" Type="http://schemas.openxmlformats.org/officeDocument/2006/relationships/image" Target="media/image24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Application>LibreOffice/7.3.7.2$Linux_X86_64 LibreOffice_project/30$Build-2</Application>
  <AppVersion>15.0000</AppVersion>
  <Pages>12</Pages>
  <Words>912</Words>
  <Characters>5705</Characters>
  <CharactersWithSpaces>7320</CharactersWithSpaces>
  <Paragraphs>332</Paragraphs>
  <Company>ГОУ СПбГПУ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2025-04-13T06:51:00Z</dcterms:created>
  <dc:creator>Кафедра экспериментальной физики СПбГПУ</dc:creator>
  <dc:description/>
  <dc:language>en-US</dc:language>
  <cp:lastModifiedBy/>
  <cp:lastPrinted>2024-09-02T09:44:00Z</cp:lastPrinted>
  <dcterms:modified xsi:type="dcterms:W3CDTF">2025-04-14T18:39:04Z</dcterms:modified>
  <cp:revision>84</cp:revision>
  <dc:subject/>
  <dc:title>Бланк рабочего протокола и отчета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