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/>
      </w:pPr>
      <w:r>
        <w:rPr/>
      </w:r>
    </w:p>
    <w:tbl>
      <w:tblPr>
        <w:tblStyle w:val="TableNormal"/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05"/>
        <w:gridCol w:w="5102"/>
      </w:tblGrid>
      <w:tr>
        <w:trPr/>
        <w:tc>
          <w:tcPr>
            <w:tcW w:w="5105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Группа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К работе допущен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en-US" w:eastAsia="zh-CN" w:bidi="hi-IN"/>
              </w:rPr>
              <w:t>07.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en-US" w:eastAsia="zh-CN" w:bidi="hi-IN"/>
              </w:rPr>
              <w:t>04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.202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5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</w:r>
          </w:p>
        </w:tc>
      </w:tr>
      <w:tr>
        <w:trPr/>
        <w:tc>
          <w:tcPr>
            <w:tcW w:w="5105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808" w:leader="none"/>
              </w:tabs>
              <w:suppressAutoHyphens w:val="true"/>
              <w:spacing w:before="240" w:after="0"/>
              <w:ind w:left="1260" w:hanging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Студенты: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Клименко А.А., Кузнецова А.А.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Работа выполнена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5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Преподаватель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А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 xml:space="preserve">.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В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  <w:tab/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Отчет принят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LOnormal"/>
        <w:spacing w:before="240" w:after="240"/>
        <w:jc w:val="center"/>
        <w:rPr>
          <w:rFonts w:ascii="Cambria" w:hAnsi="Cambria" w:eastAsia="Cambria" w:cs="Cambria"/>
          <w:b/>
          <w:b/>
          <w:sz w:val="40"/>
          <w:szCs w:val="40"/>
        </w:rPr>
      </w:pPr>
      <w:r>
        <w:rPr>
          <w:rFonts w:eastAsia="Cambria" w:cs="Cambria" w:ascii="Cambria" w:hAnsi="Cambria"/>
          <w:b/>
          <w:sz w:val="40"/>
          <w:szCs w:val="40"/>
        </w:rPr>
        <w:t>Рабочий протокол и отчет по</w:t>
        <w:br/>
        <w:t>лабораторной работе №1.0</w:t>
      </w:r>
      <w:r>
        <w:rPr>
          <w:rFonts w:eastAsia="Cambria" w:cs="Cambria" w:ascii="Cambria" w:hAnsi="Cambria"/>
          <w:b/>
          <w:sz w:val="40"/>
          <w:szCs w:val="40"/>
        </w:rPr>
        <w:t>5</w:t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 wp14:anchorId="6A97D5D9">
                <wp:extent cx="6840220" cy="254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255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731520" bIns="7315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2.05pt;width:538.55pt;height:1.95pt;mso-wrap-style:none;v-text-anchor:middle;mso-position-vertical:top" wp14:anchorId="6A97D5D9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Исследование колебаний физического</w:t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маятника</w:t>
        <w:br/>
      </w:r>
      <w:r>
        <w:rPr>
          <w:sz w:val="36"/>
          <w:szCs w:val="36"/>
        </w:rPr>
        <mc:AlternateContent>
          <mc:Choice Requires="wps">
            <w:drawing>
              <wp:inline distT="0" distB="0" distL="0" distR="0" wp14:anchorId="70A47AC0">
                <wp:extent cx="6840220" cy="25400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255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731520" bIns="7315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2.05pt;width:538.55pt;height:1.95pt;mso-wrap-style:none;v-text-anchor:middle;mso-position-vertical:top" wp14:anchorId="70A47AC0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/>
      </w:pPr>
      <w:r>
        <w:rPr/>
        <w:t>Изучение характеристик затухающих колебаний физического маятника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Измерение периода затухающих колебаний.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Определение зависимости амплитуды затухающих колебаний физического маятника от времени.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 xml:space="preserve"> </w:t>
      </w:r>
      <w:r>
        <w:rPr/>
        <w:t>Определение зависимости периода колебаний от момента инерции физического маятника.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Определение преобладающего типа трения.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Определение экспериментальной и теоретической приведенных длин маятника при его разных конфигурациях.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3. Объект исследования.</w:t>
      </w:r>
    </w:p>
    <w:p>
      <w:pPr>
        <w:pStyle w:val="LOnormal"/>
        <w:spacing w:before="171" w:after="171"/>
        <w:ind w:left="720" w:hanging="0"/>
        <w:rPr/>
      </w:pPr>
      <w:r>
        <w:rPr/>
        <w:t>Амплитуда маятника и ее затухание. (+ преобладающий тип трения)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LOnormal"/>
        <w:tabs>
          <w:tab w:val="clear" w:pos="720"/>
          <w:tab w:val="left" w:pos="10077" w:leader="none"/>
        </w:tabs>
        <w:spacing w:before="171" w:after="171"/>
        <w:ind w:left="809" w:right="720" w:hanging="0"/>
        <w:rPr/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LOnormal"/>
        <w:spacing w:before="171" w:after="171"/>
        <w:ind w:left="809" w:hanging="0"/>
        <w:rPr/>
      </w:pPr>
      <w:r>
        <w:rPr/>
        <w:t>Рабочие формулы: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5293995" cy="1318895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5356860" cy="746760"/>
            <wp:effectExtent l="0" t="0" r="0" b="0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где 𝜀 - угловое ускорение.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4566920" cy="768985"/>
            <wp:effectExtent l="0" t="0" r="0" b="0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numPr>
          <w:ilvl w:val="0"/>
          <w:numId w:val="0"/>
        </w:numPr>
        <w:spacing w:before="171" w:after="171"/>
        <w:ind w:left="1559" w:right="720" w:hanging="0"/>
        <w:rPr/>
      </w:pPr>
      <w:r>
        <w:rPr/>
        <w:t>При малой скорости движения маятника сила лобового сопротивления пропорциональна скорости 𝜐 движения центра масс и называется силой вязкого трения, где 𝑟 – постоянный коэффициент, который будем называть коэффициентом сопротивления среды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4642485" cy="1220470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5306695" cy="1034415"/>
            <wp:effectExtent l="0" t="0" r="0" b="0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5180965" cy="1811020"/>
            <wp:effectExtent l="0" t="0" r="0" b="0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6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drawing>
          <wp:inline distT="0" distB="0" distL="0" distR="0">
            <wp:extent cx="5224145" cy="1436370"/>
            <wp:effectExtent l="0" t="0" r="0" b="0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t>.</w:t>
      </w:r>
    </w:p>
    <w:p>
      <w:pPr>
        <w:pStyle w:val="LOnormal"/>
        <w:numPr>
          <w:ilvl w:val="1"/>
          <w:numId w:val="3"/>
        </w:numPr>
        <w:spacing w:before="171" w:after="171"/>
        <w:ind w:left="1559" w:right="720" w:hanging="566"/>
        <w:rPr/>
      </w:pPr>
      <w:r>
        <w:rPr/>
        <w:t>.</w:t>
      </w:r>
    </w:p>
    <w:p>
      <w:pPr>
        <w:pStyle w:val="LOnormal"/>
        <w:numPr>
          <w:ilvl w:val="0"/>
          <w:numId w:val="0"/>
        </w:numPr>
        <w:spacing w:before="171" w:after="171"/>
        <w:ind w:left="993" w:right="720" w:hanging="0"/>
        <w:rPr/>
      </w:pPr>
      <w:r>
        <w:rPr/>
        <w:t>(10)</w:t>
      </w:r>
    </w:p>
    <w:p>
      <w:pPr>
        <w:pStyle w:val="LOnormal"/>
        <w:spacing w:before="171" w:after="171"/>
        <w:ind w:left="1559" w:right="720" w:hanging="566"/>
        <w:rPr/>
      </w:pPr>
      <w:r>
        <w:rPr/>
        <w:t>(17)</w:t>
      </w:r>
    </w:p>
    <w:p>
      <w:pPr>
        <w:pStyle w:val="LOnormal"/>
        <w:spacing w:before="171" w:after="171"/>
        <w:ind w:left="1559" w:right="720" w:hanging="566"/>
        <w:rPr/>
      </w:pPr>
      <w:r>
        <w:rPr/>
        <w:t>(14)</w:t>
      </w:r>
    </w:p>
    <w:p>
      <w:pPr>
        <w:pStyle w:val="LOnormal"/>
        <w:spacing w:before="171" w:after="171"/>
        <w:ind w:left="1559" w:right="720" w:hanging="566"/>
        <w:rPr/>
      </w:pPr>
      <w:r>
        <w:rPr/>
      </w:r>
    </w:p>
    <w:p>
      <w:pPr>
        <w:pStyle w:val="LOnormal"/>
        <w:numPr>
          <w:ilvl w:val="0"/>
          <w:numId w:val="0"/>
        </w:numPr>
        <w:spacing w:before="171" w:after="171"/>
        <w:ind w:left="993" w:right="720" w:hanging="0"/>
        <w:rPr/>
      </w:pPr>
      <w:r>
        <w:rPr/>
        <w:t>Исходные данные:</w:t>
      </w:r>
    </w:p>
    <w:p>
      <w:pPr>
        <w:pStyle w:val="LOnormal"/>
        <w:spacing w:before="171" w:after="171"/>
        <w:ind w:left="809" w:right="720" w:hanging="0"/>
        <w:jc w:val="center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Таблица 1. Параметры экспериментальной установки</w:t>
      </w:r>
    </w:p>
    <w:tbl>
      <w:tblPr>
        <w:tblStyle w:val="TableNormal"/>
        <w:tblW w:w="1131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83"/>
        <w:gridCol w:w="991"/>
        <w:gridCol w:w="1560"/>
        <w:gridCol w:w="1701"/>
        <w:gridCol w:w="1418"/>
        <w:gridCol w:w="1134"/>
        <w:gridCol w:w="1979"/>
        <w:gridCol w:w="1549"/>
      </w:tblGrid>
      <w:tr>
        <w:trPr>
          <w:trHeight w:val="275" w:hRule="atLeast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Масса каретки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Масса шайбы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Масса грузов на крестовине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Расстояние первой риски от оси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Расстояние между рисками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Диаметр ступицы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Диаметр груза на крестовине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/>
                <w:b/>
                <w:kern w:val="0"/>
                <w:sz w:val="20"/>
                <w:szCs w:val="20"/>
                <w:lang w:val="ru-RU" w:eastAsia="zh-CN" w:bidi="hi-IN"/>
              </w:rPr>
              <w:t>Высота груза на крестовине</w:t>
            </w:r>
          </w:p>
        </w:tc>
      </w:tr>
      <w:tr>
        <w:trPr>
          <w:trHeight w:val="265" w:hRule="atLeast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(47</w:t>
            </w: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г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(220</w:t>
            </w: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г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(408,0±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г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(57,0±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мм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(25,0±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0,2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мм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(46</w:t>
            </w: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мм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(40,0±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мм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(40,0±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 w:eastAsia="zh-CN" w:bidi="hi-IN"/>
              </w:rPr>
              <w:t>0,5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hi-IN"/>
              </w:rPr>
              <w:t>) мм</w:t>
            </w:r>
          </w:p>
        </w:tc>
      </w:tr>
    </w:tbl>
    <w:p>
      <w:pPr>
        <w:pStyle w:val="LOnormal"/>
        <w:tabs>
          <w:tab w:val="clear" w:pos="720"/>
          <w:tab w:val="left" w:pos="10673" w:leader="none"/>
        </w:tabs>
        <w:spacing w:before="171" w:after="171"/>
        <w:ind w:left="900" w:right="809" w:hanging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= 700 мм.,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= 0 мм. →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= 700мм.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6. Измерительные приборы.</w:t>
      </w:r>
    </w:p>
    <w:p>
      <w:pPr>
        <w:pStyle w:val="LOnormal"/>
        <w:spacing w:before="171" w:after="171"/>
        <w:ind w:left="809" w:right="720" w:hanging="0"/>
        <w:jc w:val="center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Таблица 2. Измерительные приборы</w:t>
      </w:r>
    </w:p>
    <w:tbl>
      <w:tblPr>
        <w:tblStyle w:val="TableNormal"/>
        <w:tblW w:w="9847" w:type="dxa"/>
        <w:jc w:val="left"/>
        <w:tblInd w:w="3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077"/>
        <w:gridCol w:w="2978"/>
        <w:gridCol w:w="1615"/>
        <w:gridCol w:w="2157"/>
        <w:gridCol w:w="2020"/>
      </w:tblGrid>
      <w:tr>
        <w:trPr>
          <w:trHeight w:val="20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 xml:space="preserve">№ </w:t>
            </w: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п/п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b/>
                <w:b/>
                <w:i/>
                <w:i/>
              </w:rPr>
            </w:pPr>
            <w:bookmarkStart w:id="0" w:name="_gjdgxs"/>
            <w:bookmarkEnd w:id="0"/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Наименование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Тип прибора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Используемый</w:t>
              <w:br/>
              <w:t>диапазон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Погрешность</w:t>
              <w:br/>
              <w:t>прибора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  <w:tc>
          <w:tcPr>
            <w:tcW w:w="2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Секундомер на телефоне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Секундомер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0 – 1</w:t>
            </w:r>
            <w:r>
              <w:rPr>
                <w:rFonts w:eastAsia="Arial" w:cs="Arial"/>
                <w:i/>
                <w:kern w:val="0"/>
                <w:sz w:val="22"/>
                <w:szCs w:val="22"/>
                <w:lang w:val="en-US" w:eastAsia="zh-CN" w:bidi="hi-IN"/>
              </w:rPr>
              <w:t>0,17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0.01 с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29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lang w:val="ru-RU" w:eastAsia="zh-CN" w:bidi="hi-IN"/>
              </w:rPr>
              <w:t xml:space="preserve">Шкала маятника </w:t>
            </w:r>
          </w:p>
        </w:tc>
        <w:tc>
          <w:tcPr>
            <w:tcW w:w="161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</w:rPr>
            </w:pPr>
            <w:r>
              <w:rPr>
                <w:rFonts w:eastAsia="Arial" w:cs="Arial"/>
                <w:i/>
                <w:kern w:val="0"/>
                <w:lang w:val="ru-RU" w:eastAsia="zh-CN" w:bidi="hi-IN"/>
              </w:rPr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lang w:val="en-US" w:eastAsia="zh-CN" w:bidi="hi-IN"/>
              </w:rPr>
              <w:t>0*-60*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i/>
                <w:i/>
              </w:rPr>
            </w:pPr>
            <w:r>
              <w:rPr>
                <w:rFonts w:eastAsia="Arial" w:cs="Arial"/>
                <w:i/>
                <w:kern w:val="0"/>
                <w:lang w:val="ru-RU" w:eastAsia="zh-CN" w:bidi="hi-IN"/>
              </w:rPr>
              <w:t>1*</w:t>
            </w:r>
          </w:p>
        </w:tc>
      </w:tr>
    </w:tbl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7. Схема установки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4373245" cy="3849370"/>
            <wp:effectExtent l="0" t="0" r="0" b="0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ind w:left="720" w:firstLine="720"/>
        <w:rPr/>
      </w:pPr>
      <w:r>
        <w:rPr/>
        <w:t>В состав установки входят:</w:t>
      </w:r>
    </w:p>
    <w:p>
      <w:pPr>
        <w:pStyle w:val="LOnormal"/>
        <w:ind w:left="2160" w:hanging="0"/>
        <w:rPr/>
      </w:pPr>
      <w:r>
        <w:rPr/>
        <w:t>1. Шкала</w:t>
      </w:r>
    </w:p>
    <w:p>
      <w:pPr>
        <w:pStyle w:val="LOnormal"/>
        <w:ind w:left="2160" w:hanging="0"/>
        <w:rPr/>
      </w:pPr>
      <w:r>
        <w:rPr/>
        <w:t>2. Груз</w:t>
      </w:r>
    </w:p>
    <w:p>
      <w:pPr>
        <w:pStyle w:val="LOnormal"/>
        <w:ind w:left="2160" w:hanging="0"/>
        <w:rPr/>
      </w:pPr>
      <w:r>
        <w:rPr/>
        <w:t>3. Рукоятка сцепления</w:t>
      </w:r>
    </w:p>
    <w:p>
      <w:pPr>
        <w:pStyle w:val="LOnormal"/>
        <w:ind w:left="2160" w:hanging="0"/>
        <w:rPr/>
      </w:pPr>
      <w:r>
        <w:rPr/>
        <w:t>4. Передняя крестовина</w:t>
      </w:r>
    </w:p>
    <w:p>
      <w:pPr>
        <w:pStyle w:val="LOnormal"/>
        <w:ind w:hanging="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744855</wp:posOffset>
            </wp:positionH>
            <wp:positionV relativeFrom="paragraph">
              <wp:posOffset>635</wp:posOffset>
            </wp:positionV>
            <wp:extent cx="5175250" cy="3489325"/>
            <wp:effectExtent l="0" t="0" r="0" b="0"/>
            <wp:wrapTopAndBottom/>
            <wp:docPr id="1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228" w:after="228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8. Результаты прямых измерений и их обработки </w:t>
      </w:r>
    </w:p>
    <w:p>
      <w:pPr>
        <w:pStyle w:val="LOnormal"/>
        <w:spacing w:before="228" w:after="228"/>
        <w:jc w:val="center"/>
        <w:rPr>
          <w:color w:val="3465A4"/>
          <w:sz w:val="28"/>
          <w:szCs w:val="28"/>
          <w:lang w:val="en-US"/>
        </w:rPr>
      </w:pPr>
      <w:r>
        <w:rPr>
          <w:color w:val="3465A4"/>
          <w:sz w:val="28"/>
          <w:szCs w:val="28"/>
        </w:rPr>
        <w:t xml:space="preserve">Таблица </w:t>
      </w:r>
      <w:r>
        <w:rPr>
          <w:color w:val="3465A4"/>
          <w:sz w:val="28"/>
          <w:szCs w:val="28"/>
          <w:lang w:val="en-US"/>
        </w:rPr>
        <w:t>3</w:t>
      </w:r>
      <w:r>
        <w:rPr>
          <w:color w:val="3465A4"/>
          <w:sz w:val="28"/>
          <w:szCs w:val="28"/>
        </w:rPr>
        <w:t>.</w:t>
      </w:r>
      <w:r>
        <w:rPr>
          <w:color w:val="3465A4"/>
          <w:sz w:val="28"/>
          <w:szCs w:val="28"/>
        </w:rPr>
        <w:t>1</w:t>
      </w:r>
      <w:r>
        <w:rPr>
          <w:color w:val="3465A4"/>
          <w:sz w:val="28"/>
          <w:szCs w:val="28"/>
        </w:rPr>
        <w:t xml:space="preserve"> Результаты прямых измерений</w:t>
      </w:r>
    </w:p>
    <w:tbl>
      <w:tblPr>
        <w:tblStyle w:val="TableNormal"/>
        <w:tblW w:w="9085" w:type="dxa"/>
        <w:jc w:val="left"/>
        <w:tblInd w:w="6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019"/>
        <w:gridCol w:w="1049"/>
        <w:gridCol w:w="1050"/>
        <w:gridCol w:w="1050"/>
        <w:gridCol w:w="1050"/>
        <w:gridCol w:w="1050"/>
        <w:gridCol w:w="817"/>
      </w:tblGrid>
      <w:tr>
        <w:trPr/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en-US" w:eastAsia="zh-CN" w:bidi="hi-IN"/>
              </w:rPr>
              <w:t>Амплитуда отклонения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en-US" w:eastAsia="zh-CN" w:bidi="hi-IN"/>
              </w:rPr>
              <w:t>Время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 xml:space="preserve">От 0* 10 колебаний 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25*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20*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15*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10*</w:t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5*</w:t>
            </w:r>
          </w:p>
        </w:tc>
      </w:tr>
      <w:tr>
        <w:trPr>
          <w:trHeight w:val="856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19.05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4:42.59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3:30.65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2:31.51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1:33.81</w:t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44.98</w:t>
            </w:r>
          </w:p>
        </w:tc>
      </w:tr>
      <w:tr>
        <w:trPr>
          <w:trHeight w:val="856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18.72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4:33.98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3:17.90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2:20.25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1:24.25</w:t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40.18</w:t>
            </w:r>
          </w:p>
        </w:tc>
      </w:tr>
      <w:tr>
        <w:trPr>
          <w:trHeight w:val="856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18.61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4:</w:t>
            </w: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  <w:t>44.46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3:30.92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2:27.98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1:31.58</w:t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44.83</w:t>
            </w:r>
          </w:p>
        </w:tc>
      </w:tr>
      <w:tr>
        <w:trPr>
          <w:trHeight w:val="856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lang w:eastAsia="zh-CN" w:bidi="hi-IN"/>
              </w:rPr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LOnormal"/>
        <w:spacing w:before="285" w:after="285"/>
        <w:ind w:left="720" w:right="720" w:hanging="0"/>
        <w:rPr>
          <w:i/>
          <w:i/>
          <w:lang w:val="en-US"/>
        </w:rPr>
      </w:pPr>
      <w:r>
        <w:rPr>
          <w:i/>
        </w:rPr>
        <w:t>//описание</w:t>
      </w:r>
      <w:r>
        <w:rPr>
          <w:i/>
          <w:lang w:val="en-US"/>
        </w:rPr>
        <w:t xml:space="preserve"> </w:t>
      </w:r>
      <w:r>
        <w:rPr>
          <w:i/>
        </w:rPr>
        <w:t>таблицы//</w:t>
      </w:r>
    </w:p>
    <w:p>
      <w:pPr>
        <w:pStyle w:val="LOnormal"/>
        <w:spacing w:before="285" w:after="285"/>
        <w:ind w:left="720" w:right="720" w:hanging="0"/>
        <w:jc w:val="center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 </w:t>
      </w:r>
      <w:r>
        <w:rPr>
          <w:color w:val="3465A4"/>
          <w:sz w:val="28"/>
          <w:szCs w:val="28"/>
        </w:rPr>
        <w:t xml:space="preserve">Таблица </w:t>
      </w:r>
      <w:r>
        <w:rPr>
          <w:color w:val="3465A4"/>
          <w:sz w:val="28"/>
          <w:szCs w:val="28"/>
          <w:lang w:val="en-US"/>
        </w:rPr>
        <w:t>3</w:t>
      </w:r>
      <w:r>
        <w:rPr>
          <w:color w:val="3465A4"/>
          <w:sz w:val="28"/>
          <w:szCs w:val="28"/>
        </w:rPr>
        <w:t>.</w:t>
      </w:r>
      <w:r>
        <w:rPr>
          <w:color w:val="3465A4"/>
          <w:sz w:val="28"/>
          <w:szCs w:val="28"/>
        </w:rPr>
        <w:t>2</w:t>
      </w:r>
      <w:r>
        <w:rPr>
          <w:color w:val="3465A4"/>
          <w:sz w:val="28"/>
          <w:szCs w:val="28"/>
        </w:rPr>
        <w:t xml:space="preserve"> Результаты прямых измерений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13"/>
        <w:gridCol w:w="1648"/>
        <w:gridCol w:w="1652"/>
        <w:gridCol w:w="1655"/>
        <w:gridCol w:w="1423"/>
        <w:gridCol w:w="881"/>
      </w:tblGrid>
      <w:tr>
        <w:trPr/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Положение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боковых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грузов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</w:tr>
      <w:tr>
        <w:trPr/>
        <w:tc>
          <w:tcPr>
            <w:tcW w:w="3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 риска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16.77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16.00</w:t>
            </w:r>
          </w:p>
        </w:tc>
        <w:tc>
          <w:tcPr>
            <w:tcW w:w="1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16.60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 риска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17.92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17.50</w:t>
            </w:r>
          </w:p>
        </w:tc>
        <w:tc>
          <w:tcPr>
            <w:tcW w:w="1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18.00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 риска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18.77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18.62</w:t>
            </w:r>
          </w:p>
        </w:tc>
        <w:tc>
          <w:tcPr>
            <w:tcW w:w="1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18.44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 риска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20.26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20.14</w:t>
            </w:r>
          </w:p>
        </w:tc>
        <w:tc>
          <w:tcPr>
            <w:tcW w:w="1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20.00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 риска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21.30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21.15</w:t>
            </w:r>
          </w:p>
        </w:tc>
        <w:tc>
          <w:tcPr>
            <w:tcW w:w="1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21.26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6 риска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22.31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22.77</w:t>
            </w:r>
          </w:p>
        </w:tc>
        <w:tc>
          <w:tcPr>
            <w:tcW w:w="1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23.14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LOnormal"/>
        <w:spacing w:before="285" w:after="285"/>
        <w:ind w:left="720" w:right="720" w:hanging="0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// </w:t>
      </w:r>
      <w:r>
        <w:rPr>
          <w:color w:val="A6A6A6" w:themeColor="background1" w:themeShade="a6"/>
        </w:rPr>
        <w:t>описание таблицы//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 xml:space="preserve">9. Расчет результатов косвенных измерений </w:t>
      </w:r>
    </w:p>
    <w:p>
      <w:pPr>
        <w:pStyle w:val="LOnormal"/>
        <w:spacing w:before="285" w:after="285"/>
        <w:ind w:left="900" w:right="720" w:hanging="0"/>
        <w:rPr>
          <w:i/>
          <w:i/>
          <w:lang w:val="en-US"/>
        </w:rPr>
      </w:pPr>
      <w:r>
        <w:rPr/>
      </w:r>
    </w:p>
    <w:p>
      <w:pPr>
        <w:pStyle w:val="LOnormal"/>
        <w:spacing w:before="228" w:after="228"/>
        <w:jc w:val="center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 xml:space="preserve">Таблица </w:t>
      </w:r>
      <w:r>
        <w:rPr>
          <w:color w:val="3465A4"/>
          <w:sz w:val="28"/>
          <w:szCs w:val="28"/>
        </w:rPr>
        <w:t>4.1</w:t>
      </w:r>
      <w:r>
        <w:rPr>
          <w:color w:val="3465A4"/>
          <w:sz w:val="28"/>
          <w:szCs w:val="28"/>
        </w:rPr>
        <w:t xml:space="preserve"> </w:t>
      </w:r>
    </w:p>
    <w:tbl>
      <w:tblPr>
        <w:tblStyle w:val="TableNormal"/>
        <w:tblW w:w="11051" w:type="dxa"/>
        <w:jc w:val="left"/>
        <w:tblInd w:w="-1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895"/>
        <w:gridCol w:w="1526"/>
        <w:gridCol w:w="1526"/>
        <w:gridCol w:w="1526"/>
        <w:gridCol w:w="1526"/>
        <w:gridCol w:w="1526"/>
        <w:gridCol w:w="1526"/>
      </w:tblGrid>
      <w:tr>
        <w:trPr/>
        <w:tc>
          <w:tcPr>
            <w:tcW w:w="18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lang w:val="en-US"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Масса груза, г</w:t>
            </w:r>
          </w:p>
        </w:tc>
        <w:tc>
          <w:tcPr>
            <w:tcW w:w="915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Положение утяжелителей</w:t>
            </w:r>
          </w:p>
        </w:tc>
      </w:tr>
      <w:tr>
        <w:trPr>
          <w:trHeight w:val="856" w:hRule="atLeast"/>
        </w:trPr>
        <w:tc>
          <w:tcPr>
            <w:tcW w:w="189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1 риска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2 риска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3 риска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4 риска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5 риска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Arial" w:cs="Arial"/>
                <w:b/>
                <w:kern w:val="0"/>
                <w:sz w:val="24"/>
                <w:szCs w:val="24"/>
                <w:lang w:val="ru-RU" w:eastAsia="zh-CN" w:bidi="hi-IN"/>
              </w:rPr>
              <w:t>6 риска</w:t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R</w:t>
            </w:r>
            <w:r>
              <w:rPr>
                <w:rFonts w:eastAsia="Arial" w:cs="Arial"/>
                <w:kern w:val="0"/>
                <w:sz w:val="24"/>
                <w:szCs w:val="24"/>
                <w:vertAlign w:val="subscript"/>
                <w:lang w:val="ru-RU" w:eastAsia="zh-CN" w:bidi="hi-IN"/>
              </w:rPr>
              <w:t>верх</w:t>
            </w:r>
          </w:p>
        </w:tc>
        <w:tc>
          <w:tcPr>
            <w:tcW w:w="915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/>
                <w:kern w:val="0"/>
                <w:lang w:eastAsia="zh-CN" w:bidi="hi-IN"/>
              </w:rPr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R</w:t>
            </w:r>
            <w:r>
              <w:rPr>
                <w:rFonts w:eastAsia="Arial" w:cs="Arial"/>
                <w:kern w:val="0"/>
                <w:sz w:val="24"/>
                <w:szCs w:val="24"/>
                <w:vertAlign w:val="subscript"/>
                <w:lang w:val="ru-RU" w:eastAsia="zh-CN" w:bidi="hi-IN"/>
              </w:rPr>
              <w:t>нижн</w:t>
            </w:r>
          </w:p>
        </w:tc>
        <w:tc>
          <w:tcPr>
            <w:tcW w:w="915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lang w:eastAsia="zh-CN" w:bidi="hi-IN"/>
              </w:rPr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R</w:t>
            </w:r>
            <w:r>
              <w:rPr>
                <w:rFonts w:eastAsia="Arial" w:cs="Arial"/>
                <w:b w:val="false"/>
                <w:bCs w:val="false"/>
                <w:kern w:val="0"/>
                <w:sz w:val="24"/>
                <w:szCs w:val="24"/>
                <w:vertAlign w:val="subscript"/>
                <w:lang w:val="ru-RU" w:eastAsia="zh-CN" w:bidi="hi-IN"/>
              </w:rPr>
              <w:t>бок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I</w:t>
            </w:r>
            <w:r>
              <w:rPr>
                <w:rFonts w:eastAsia="Arial" w:cs="Arial"/>
                <w:kern w:val="0"/>
                <w:sz w:val="24"/>
                <w:szCs w:val="24"/>
                <w:vertAlign w:val="subscript"/>
                <w:lang w:val="ru-RU" w:eastAsia="zh-CN" w:bidi="hi-IN"/>
              </w:rPr>
              <w:t>гр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eastAsia="zh-CN" w:bidi="hi-IN"/>
              </w:rPr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I</w:t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𝑙</w:t>
            </w:r>
            <w:r>
              <w:rPr>
                <w:rFonts w:eastAsia="Arial" w:cs="Arial"/>
                <w:kern w:val="0"/>
                <w:sz w:val="24"/>
                <w:szCs w:val="24"/>
                <w:vertAlign w:val="subscript"/>
                <w:lang w:val="ru-RU" w:eastAsia="zh-CN" w:bidi="hi-IN"/>
              </w:rPr>
              <w:t>пр эксп</w:t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</w:tr>
      <w:tr>
        <w:trPr>
          <w:trHeight w:val="856" w:hRule="atLeast"/>
        </w:trPr>
        <w:tc>
          <w:tcPr>
            <w:tcW w:w="18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𝑙</w:t>
            </w:r>
            <w:r>
              <w:rPr>
                <w:rFonts w:eastAsia="Arial" w:cs="Arial"/>
                <w:kern w:val="0"/>
                <w:sz w:val="24"/>
                <w:szCs w:val="24"/>
                <w:vertAlign w:val="subscript"/>
                <w:lang w:val="ru-RU" w:eastAsia="zh-CN" w:bidi="hi-IN"/>
              </w:rPr>
              <w:t>пр теор</w:t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  <w:tc>
          <w:tcPr>
            <w:tcW w:w="15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</w:r>
          </w:p>
        </w:tc>
      </w:tr>
    </w:tbl>
    <w:p>
      <w:pPr>
        <w:pStyle w:val="LOnormal"/>
        <w:spacing w:before="285" w:after="285"/>
        <w:ind w:left="900" w:right="720" w:hanging="0"/>
        <w:rPr>
          <w:color w:val="B2B2B2"/>
        </w:rPr>
      </w:pPr>
      <w:r>
        <w:rPr>
          <w:color w:val="B2B2B2"/>
        </w:rPr>
        <w:br/>
        <w:t xml:space="preserve">// </w:t>
      </w:r>
      <w:r>
        <w:rPr>
          <w:color w:val="B2B2B2"/>
        </w:rPr>
        <w:t>описание таблицы, рассчеты значений//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10.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/>
      </w:r>
    </w:p>
    <w:p>
      <w:pPr>
        <w:pStyle w:val="LOnormal"/>
        <w:spacing w:before="285" w:after="285"/>
        <w:ind w:left="900" w:right="720" w:hanging="0"/>
        <w:rPr/>
      </w:pPr>
      <w:r>
        <w:rPr/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11. Графики</w:t>
      </w:r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/>
      </w:r>
    </w:p>
    <w:p>
      <w:pPr>
        <w:pStyle w:val="LOnormal"/>
        <w:spacing w:before="285" w:after="285"/>
        <w:ind w:left="900" w:right="720" w:hanging="0"/>
        <w:rPr/>
      </w:pPr>
      <w:r>
        <w:rPr/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12. Окончательные результаты.</w:t>
      </w:r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/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13. Выводы и анализ результатов работы.</w:t>
      </w:r>
    </w:p>
    <w:p>
      <w:pPr>
        <w:pStyle w:val="LOnormal"/>
        <w:spacing w:before="285" w:after="285"/>
        <w:ind w:left="720" w:right="720" w:hanging="0"/>
        <w:rPr>
          <w:color w:val="B2B2B2"/>
        </w:rPr>
      </w:pPr>
      <w:r>
        <w:rPr>
          <w:color w:val="B2B2B2"/>
        </w:rPr>
        <w:t>//В отчет по лабораторной работе должны входить:</w:t>
      </w:r>
    </w:p>
    <w:p>
      <w:pPr>
        <w:pStyle w:val="LOnormal"/>
        <w:spacing w:before="285" w:after="285"/>
        <w:ind w:left="720" w:right="720" w:hanging="0"/>
        <w:rPr>
          <w:color w:val="B2B2B2"/>
        </w:rPr>
      </w:pPr>
      <w:r>
        <w:rPr>
          <w:color w:val="B2B2B2"/>
        </w:rPr>
        <w:t xml:space="preserve">• </w:t>
      </w:r>
      <w:r>
        <w:rPr>
          <w:color w:val="B2B2B2"/>
        </w:rPr>
        <w:t>Графики зависимостей амплитуды колебаний от времени и квадрата периода от момента инерции.</w:t>
      </w:r>
    </w:p>
    <w:p>
      <w:pPr>
        <w:pStyle w:val="LOnormal"/>
        <w:spacing w:before="285" w:after="285"/>
        <w:ind w:left="720" w:right="720" w:hanging="0"/>
        <w:rPr>
          <w:color w:val="B2B2B2"/>
        </w:rPr>
      </w:pPr>
      <w:r>
        <w:rPr>
          <w:color w:val="B2B2B2"/>
        </w:rPr>
        <w:t xml:space="preserve">• </w:t>
      </w:r>
      <w:r>
        <w:rPr>
          <w:color w:val="B2B2B2"/>
        </w:rPr>
        <w:t>Вывод о преобладающем типе трения.</w:t>
      </w:r>
    </w:p>
    <w:p>
      <w:pPr>
        <w:pStyle w:val="LOnormal"/>
        <w:spacing w:before="285" w:after="285"/>
        <w:ind w:left="720" w:right="720" w:hanging="0"/>
        <w:rPr>
          <w:color w:val="B2B2B2"/>
        </w:rPr>
      </w:pPr>
      <w:r>
        <w:rPr>
          <w:color w:val="B2B2B2"/>
        </w:rPr>
        <w:t xml:space="preserve">• </w:t>
      </w:r>
      <w:r>
        <w:rPr>
          <w:color w:val="B2B2B2"/>
        </w:rPr>
        <w:t>Экспериментальная и теоретическая приведенная длина маятника при разных его конфигурациях (в двух последних строках табл. 4.</w:t>
      </w:r>
      <w:r>
        <w:rPr>
          <w:color w:val="B2B2B2"/>
        </w:rPr>
        <w:t>1</w:t>
      </w:r>
      <w:r>
        <w:rPr>
          <w:color w:val="B2B2B2"/>
        </w:rPr>
        <w:t>).</w:t>
      </w:r>
    </w:p>
    <w:sectPr>
      <w:headerReference w:type="first" r:id="rId11"/>
      <w:footerReference w:type="even" r:id="rId12"/>
      <w:footerReference w:type="default" r:id="rId13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PT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spacing w:lineRule="auto" w:line="276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tbl>
    <w:tblPr>
      <w:tblStyle w:val="TableNormal"/>
      <w:tblpPr w:vertAnchor="text" w:horzAnchor="text" w:leftFromText="181" w:rightFromText="181" w:tblpX="367" w:tblpY="1"/>
      <w:tblW w:w="100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noHBand="0" w:noVBand="1" w:firstColumn="0" w:lastRow="0" w:lastColumn="0" w:firstRow="0"/>
    </w:tblPr>
    <w:tblGrid>
      <w:gridCol w:w="6662"/>
      <w:gridCol w:w="3377"/>
    </w:tblGrid>
    <w:tr>
      <w:trPr/>
      <w:tc>
        <w:tcPr>
          <w:tcW w:w="6662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Университет ИТМО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Физико-технический мегафакультет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18"/>
              <w:szCs w:val="18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Физический факультет</w:t>
          </w:r>
        </w:p>
      </w:tc>
      <w:tc>
        <w:tcPr>
          <w:tcW w:w="3377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rFonts w:ascii="PT Sans" w:hAnsi="PT Sans" w:eastAsia="PT Sans" w:cs="PT Sans"/>
              <w:b/>
              <w:b/>
              <w:color w:val="000000"/>
              <w:sz w:val="20"/>
              <w:szCs w:val="20"/>
            </w:rPr>
          </w:pPr>
          <w:r>
            <w:rPr>
              <w:kern w:val="0"/>
              <w:sz w:val="24"/>
              <w:szCs w:val="24"/>
              <w:lang w:val="ru-RU" w:eastAsia="zh-CN" w:bidi="hi-IN"/>
            </w:rPr>
            <w:drawing>
              <wp:inline distT="0" distB="0" distL="0" distR="0">
                <wp:extent cx="1844675" cy="506730"/>
                <wp:effectExtent l="0" t="0" r="0" b="0"/>
                <wp:docPr id="14" name="image2.jp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2.jp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4675" cy="506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LOnormal"/>
      <w:tabs>
        <w:tab w:val="clear" w:pos="720"/>
        <w:tab w:val="center" w:pos="4677" w:leader="none"/>
        <w:tab w:val="right" w:pos="9355" w:leader="none"/>
      </w:tabs>
      <w:rPr>
        <w:rFonts w:ascii="PT Sans" w:hAnsi="PT Sans" w:eastAsia="PT Sans" w:cs="PT Sans"/>
        <w:b/>
        <w:b/>
        <w:color w:val="000000"/>
        <w:sz w:val="8"/>
        <w:szCs w:val="8"/>
      </w:rPr>
    </w:pPr>
    <w:r>
      <w:rPr>
        <w:rFonts w:eastAsia="PT Sans" w:cs="PT Sans" w:ascii="PT Sans" w:hAnsi="PT Sans"/>
        <w:b/>
        <w:color w:val="000000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800" w:hanging="360"/>
      </w:pPr>
      <w:rPr>
        <w:u w:val="none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216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2520" w:hanging="360"/>
      </w:pPr>
      <w:rPr>
        <w:u w:val="none"/>
      </w:rPr>
    </w:lvl>
    <w:lvl w:ilvl="6">
      <w:start w:val="1"/>
      <w:numFmt w:val="decimal"/>
      <w:lvlText w:val="(%7)"/>
      <w:lvlJc w:val="left"/>
      <w:pPr>
        <w:tabs>
          <w:tab w:val="num" w:pos="0"/>
        </w:tabs>
        <w:ind w:left="2880" w:hanging="360"/>
      </w:pPr>
      <w:rPr>
        <w:u w:val="none"/>
      </w:rPr>
    </w:lvl>
    <w:lvl w:ilvl="7">
      <w:start w:val="1"/>
      <w:numFmt w:val="decimal"/>
      <w:lvlText w:val="(%8)"/>
      <w:lvlJc w:val="left"/>
      <w:pPr>
        <w:tabs>
          <w:tab w:val="num" w:pos="0"/>
        </w:tabs>
        <w:ind w:left="3240" w:hanging="360"/>
      </w:pPr>
      <w:rPr>
        <w:u w:val="none"/>
      </w:rPr>
    </w:lvl>
    <w:lvl w:ilvl="8">
      <w:start w:val="1"/>
      <w:numFmt w:val="decimal"/>
      <w:lvlText w:val="(%9)"/>
      <w:lvlJc w:val="left"/>
      <w:pPr>
        <w:tabs>
          <w:tab w:val="num" w:pos="0"/>
        </w:tabs>
        <w:ind w:left="360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6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737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spacing w:lineRule="auto" w:line="420"/>
      <w:ind w:right="648" w:hanging="0"/>
      <w:jc w:val="center"/>
      <w:outlineLvl w:val="0"/>
    </w:pPr>
    <w:rPr>
      <w:sz w:val="19"/>
      <w:szCs w:val="19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spacing w:lineRule="auto" w:line="374" w:before="6" w:after="120"/>
      <w:ind w:right="-1438" w:hanging="0"/>
      <w:jc w:val="both"/>
      <w:outlineLvl w:val="1"/>
    </w:pPr>
    <w:rPr>
      <w:i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tabs>
        <w:tab w:val="clear" w:pos="720"/>
        <w:tab w:val="left" w:pos="1698" w:leader="none"/>
      </w:tabs>
      <w:spacing w:lineRule="auto" w:line="372"/>
      <w:ind w:right="-200" w:hanging="0"/>
      <w:outlineLvl w:val="2"/>
    </w:pPr>
    <w:rPr>
      <w:i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spacing w:lineRule="auto" w:line="192" w:before="30" w:after="552"/>
      <w:ind w:right="384" w:hanging="0"/>
      <w:outlineLvl w:val="3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b4451"/>
    <w:rPr>
      <w:color w:val="666666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O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 w:customStyle="1">
    <w:name w:val="Frame Contents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0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Application>LibreOffice/7.3.7.2$Linux_X86_64 LibreOffice_project/30$Build-2</Application>
  <AppVersion>15.0000</AppVersion>
  <Pages>7</Pages>
  <Words>474</Words>
  <Characters>2797</Characters>
  <CharactersWithSpaces>3120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/>
  <dc:description/>
  <dc:language>en-US</dc:language>
  <cp:lastModifiedBy/>
  <dcterms:modified xsi:type="dcterms:W3CDTF">2025-04-07T18:33:50Z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