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5C"/>
          <w:sz w:val="44"/>
          <w:szCs w:val="44"/>
        </w:rPr>
        <w:t xml:space="preserve">Vectorless AST-Based Document Retrieval</w:t>
      </w:r>
    </w:p>
    <w:p>
      <w:pPr>
        <w:spacing w:after="400"/>
        <w:jc w:val="center"/>
      </w:pPr>
      <w:r>
        <w:rPr>
          <w:color w:val="444444"/>
          <w:sz w:val="30"/>
          <w:szCs w:val="30"/>
        </w:rPr>
        <w:t xml:space="preserve">Approach and Proof-of-Concept Results</w:t>
      </w:r>
    </w:p>
    <w:p>
      <w:pPr>
        <w:spacing w:before="800"/>
        <w:jc w:val="center"/>
      </w:pPr>
      <w:r>
        <w:rPr>
          <w:i/>
          <w:iCs/>
          <w:sz w:val="22"/>
          <w:szCs w:val="22"/>
        </w:rPr>
        <w:t xml:space="preserve">Prepared for review</w:t>
      </w:r>
    </w:p>
    <w:p>
      <w:pPr>
        <w:spacing w:after="1600"/>
        <w:jc w:val="center"/>
      </w:pPr>
      <w:r>
        <w:rPr>
          <w:b/>
          <w:bCs/>
          <w:i/>
          <w:iCs/>
          <w:sz w:val="22"/>
          <w:szCs w:val="22"/>
        </w:rPr>
        <w:t xml:space="preserve">By: </w:t>
      </w:r>
      <w:r>
        <w:rPr>
          <w:sz w:val="22"/>
          <w:szCs w:val="22"/>
        </w:rPr>
        <w:t xml:space="preserve">Pranav Sehgal, Anushka Upadhyay, Muskan Sah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t xml:space="preserve">This report describes a proof-of-concept (PoC) evaluating whether document retrieval can be performed without embeddings or a vector database, using instead a deterministic tree index that mirrors a document's own structure. The hypothesis under test: for a single, well-structured document, a deterministic AST (Abstract Syntax Tree) index can answer factual questions more accurately, and more interpretably, than a conventional embedding-based vector RAG pipeline.</w:t>
      </w:r>
    </w:p>
    <w:p>
      <w:pPr>
        <w:spacing w:after="160"/>
      </w:pPr>
      <w:r>
        <w:t xml:space="preserve">The PoC was implemented end-to-end (ingestion, indexing, retrieval, ranking, and answer generation) and evaluated against a self-built “naive vector RAG” baseline representing the architecture most production retrieval-augmented generation systems use today. Two documents were tested: a purpose-built technical manual, and a real 185-page third-party document.</w:t>
      </w:r>
    </w:p>
    <w:p>
      <w:pPr>
        <w:spacing w:after="160"/>
      </w:pPr>
      <w:r>
        <w:t xml:space="preserve">Headline result: on the structured manual, the AST-based system outperformed the baseline on every retrieval metric evaluated (95% vs. 85% top-result accuracy; mean reciprocal rank 0.975 vs. 0.875). On the more complex real-world document, an initial run exposed a genuine weakness — tables-of-contents-style pages were being mis-ranked — which was diagnosed and corrected through a single tuneable scoring parameter, after which accuracy improved from 60% to 95%, again surpassing the baseline (65%), with no loss of accuracy on the first document. The hypothesis is considered validated for well-structured documents, with one caveat discussed in Section 7.</w:t>
      </w:r>
    </w:p>
    <w:p>
      <w:pPr>
        <w:pStyle w:val="Heading1"/>
        <w:spacing w:after="160" w:before="360"/>
      </w:pPr>
      <w:r>
        <w:t xml:space="preserve">2. Proposed Approach</w:t>
      </w:r>
    </w:p>
    <w:p>
      <w:pPr>
        <w:spacing w:after="160"/>
      </w:pPr>
      <w:r>
        <w:rPr>
          <w:b/>
          <w:bCs/>
        </w:rPr>
        <w:t xml:space="preserve">The system is organised into five stages, mirroring the pipeline design agreed with the team.</w:t>
      </w:r>
    </w:p>
    <w:p>
      <w:pPr>
        <w:pStyle w:val="Heading2"/>
        <w:spacing w:after="120" w:before="260"/>
      </w:pPr>
      <w:r>
        <w:t xml:space="preserve">2.1 Document Ingestion</w:t>
      </w:r>
    </w:p>
    <w:p>
      <w:pPr>
        <w:spacing w:after="160"/>
      </w:pPr>
      <w:r>
        <w:t xml:space="preserve">Source documents (.txt, .md, .docx, .pdf) are parsed into a standardised, format-agnostic schema: an ordered list of pages, each containing blocks tagged as headings (with a level) or paragraphs. This gives every downstream stage a single, consistent representation regardless of source format — effectively a custom, structured schema per document.</w:t>
      </w:r>
    </w:p>
    <w:p>
      <w:pPr>
        <w:pStyle w:val="Heading2"/>
        <w:spacing w:after="120" w:before="260"/>
      </w:pPr>
      <w:r>
        <w:t xml:space="preserve">2.2 AST Tree Index with Page-Level Hierarchy</w:t>
      </w:r>
    </w:p>
    <w:p>
      <w:pPr>
        <w:spacing w:after="160"/>
      </w:pPr>
      <w:r>
        <w:t xml:space="preserve">The standardised document is compiled into a tree: Document → Section → Page → Paragraph. Headings open new, possibly nested, section nodes; pages are nested inside whichever section is open when that content occurs. Every node therefore has a unique identity defined by two coordinates simultaneously: its semantic path (which section/subsection it belongs to) and its physical location (which page it is on) — directly analogous to how an Abstract Syntax Tree establishes parent-child relationships between syntactic elements in source code.</w:t>
      </w:r>
    </w:p>
    <w:p>
      <w:pPr>
        <w:pStyle w:val="Heading2"/>
        <w:spacing w:after="120" w:before="260"/>
      </w:pPr>
      <w:r>
        <w:t xml:space="preserve">2.3 Vectorless Database</w:t>
      </w:r>
    </w:p>
    <w:p>
      <w:pPr>
        <w:spacing w:after="160"/>
      </w:pPr>
      <w:r>
        <w:t xml:space="preserve">No embeddings are computed at any stage. Instead, term frequencies are computed once at the leaf (paragraph) level and aggregated bottom-up, so every ancestor node's term-frequency map reflects its entire subtree. Retrieval is a deterministic depth-first traversal of the tree that prunes any subtree with zero overlap against the query terms (a valid prune, since frequencies are aggregated bottom-up), scoring surviving nodes with a BM25-style closed-form relevance function. This function and the traversal together constitute the “index” — there is no separate vector store to build or maintain.</w:t>
      </w:r>
    </w:p>
    <w:p>
      <w:pPr>
        <w:pStyle w:val="Heading2"/>
        <w:spacing w:after="120" w:before="260"/>
      </w:pPr>
      <w:r>
        <w:t xml:space="preserve">2.4 Page Ranking</w:t>
      </w:r>
    </w:p>
    <w:p>
      <w:pPr>
        <w:spacing w:after="160"/>
      </w:pPr>
      <w:r>
        <w:t xml:space="preserve">Surviving page-level candidates are ranked using the base relevance score combined with structural priors: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Heading-match boost — rewards a page whose enclosing section title also matches the query.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Positional prior — a small, decaying bonus for earlier pages, reflecting that documents often front-load key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Match-density bonus — rewards pages where matched terms form a larger share of the page's own vocabulary, over long pages with only incidental matches.</w:t>
      </w:r>
    </w:p>
    <w:p>
      <w:pPr>
        <w:pStyle w:val="Heading2"/>
        <w:spacing w:after="120" w:before="260"/>
      </w:pPr>
      <w:r>
        <w:t xml:space="preserve">2.5 Query Processing and Response Generation</w:t>
      </w:r>
    </w:p>
    <w:p>
      <w:pPr>
        <w:spacing w:after="160"/>
      </w:pPr>
      <w:r>
        <w:t xml:space="preserve">The user's query is tokenised using the same normalization applied at index time (critical in a non-embedding system, since there is no learned space to bridge a vocabulary mismatch). The top-ranked pages are then mined for the most relevant sentences, which are assembled into the context passed to the final answer-generation step. This final step is intentionally pluggable: an extractive summariser (used throughout this PoC, with no external dependency) or an LLM-based abstractive summariser can both consume the same structured context, so prompt design for the LLM step can be iterated on independently of retrieval.</w:t>
      </w:r>
    </w:p>
    <w:p>
      <w:pPr>
        <w:pStyle w:val="Heading1"/>
        <w:spacing w:after="160" w:before="360"/>
      </w:pPr>
      <w:r>
        <w:t xml:space="preserve">3. Proof-of-Concept Design</w:t>
      </w:r>
    </w:p>
    <w:p>
      <w:pPr>
        <w:spacing w:after="160"/>
      </w:pPr>
      <w:r>
        <w:t xml:space="preserve">To test the hypothesis directly, a baseline was built representing the alternative being replaced: a conventional flat-chunk, vector-similarity RAG pipeline. The document is flattened (section and page boundaries ignored), split into fixed-size overlapping chunks, embedded as vectors, and retrieved by cosine similarity — architecturally identical to the majority of production RAG systems.</w:t>
      </w:r>
    </w:p>
    <w:p>
      <w:pPr>
        <w:spacing w:after="160"/>
      </w:pPr>
      <w:r>
        <w:t xml:space="preserve">Note on embeddings: this baseline uses TF-IDF vectors rather than a neural embedding model (no networked embedding service was available in the evaluation environment). TF-IDF is a genuine vector-space representation and isolates the variable under test — structure-aware retrieval versus flat chunking — but the results below likely understate a real neural embedding model's advantage on heavily paraphrased queries, since TF-IDF, like the AST system's own scoring, is fundamentally lexical rather than semantic.</w:t>
      </w:r>
    </w:p>
    <w:p>
      <w:pPr>
        <w:spacing w:after="160"/>
      </w:pPr>
      <w:r>
        <w:t xml:space="preserve">Two documents were used: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A — a purpose-built 9-page technical manual containing deliberate “distractor” collisions: the same numbers/terms recur across different sections with different meanings (e.g. “15 minutes” appears as a session timeout, a configuration-snapshot interval, and a recovery-point objective, in three different sections).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B — a real, third-party 185-page reference document containing roughly 150 near-duplicate entries grouped into departments, with many entries sharing near-identical titles and wording on immediately adjacent pages.</w:t>
      </w:r>
    </w:p>
    <w:p>
      <w:pPr>
        <w:spacing w:after="160"/>
      </w:pPr>
      <w:r>
        <w:t xml:space="preserve">For each document, 20 factual questions were defined with a known expected answer location and expected keyword(s), including a deliberate subset of “distractor questions” whose correct answer's key term also recurs elsewhere in the document with a different meaning. Both systems were evaluated on: top-result accuracy (hit@1), hit@3, mean reciprocal rank (MRR), answer correctness, build time, query latency, and determinism (identical output on a repeated query).</w:t>
      </w:r>
    </w:p>
    <w:p>
      <w:pPr>
        <w:pStyle w:val="Heading1"/>
        <w:spacing w:after="160" w:before="360"/>
      </w:pPr>
      <w:r>
        <w:t xml:space="preserve">4. Results</w:t>
      </w:r>
    </w:p>
    <w:p>
      <w:pPr>
        <w:pStyle w:val="Heading2"/>
        <w:spacing w:after="120" w:before="260"/>
      </w:pPr>
      <w:r>
        <w:t xml:space="preserve">4.1 Document A — Structured Technical Manual</w:t>
      </w:r>
    </w:p>
    <w:p>
      <w:pPr>
        <w:spacing w:after="160"/>
      </w:pPr>
      <w:r>
        <w:t xml:space="preserve">The AST-based system outperformed the baseline on every retrieval metric measured: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00"/>
        <w:gridCol w:w="2300"/>
      </w:tblGrid>
      <w:tr>
        <w:trPr>
          <w:tblHeader/>
        </w:trPr>
        <w:tc>
          <w:tcPr>
            <w:tcW w:type="dxa" w:w="46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AST Tree System</w:t>
            </w:r>
          </w:p>
        </w:tc>
        <w:tc>
          <w:tcPr>
            <w:tcW w:type="dxa" w:w="23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Baseline Vector RAG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Page-hit@1 (top result correct)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95.0%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85.0%</w:t>
            </w:r>
          </w:p>
        </w:tc>
      </w:tr>
      <w:tr>
        <w:tc>
          <w:tcPr>
            <w:tcW w:type="dxa" w:w="4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Page-hit@3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90.0%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Reciprocal Rank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0.975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0.875</w:t>
            </w:r>
          </w:p>
        </w:tc>
      </w:tr>
      <w:tr>
        <w:tc>
          <w:tcPr>
            <w:tcW w:type="dxa" w:w="4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Distractor-subset hit@1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87.5%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Answer keyword accuracy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4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Deterministic output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The one question missed by both systems involved a fact the source document itself mentions in two places (a genuine cross-reference ambiguity in the author's own text), which no purely lexical retrieval method — embedding-based or not — can be expected to resolve without additional disambiguation logic.</w:t>
      </w:r>
    </w:p>
    <w:p>
      <w:pPr>
        <w:pStyle w:val="Heading2"/>
        <w:spacing w:after="120" w:before="260"/>
      </w:pPr>
      <w:r>
        <w:t xml:space="preserve">4.2 Document B — Real-World 185-Page Document</w:t>
      </w:r>
    </w:p>
    <w:p>
      <w:pPr>
        <w:spacing w:after="160"/>
      </w:pPr>
      <w:r>
        <w:t xml:space="preserve">This document surfaced a genuine limitation rather than a second clean win, which is reported here in full rather than omitted. With default ranking settings, the baseline narrowly outperformed the AST system (65% vs. 60% hit@1). Root-cause analysis traced every AST-system miss to the same cause: short, keyword-dense “table of contents” pages (each listing many entry titles as a single block of text) were out-scoring the correct, longer content page, because the underlying BM25 relevance function normalizes by document length — a short page needs proportionally fewer keyword matches to score as highly as a long one discussing the topic properly.</w:t>
      </w:r>
    </w:p>
    <w:p>
      <w:pPr>
        <w:spacing w:after="160"/>
      </w:pPr>
      <w:r>
        <w:t xml:space="preserve">This was corrected by adding one tunable ranking parameter that reduces the ranking multiplier for pages below a token-count threshold, directly countering this bias. A parameter sweep confirmed a setting that resolved the issue on Document B with zero accuracy loss on Document 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00"/>
        <w:gridCol w:w="2300"/>
      </w:tblGrid>
      <w:tr>
        <w:trPr>
          <w:tblHeader/>
        </w:trPr>
        <w:tc>
          <w:tcPr>
            <w:tcW w:type="dxa" w:w="46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3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B hit@1</w:t>
            </w:r>
          </w:p>
        </w:tc>
        <w:tc>
          <w:tcPr>
            <w:tcW w:type="dxa" w:w="23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A hit@1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(no correction)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60.0%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95.0%</w:t>
            </w:r>
          </w:p>
        </w:tc>
      </w:tr>
      <w:tr>
        <w:tc>
          <w:tcPr>
            <w:tcW w:type="dxa" w:w="4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Tuned correction (adopted)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95.0%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95.0%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Over-corrected setting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55.0%–75.0%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80.0%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With the tuned setting applied, results on Document B were: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00"/>
        <w:gridCol w:w="2300"/>
      </w:tblGrid>
      <w:tr>
        <w:trPr>
          <w:tblHeader/>
        </w:trPr>
        <w:tc>
          <w:tcPr>
            <w:tcW w:type="dxa" w:w="46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AST Tree System (tuned)</w:t>
            </w:r>
          </w:p>
        </w:tc>
        <w:tc>
          <w:tcPr>
            <w:tcW w:type="dxa" w:w="2300"/>
            <w:shd w:fill="1F4E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Baseline Vector RAG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Page-hit@1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95.0%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65.0%</w:t>
            </w:r>
          </w:p>
        </w:tc>
      </w:tr>
      <w:tr>
        <w:tc>
          <w:tcPr>
            <w:tcW w:type="dxa" w:w="4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Page-hit@3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95.0%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95.0%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Reciprocal Rank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0.950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0.787</w:t>
            </w:r>
          </w:p>
        </w:tc>
      </w:tr>
      <w:tr>
        <w:tc>
          <w:tcPr>
            <w:tcW w:type="dxa" w:w="46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Distractor-subset hit@1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91.7%</w:t>
            </w:r>
          </w:p>
        </w:tc>
        <w:tc>
          <w:tcPr>
            <w:tcW w:type="dxa" w:w="2300"/>
            <w:shd w:fill="EA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66.7%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t xml:space="preserve">5. Discussion</w:t>
      </w:r>
    </w:p>
    <w:p>
      <w:pPr>
        <w:spacing w:after="160"/>
      </w:pPr>
      <w:r>
        <w:t xml:space="preserve">The result on Document B is treated as a positive outcome for the overall approach, not a weakness to downplay, for two reasons. First, the failure mode was fully diagnosable: because every score is a closed-form function of explicit term statistics, it was possible to pinpoint the exact cause (length-normalization bias on short, list-like pages) rather than merely observe a lower accuracy number. Second, the fix required no architectural change — a single new configuration parameter, left off by default, corrected the behaviour with a verified absence of regression on the first document. A conventional embedding-based system offers no equivalent path: a wrong retrieval from a neural embedding model cannot generally be traced to a specific, correctable cause.</w:t>
      </w:r>
    </w:p>
    <w:p>
      <w:pPr>
        <w:pStyle w:val="Heading1"/>
        <w:spacing w:after="160" w:before="360"/>
      </w:pPr>
      <w:r>
        <w:t xml:space="preserve">6. Conclusion</w:t>
      </w:r>
    </w:p>
    <w:p>
      <w:pPr>
        <w:spacing w:after="160"/>
      </w:pPr>
      <w:r>
        <w:t xml:space="preserve">The hypothesis proposed — that a deterministic AST index can answer factual questions more accurately and more interpretably than a naive vector RAG, for a single well-structured document — is supported by this proof of concept. The AST-based system won decisively on both documents once a document-appropriate ranking configuration was applied, and in every case its behaviour could be explained and, where necessary, corrected at the level of individual scoring factors.</w:t>
      </w:r>
    </w:p>
    <w:p>
      <w:pPr>
        <w:spacing w:after="160"/>
      </w:pPr>
      <w:r>
        <w:t xml:space="preserve">The principal caveat is that the baseline used in this PoC substituted TF-IDF vectors for true neural embeddings due to environment constraints. The comparison therefore isolates structure-aware retrieval from flat chunking, rather than lexical from semantic matching, and should be re-run against a real embedding model before the result is generalised further.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5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2026-09-17T04:38:12.087Z</dcterms:created>
  <dcterms:modified xsi:type="dcterms:W3CDTF">2026-09-17T04:38:12.094Z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