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b/>
          <w:bCs/>
          <w:color w:val="0F1923"/>
          <w:sz w:val="60"/>
          <w:szCs w:val="60"/>
        </w:rPr>
        <w:t xml:space="preserve">RetireSense AI</w:t>
      </w:r>
    </w:p>
    <w:p>
      <w:pPr>
        <w:spacing w:after="140"/>
        <w:jc w:val="center"/>
      </w:pPr>
      <w:r>
        <w:rPr>
          <w:b/>
          <w:bCs/>
          <w:color w:val="0D7377"/>
          <w:sz w:val="32"/>
          <w:szCs w:val="32"/>
        </w:rPr>
        <w:t xml:space="preserve">Solution Handoff Document</w:t>
      </w:r>
    </w:p>
    <w:p>
      <w:pPr>
        <w:spacing w:after="1800"/>
        <w:jc w:val="center"/>
      </w:pPr>
      <w:r>
        <w:rPr>
          <w:color w:val="6B7280"/>
          <w:sz w:val="22"/>
          <w:szCs w:val="22"/>
        </w:rPr>
        <w:t xml:space="preserve">Technical Reference · Demo Operations · Data Model · Production Roadmap</w:t>
      </w:r>
    </w:p>
    <w:p>
      <w:pPr>
        <w:jc w:val="center"/>
      </w:pPr>
      <w:r>
        <w:rPr>
          <w:color w:val="6B7280"/>
          <w:sz w:val="19"/>
          <w:szCs w:val="19"/>
        </w:rPr>
        <w:t xml:space="preserve">Version 3.0 · June 2026 · Status: Demo-complete, validated</w:t>
      </w:r>
    </w:p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0F1923"/>
        </w:rPr>
        <w:t xml:space="preserve">1. Purpose and Audience</w:t>
      </w:r>
    </w:p>
    <w:p>
      <w:pPr>
        <w:spacing w:after="110" w:line="272"/>
      </w:pPr>
      <w:r>
        <w:rPr>
          <w:sz w:val="21"/>
          <w:szCs w:val="21"/>
        </w:rPr>
        <w:t xml:space="preserve">This document transfers ownership of the RetireSense AI demo solution. It is written for three readers: the </w:t>
      </w:r>
      <w:r>
        <w:rPr>
          <w:b/>
          <w:bCs/>
          <w:sz w:val="21"/>
          <w:szCs w:val="21"/>
        </w:rPr>
        <w:t xml:space="preserve">demo owner</w:t>
      </w:r>
      <w:r>
        <w:rPr>
          <w:sz w:val="21"/>
          <w:szCs w:val="21"/>
        </w:rPr>
        <w:t xml:space="preserve"> (how to run and reset it), the </w:t>
      </w:r>
      <w:r>
        <w:rPr>
          <w:b/>
          <w:bCs/>
          <w:sz w:val="21"/>
          <w:szCs w:val="21"/>
        </w:rPr>
        <w:t xml:space="preserve">developer</w:t>
      </w:r>
      <w:r>
        <w:rPr>
          <w:sz w:val="21"/>
          <w:szCs w:val="21"/>
        </w:rPr>
        <w:t xml:space="preserve"> who will extend it (architecture, data structures, function reference), and the </w:t>
      </w:r>
      <w:r>
        <w:rPr>
          <w:b/>
          <w:bCs/>
          <w:sz w:val="21"/>
          <w:szCs w:val="21"/>
        </w:rPr>
        <w:t xml:space="preserve">solution lead</w:t>
      </w:r>
      <w:r>
        <w:rPr>
          <w:sz w:val="21"/>
          <w:szCs w:val="21"/>
        </w:rPr>
        <w:t xml:space="preserve"> who will take it toward production (assumptions, limitations, integration roadmap). The accompanying Solution Package (separate document) covers positioning and talking points; this document covers how the thing works.</w:t>
      </w:r>
    </w:p>
    <w:p>
      <w:pPr>
        <w:pStyle w:val="Heading1"/>
        <w:spacing w:after="150" w:before="320"/>
      </w:pPr>
      <w:r>
        <w:rPr>
          <w:b/>
          <w:bCs/>
          <w:color w:val="0F1923"/>
        </w:rPr>
        <w:t xml:space="preserve">2. Deliverables Inventory</w:t>
      </w:r>
    </w:p>
    <w:tbl>
      <w:tblPr>
        <w:tblW w:type="dxa" w:w="9360"/>
        <w:tblBorders>
          <w:top w:val="single" w:color="0F1923" w:sz="6"/>
          <w:left w:val="none"/>
          <w:bottom w:val="single" w:color="0F1923" w:sz="6"/>
          <w:right w:val="none"/>
          <w:insideH w:val="single" w:color="D0D7DE" w:sz="2"/>
          <w:insideV w:val="none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shd w:fill="0F192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shd w:fill="0F192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shd w:fill="0F192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RetireSense_AI.html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HTML app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Advisor tool — 9 screens, 8 working modals, agentic RMD engine, ~3,100 lines, fully self-contained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RetireSense_AI_Participant_Portal.html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HTML app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Participant-facing portal — 5 screens, 4 modals, Okafor persona view, ~1,170 lines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RetireSense_AI_Solution_Package.docx / .pdf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Document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Sales/demo companion: functionality highlights, talking points, 15-minute demo script, proof points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RetireSense_AI_Handoff.docx / .pdf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Document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This document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0F1923"/>
        </w:rPr>
        <w:t xml:space="preserve">3. Technical Architecture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sz w:val="21"/>
          <w:szCs w:val="21"/>
        </w:rPr>
        <w:t xml:space="preserve">Single-file HTML applications.</w:t>
      </w:r>
      <w:r>
        <w:rPr>
          <w:sz w:val="21"/>
          <w:szCs w:val="21"/>
        </w:rPr>
        <w:t xml:space="preserve">  All CSS, markup, data, and JavaScript live in one file per app. No build step, no server, no install — open the file in a browser.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sz w:val="21"/>
          <w:szCs w:val="21"/>
        </w:rPr>
        <w:t xml:space="preserve">External dependencies (CDN, loaded at runtime):</w:t>
      </w:r>
      <w:r>
        <w:rPr>
          <w:sz w:val="21"/>
          <w:szCs w:val="21"/>
        </w:rPr>
        <w:t xml:space="preserve">  IBM Plex Sans/Mono (Google Fonts), Tabler Icons 2.47.0 (cdnjs), Chart.js 4.4.1 (cdnjs). Internet is required for fonts, icons, and charts; all interaction logic works offline.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sz w:val="21"/>
          <w:szCs w:val="21"/>
        </w:rPr>
        <w:t xml:space="preserve">State model:</w:t>
      </w:r>
      <w:r>
        <w:rPr>
          <w:sz w:val="21"/>
          <w:szCs w:val="21"/>
        </w:rPr>
        <w:t xml:space="preserve">  everything is in-memory JavaScript. Refreshing the page resets the demo to its scripted starting state — this is the intended “reset button.” Nothing persists; nothing is transmitted.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sz w:val="21"/>
          <w:szCs w:val="21"/>
        </w:rPr>
        <w:t xml:space="preserve">Browser support:</w:t>
      </w:r>
      <w:r>
        <w:rPr>
          <w:sz w:val="21"/>
          <w:szCs w:val="21"/>
        </w:rPr>
        <w:t xml:space="preserve">  current Chrome/Edge/Safari/Firefox. Advisor tool is desktop-first (~1200px+ recommended); portal is responsive down to ~900px.</w:t>
      </w:r>
    </w:p>
    <w:tbl>
      <w:tblPr>
        <w:tblW w:type="dxa" w:w="9360"/>
        <w:tblBorders>
          <w:top w:val="single" w:color="0D7377" w:sz="4"/>
          <w:left w:val="single" w:color="0D7377" w:sz="12"/>
          <w:bottom w:val="single" w:color="0D7377" w:sz="4"/>
          <w:right w:val="single" w:color="0D737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7F7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50"/>
            </w:pPr>
            <w:r>
              <w:rPr>
                <w:b/>
                <w:bCs/>
                <w:caps/>
                <w:color w:val="0D7377"/>
                <w:sz w:val="17"/>
                <w:szCs w:val="17"/>
              </w:rPr>
              <w:t xml:space="preserve">Demo reset</w:t>
            </w:r>
          </w:p>
          <w:p>
            <w:pPr>
              <w:spacing w:after="0" w:line="260"/>
            </w:pPr>
            <w:r>
              <w:rPr>
                <w:color w:val="0F1923"/>
                <w:sz w:val="20"/>
                <w:szCs w:val="20"/>
              </w:rPr>
              <w:t xml:space="preserve">To reset any demo mid-meeting (approvals clicked, transactions submitted, inquiries resolved): refresh the browser tab. The scripted starting state is restored instantly.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0F1923"/>
        </w:rPr>
        <w:t xml:space="preserve">4. Application Map — Advisor Tool</w:t>
      </w:r>
    </w:p>
    <w:p>
      <w:pPr>
        <w:pStyle w:val="Heading2"/>
        <w:spacing w:after="110" w:before="240"/>
      </w:pPr>
      <w:r>
        <w:rPr>
          <w:b/>
          <w:bCs/>
          <w:color w:val="0D7377"/>
        </w:rPr>
        <w:t xml:space="preserve">4.1 Screens and navigation</w:t>
      </w:r>
    </w:p>
    <w:p>
      <w:pPr>
        <w:spacing w:after="110" w:line="272"/>
      </w:pPr>
      <w:r>
        <w:rPr>
          <w:sz w:val="21"/>
          <w:szCs w:val="21"/>
        </w:rPr>
        <w:t xml:space="preserve">Top-nav tabs (screen ids): Participant 360 (</w:t>
      </w:r>
      <w:r>
        <w:rPr>
          <w:rFonts w:ascii="Consolas" w:cs="Consolas" w:eastAsia="Consolas" w:hAnsi="Consolas"/>
          <w:color w:val="0B5394"/>
          <w:sz w:val="19"/>
          <w:szCs w:val="19"/>
        </w:rPr>
        <w:t xml:space="preserve">p360</w:t>
      </w:r>
      <w:r>
        <w:rPr>
          <w:sz w:val="21"/>
          <w:szCs w:val="21"/>
        </w:rPr>
        <w:t xml:space="preserve">), Smart Actions (</w:t>
      </w:r>
      <w:r>
        <w:rPr>
          <w:rFonts w:ascii="Consolas" w:cs="Consolas" w:eastAsia="Consolas" w:hAnsi="Consolas"/>
          <w:color w:val="0B5394"/>
          <w:sz w:val="19"/>
          <w:szCs w:val="19"/>
        </w:rPr>
        <w:t xml:space="preserve">compliance</w:t>
      </w:r>
      <w:r>
        <w:rPr>
          <w:sz w:val="21"/>
          <w:szCs w:val="21"/>
        </w:rPr>
        <w:t xml:space="preserve">), Readiness (</w:t>
      </w:r>
      <w:r>
        <w:rPr>
          <w:rFonts w:ascii="Consolas" w:cs="Consolas" w:eastAsia="Consolas" w:hAnsi="Consolas"/>
          <w:color w:val="0B5394"/>
          <w:sz w:val="19"/>
          <w:szCs w:val="19"/>
        </w:rPr>
        <w:t xml:space="preserve">readiness</w:t>
      </w:r>
      <w:r>
        <w:rPr>
          <w:sz w:val="21"/>
          <w:szCs w:val="21"/>
        </w:rPr>
        <w:t xml:space="preserve">), Transactions (</w:t>
      </w:r>
      <w:r>
        <w:rPr>
          <w:rFonts w:ascii="Consolas" w:cs="Consolas" w:eastAsia="Consolas" w:hAnsi="Consolas"/>
          <w:color w:val="0B5394"/>
          <w:sz w:val="19"/>
          <w:szCs w:val="19"/>
        </w:rPr>
        <w:t xml:space="preserve">transactions</w:t>
      </w:r>
      <w:r>
        <w:rPr>
          <w:sz w:val="21"/>
          <w:szCs w:val="21"/>
        </w:rPr>
        <w:t xml:space="preserve">), RMD Center (</w:t>
      </w:r>
      <w:r>
        <w:rPr>
          <w:rFonts w:ascii="Consolas" w:cs="Consolas" w:eastAsia="Consolas" w:hAnsi="Consolas"/>
          <w:color w:val="0B5394"/>
          <w:sz w:val="19"/>
          <w:szCs w:val="19"/>
        </w:rPr>
        <w:t xml:space="preserve">rmdcenter</w:t>
      </w:r>
      <w:r>
        <w:rPr>
          <w:sz w:val="21"/>
          <w:szCs w:val="21"/>
        </w:rPr>
        <w:t xml:space="preserve">), Advisor (</w:t>
      </w:r>
      <w:r>
        <w:rPr>
          <w:rFonts w:ascii="Consolas" w:cs="Consolas" w:eastAsia="Consolas" w:hAnsi="Consolas"/>
          <w:color w:val="0B5394"/>
          <w:sz w:val="19"/>
          <w:szCs w:val="19"/>
        </w:rPr>
        <w:t xml:space="preserve">advisor</w:t>
      </w:r>
      <w:r>
        <w:rPr>
          <w:sz w:val="21"/>
          <w:szCs w:val="21"/>
        </w:rPr>
        <w:t xml:space="preserve">), Omnichannel (</w:t>
      </w:r>
      <w:r>
        <w:rPr>
          <w:rFonts w:ascii="Consolas" w:cs="Consolas" w:eastAsia="Consolas" w:hAnsi="Consolas"/>
          <w:color w:val="0B5394"/>
          <w:sz w:val="19"/>
          <w:szCs w:val="19"/>
        </w:rPr>
        <w:t xml:space="preserve">omni</w:t>
      </w:r>
      <w:r>
        <w:rPr>
          <w:sz w:val="21"/>
          <w:szCs w:val="21"/>
        </w:rPr>
        <w:t xml:space="preserve">), Executive (</w:t>
      </w:r>
      <w:r>
        <w:rPr>
          <w:rFonts w:ascii="Consolas" w:cs="Consolas" w:eastAsia="Consolas" w:hAnsi="Consolas"/>
          <w:color w:val="0B5394"/>
          <w:sz w:val="19"/>
          <w:szCs w:val="19"/>
        </w:rPr>
        <w:t xml:space="preserve">exec</w:t>
      </w:r>
      <w:r>
        <w:rPr>
          <w:sz w:val="21"/>
          <w:szCs w:val="21"/>
        </w:rPr>
        <w:t xml:space="preserve">). Market Trends (</w:t>
      </w:r>
      <w:r>
        <w:rPr>
          <w:rFonts w:ascii="Consolas" w:cs="Consolas" w:eastAsia="Consolas" w:hAnsi="Consolas"/>
          <w:color w:val="0B5394"/>
          <w:sz w:val="19"/>
          <w:szCs w:val="19"/>
        </w:rPr>
        <w:t xml:space="preserve">trends</w:t>
      </w:r>
      <w:r>
        <w:rPr>
          <w:sz w:val="21"/>
          <w:szCs w:val="21"/>
        </w:rPr>
        <w:t xml:space="preserve">) is sidebar-only. Navigation is driven by </w:t>
      </w:r>
      <w:r>
        <w:rPr>
          <w:rFonts w:ascii="Consolas" w:cs="Consolas" w:eastAsia="Consolas" w:hAnsi="Consolas"/>
          <w:color w:val="0B5394"/>
          <w:sz w:val="19"/>
          <w:szCs w:val="19"/>
        </w:rPr>
        <w:t xml:space="preserve">goScreen()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394"/>
          <w:sz w:val="19"/>
          <w:szCs w:val="19"/>
        </w:rPr>
        <w:t xml:space="preserve">sidebarNav()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394"/>
          <w:sz w:val="19"/>
          <w:szCs w:val="19"/>
        </w:rPr>
        <w:t xml:space="preserve">goScreenByName()</w:t>
      </w:r>
      <w:r>
        <w:rPr>
          <w:sz w:val="21"/>
          <w:szCs w:val="21"/>
        </w:rPr>
        <w:t xml:space="preserve"> and the </w:t>
      </w:r>
      <w:r>
        <w:rPr>
          <w:rFonts w:ascii="Consolas" w:cs="Consolas" w:eastAsia="Consolas" w:hAnsi="Consolas"/>
          <w:color w:val="0B5394"/>
          <w:sz w:val="19"/>
          <w:szCs w:val="19"/>
        </w:rPr>
        <w:t xml:space="preserve">navMap</w:t>
      </w:r>
      <w:r>
        <w:rPr>
          <w:sz w:val="21"/>
          <w:szCs w:val="21"/>
        </w:rPr>
        <w:t xml:space="preserve"> index.</w:t>
      </w:r>
    </w:p>
    <w:p>
      <w:pPr>
        <w:spacing w:after="110" w:line="272"/>
      </w:pPr>
      <w:r>
        <w:rPr>
          <w:sz w:val="21"/>
          <w:szCs w:val="21"/>
        </w:rPr>
        <w:t xml:space="preserve">A global </w:t>
      </w:r>
      <w:r>
        <w:rPr>
          <w:b/>
          <w:bCs/>
          <w:sz w:val="21"/>
          <w:szCs w:val="21"/>
        </w:rPr>
        <w:t xml:space="preserve">RMD countdown ribbon</w:t>
      </w:r>
      <w:r>
        <w:rPr>
          <w:sz w:val="21"/>
          <w:szCs w:val="21"/>
        </w:rPr>
        <w:t xml:space="preserve"> in the header (204 days · 117 at risk · agent-active pulse) deep-links to the RMD Center from every screen.</w:t>
      </w:r>
    </w:p>
    <w:p>
      <w:pPr>
        <w:pStyle w:val="Heading2"/>
        <w:spacing w:after="110" w:before="240"/>
      </w:pPr>
      <w:r>
        <w:rPr>
          <w:b/>
          <w:bCs/>
          <w:color w:val="0D7377"/>
        </w:rPr>
        <w:t xml:space="preserve">4.2 Modals (8 — all verified open / close / backdrop-click)</w:t>
      </w:r>
    </w:p>
    <w:tbl>
      <w:tblPr>
        <w:tblW w:type="dxa" w:w="9360"/>
        <w:tblBorders>
          <w:top w:val="single" w:color="0F1923" w:sz="6"/>
          <w:left w:val="none"/>
          <w:bottom w:val="single" w:color="0F1923" w:sz="6"/>
          <w:right w:val="none"/>
          <w:insideH w:val="single" w:color="D0D7DE" w:sz="2"/>
          <w:insideV w:val="none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shd w:fill="0F192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Modal id</w:t>
            </w:r>
          </w:p>
        </w:tc>
        <w:tc>
          <w:tcPr>
            <w:tcW w:type="dxa" w:w="2200"/>
            <w:shd w:fill="0F192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Opened from</w:t>
            </w:r>
          </w:p>
        </w:tc>
        <w:tc>
          <w:tcPr>
            <w:tcW w:type="dxa" w:w="4560"/>
            <w:shd w:fill="0F192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alertsModal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Header bell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Priority alert list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initiateRMD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P360 quick form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Legacy quick RMD form (kept as secondary path)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previewCampaign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Smart Actions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Outreach campaign preview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addParticipant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P360 table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Add-participant form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inquiryModal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RMD Center III/IV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Inquiry queue: 10 inquiries, filters, AI-suggested replies, send/resolve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form1099Modal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RMD Center IV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IRS 1099-R replica, 4-participant selector, box-level data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txnModal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Everywhere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6-journey guided wizard: stepper, validation, upload, e-sign, submit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watchModal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At-Risk Watchlist rows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Prevention Dossier: drivers, agent history, plan, actions</w:t>
            </w:r>
          </w:p>
        </w:tc>
      </w:tr>
    </w:tbl>
    <w:p>
      <w:pPr>
        <w:pStyle w:val="Heading2"/>
        <w:spacing w:after="110" w:before="240"/>
      </w:pPr>
      <w:r>
        <w:rPr>
          <w:b/>
          <w:bCs/>
          <w:color w:val="0D7377"/>
        </w:rPr>
        <w:t xml:space="preserve">4.3 The agentic layer (RMD Center, Pane I)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sz w:val="21"/>
          <w:szCs w:val="21"/>
        </w:rPr>
        <w:t xml:space="preserve">Agent status bar → interactive watchlist (10 rows) → human-in-the-loop approval queue (3 items) → live activity feed; </w:t>
      </w:r>
      <w:r>
        <w:rPr>
          <w:rFonts w:ascii="Consolas" w:cs="Consolas" w:eastAsia="Consolas" w:hAnsi="Consolas"/>
          <w:color w:val="0B5394"/>
          <w:sz w:val="19"/>
          <w:szCs w:val="19"/>
        </w:rPr>
        <w:t xml:space="preserve">Run Agent Cycle Now</w:t>
      </w:r>
      <w:r>
        <w:rPr>
          <w:sz w:val="21"/>
          <w:szCs w:val="21"/>
        </w:rPr>
        <w:t xml:space="preserve"> streams 4 new feed events in real time.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sz w:val="21"/>
          <w:szCs w:val="21"/>
        </w:rPr>
        <w:t xml:space="preserve">Copilot: </w:t>
      </w:r>
      <w:r>
        <w:rPr>
          <w:rFonts w:ascii="Consolas" w:cs="Consolas" w:eastAsia="Consolas" w:hAnsi="Consolas"/>
          <w:color w:val="0B5394"/>
          <w:sz w:val="19"/>
          <w:szCs w:val="19"/>
        </w:rPr>
        <w:t xml:space="preserve">askAI()</w:t>
      </w:r>
      <w:r>
        <w:rPr>
          <w:sz w:val="21"/>
          <w:szCs w:val="21"/>
        </w:rPr>
        <w:t xml:space="preserve"> keyword-routes free text to five grounded answers (miss / nigo / surge / qcd / channel); </w:t>
      </w:r>
      <w:r>
        <w:rPr>
          <w:rFonts w:ascii="Consolas" w:cs="Consolas" w:eastAsia="Consolas" w:hAnsi="Consolas"/>
          <w:color w:val="0B5394"/>
          <w:sz w:val="19"/>
          <w:szCs w:val="19"/>
        </w:rPr>
        <w:t xml:space="preserve">riskWhy()</w:t>
      </w:r>
      <w:r>
        <w:rPr>
          <w:sz w:val="21"/>
          <w:szCs w:val="21"/>
        </w:rPr>
        <w:t xml:space="preserve"> renders per-participant model drivers into the copilot panel.</w:t>
      </w:r>
    </w:p>
    <w:p>
      <w:pPr>
        <w:pStyle w:val="Heading1"/>
        <w:spacing w:after="150" w:before="320"/>
      </w:pPr>
      <w:r>
        <w:rPr>
          <w:b/>
          <w:bCs/>
          <w:color w:val="0F1923"/>
        </w:rPr>
        <w:t xml:space="preserve">5. Application Map — Participant Portal</w:t>
      </w:r>
    </w:p>
    <w:p>
      <w:pPr>
        <w:spacing w:after="110" w:line="272"/>
      </w:pPr>
      <w:r>
        <w:rPr>
          <w:sz w:val="21"/>
          <w:szCs w:val="21"/>
        </w:rPr>
        <w:t xml:space="preserve">Five screens (Dashboard, My Investments, Action Center, Documents, My Advisor) as one persona: </w:t>
      </w:r>
      <w:r>
        <w:rPr>
          <w:b/>
          <w:bCs/>
          <w:sz w:val="21"/>
          <w:szCs w:val="21"/>
        </w:rPr>
        <w:t xml:space="preserve">Margaret H. Okafor</w:t>
      </w:r>
      <w:r>
        <w:rPr>
          <w:sz w:val="21"/>
          <w:szCs w:val="21"/>
        </w:rPr>
        <w:t xml:space="preserve">. Four modals: RMD distribution, beneficiary update, notifications, message-advisor. The portal mirrors the advisor side’s open items in participant language — use it to show “the other side of the glass.” Advisor of record displays as </w:t>
      </w:r>
      <w:r>
        <w:rPr>
          <w:b/>
          <w:bCs/>
          <w:sz w:val="21"/>
          <w:szCs w:val="21"/>
        </w:rPr>
        <w:t xml:space="preserve">Lily P. — EXL Offshore Advisor</w:t>
      </w:r>
      <w:r>
        <w:rPr>
          <w:sz w:val="21"/>
          <w:szCs w:val="21"/>
        </w:rPr>
        <w:t xml:space="preserve">, matching the advisor tool’s login identity.</w:t>
      </w:r>
    </w:p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0F1923"/>
        </w:rPr>
        <w:t xml:space="preserve">6. Sample Data Model</w:t>
      </w:r>
    </w:p>
    <w:p>
      <w:pPr>
        <w:pStyle w:val="Heading2"/>
        <w:spacing w:after="110" w:before="240"/>
      </w:pPr>
      <w:r>
        <w:rPr>
          <w:b/>
          <w:bCs/>
          <w:color w:val="0D7377"/>
        </w:rPr>
        <w:t xml:space="preserve">6.1 Core personas (P360 — PX array)</w:t>
      </w:r>
    </w:p>
    <w:tbl>
      <w:tblPr>
        <w:tblW w:type="dxa" w:w="9360"/>
        <w:tblBorders>
          <w:top w:val="single" w:color="0F1923" w:sz="6"/>
          <w:left w:val="none"/>
          <w:bottom w:val="single" w:color="0F1923" w:sz="6"/>
          <w:right w:val="none"/>
          <w:insideH w:val="single" w:color="D0D7DE" w:sz="2"/>
          <w:insideV w:val="none"/>
        </w:tblBorders>
      </w:tblPr>
      <w:tblGrid>
        <w:gridCol w:w="2500"/>
        <w:gridCol w:w="1100"/>
        <w:gridCol w:w="2400"/>
        <w:gridCol w:w="3360"/>
      </w:tblGrid>
      <w:tr>
        <w:trPr>
          <w:tblHeader/>
        </w:trPr>
        <w:tc>
          <w:tcPr>
            <w:tcW w:type="dxa" w:w="2500"/>
            <w:shd w:fill="0F192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Participant</w:t>
            </w:r>
          </w:p>
        </w:tc>
        <w:tc>
          <w:tcPr>
            <w:tcW w:type="dxa" w:w="1100"/>
            <w:shd w:fill="0F192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Age</w:t>
            </w:r>
          </w:p>
        </w:tc>
        <w:tc>
          <w:tcPr>
            <w:tcW w:type="dxa" w:w="2400"/>
            <w:shd w:fill="0F192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Plans / balance</w:t>
            </w:r>
          </w:p>
        </w:tc>
        <w:tc>
          <w:tcPr>
            <w:tcW w:type="dxa" w:w="3360"/>
            <w:shd w:fill="0F192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 in the demo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Okafor, Margaret H.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71/73*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401(k) $317K + IRA $165K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Primary thread: RMD pending, 58% risk, rollover, catch-up, beneficiary gap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Rivera, James T.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68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IRA $241.8K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Pre-RMD planning; Roth catch-up mandate (wages &gt;$145K)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Nguyen, Patricia T.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401(k) $89.4K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Accumulator; auto-escalation, PLESA, student-loan match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Wallace, Robert K.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74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401(k) $260K + Pension $980K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Model citizen: RMD complete, QCD user, wealth referral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Chen, Sandra R.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Annuity $315.5K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Annuitized RMD satisfaction edge case</w:t>
            </w:r>
          </w:p>
        </w:tc>
      </w:tr>
    </w:tbl>
    <w:p>
      <w:pPr>
        <w:spacing w:after="110" w:line="272"/>
      </w:pPr>
      <w:r>
        <w:rPr>
          <w:i/>
          <w:iCs/>
          <w:color w:val="6B7280"/>
          <w:sz w:val="19"/>
          <w:szCs w:val="19"/>
        </w:rPr>
        <w:t xml:space="preserve">*Okafor appears as age 71 in P360/portal (earlier build) and 73 in RMD contexts (factor 26.5). Known cosmetic inconsistency — see §9.</w:t>
      </w:r>
    </w:p>
    <w:p>
      <w:pPr>
        <w:pStyle w:val="Heading2"/>
        <w:spacing w:after="110" w:before="240"/>
      </w:pPr>
      <w:r>
        <w:rPr>
          <w:b/>
          <w:bCs/>
          <w:color w:val="0D7377"/>
        </w:rPr>
        <w:t xml:space="preserve">6.2 At-Risk Watchlist (WATCH — 10 records)</w:t>
      </w:r>
    </w:p>
    <w:p>
      <w:pPr>
        <w:spacing w:after="110" w:line="272"/>
      </w:pPr>
      <w:r>
        <w:rPr>
          <w:sz w:val="21"/>
          <w:szCs w:val="21"/>
        </w:rPr>
        <w:t xml:space="preserve">Brooks 91% (non-responsive, force-out staged) · Tran 84% (skip-trace) · Kowalski 79% (aware-but-stuck) · Ibrahim 76% (POA) · Meyer 71% (snowbird) · Castillo 68% (hospitalized, 5329 prep) · O’Rourke 66% (email bounce) · Yamada 63% (first-year) · Okonkwo 61% (banking-step abandon) · Petrov 57% (aggregation). Each record carries risk drivers (</w:t>
      </w:r>
      <w:r>
        <w:rPr>
          <w:rFonts w:ascii="Consolas" w:cs="Consolas" w:eastAsia="Consolas" w:hAnsi="Consolas"/>
          <w:color w:val="0B5394"/>
          <w:sz w:val="19"/>
          <w:szCs w:val="19"/>
        </w:rPr>
        <w:t xml:space="preserve">RISK_WHY</w:t>
      </w:r>
      <w:r>
        <w:rPr>
          <w:sz w:val="21"/>
          <w:szCs w:val="21"/>
        </w:rPr>
        <w:t xml:space="preserve">), an agent action history, and a written prevention plan — rendered into the dossier modal by </w:t>
      </w:r>
      <w:r>
        <w:rPr>
          <w:rFonts w:ascii="Consolas" w:cs="Consolas" w:eastAsia="Consolas" w:hAnsi="Consolas"/>
          <w:color w:val="0B5394"/>
          <w:sz w:val="19"/>
          <w:szCs w:val="19"/>
        </w:rPr>
        <w:t xml:space="preserve">openWatch()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10" w:before="240"/>
      </w:pPr>
      <w:r>
        <w:rPr>
          <w:b/>
          <w:bCs/>
          <w:color w:val="0D7377"/>
        </w:rPr>
        <w:t xml:space="preserve">6.3 Other structures</w:t>
      </w:r>
    </w:p>
    <w:tbl>
      <w:tblPr>
        <w:tblW w:type="dxa" w:w="9360"/>
        <w:tblBorders>
          <w:top w:val="single" w:color="0F1923" w:sz="6"/>
          <w:left w:val="none"/>
          <w:bottom w:val="single" w:color="0F1923" w:sz="6"/>
          <w:right w:val="none"/>
          <w:insideH w:val="single" w:color="D0D7DE" w:sz="2"/>
          <w:insideV w:val="none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0F192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Structure</w:t>
            </w:r>
          </w:p>
        </w:tc>
        <w:tc>
          <w:tcPr>
            <w:tcW w:type="dxa" w:w="7060"/>
            <w:shd w:fill="0F192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ADV / ADV_X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Advisor workspace per-client data: screen pop, chips, timeline, AI summary (ADV) + NBA cards, readiness ring, bars, recs (ADV_X). Keys: okafor, brooks, tran, kowalski, wallace. Rendered by advSelect(key).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TXN_DEFS / TXN_LIST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Six journey definitions (rmd, rollover, beneficiary, hardship, contribution, income) with steps and validation checks; live status-tracking rows. Engine: startTxn / renderTxnStep / txnNext / txnBack / txnUpload.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INQ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 participant inquiries (payment + tax) for the inquiry queue; sendReply() resolves and timestamps.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F1099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Four settled distributions rendered into the IRS form replica by render1099().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AI_ANSWERS / RISK_WHY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Copilot canned intelligence; keyword router in askAI().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0F1923"/>
        </w:rPr>
        <w:t xml:space="preserve">7. Key Function Reference (advisor tool)</w:t>
      </w:r>
    </w:p>
    <w:tbl>
      <w:tblPr>
        <w:tblW w:type="dxa" w:w="9360"/>
        <w:tblBorders>
          <w:top w:val="single" w:color="0F1923" w:sz="6"/>
          <w:left w:val="none"/>
          <w:bottom w:val="single" w:color="0F1923" w:sz="6"/>
          <w:right w:val="none"/>
          <w:insideH w:val="single" w:color="D0D7DE" w:sz="2"/>
          <w:insideV w:val="none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F192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6360"/>
            <w:shd w:fill="0F192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goScreen / goScreenByName / sidebarNav / activateScreen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Tab + sidebar navigation; keeps navMap indices in sync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rmdTab(btn, pane)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Switches the four RMD Center panes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askAI(key?) / riskWhy(who)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Copilot Q&amp;A and model-driver explanations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renderWatch / openWatch(key)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Watchlist rows and Prevention Dossier modal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agentApprove(id,msg) / agentDecline(id) / runAgentCycle / agentFeedAdd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Approval queue + live feed; approvals are idempotent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advSelect(key)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Re-renders the whole advisor workspace per client (pop, chips, timeline, summary, NBA cards, readiness ring/bars/recs)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startTxn(type) → txnNext / txnBack / txnUpload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Guided wizard; blocks unsigned e-sign; submit prepends to TXN_LIST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runScenario()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Readiness modeler: deterministic projection (base $482,150, 4.5% growth, $42K drawdown, $620K goal)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openInquiries(filter) / sendReply(id) / useSuggested(id)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Inquiry queue open / filter / respond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open1099() / render1099()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1099-R preview with participant switching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discCheck()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Disclosure checklist — locks/unlocks processing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selectPx(i)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P360 detail render incl. plan strip + RMD/SECURE banners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toast / openModal / closeModal / maybeClose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UI primitives</w:t>
            </w:r>
          </w:p>
        </w:tc>
      </w:tr>
    </w:tbl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0F1923"/>
        </w:rPr>
        <w:t xml:space="preserve">8. Embedded Industry Data (verify before client use)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sz w:val="21"/>
          <w:szCs w:val="21"/>
        </w:rPr>
        <w:t xml:space="preserve">2026 limits used: 401(k) deferral </w:t>
      </w:r>
      <w:r>
        <w:rPr>
          <w:b/>
          <w:bCs/>
          <w:sz w:val="21"/>
          <w:szCs w:val="21"/>
        </w:rPr>
        <w:t xml:space="preserve">$24,500</w:t>
      </w:r>
      <w:r>
        <w:rPr>
          <w:sz w:val="21"/>
          <w:szCs w:val="21"/>
        </w:rPr>
        <w:t xml:space="preserve">; standard catch-up </w:t>
      </w:r>
      <w:r>
        <w:rPr>
          <w:b/>
          <w:bCs/>
          <w:sz w:val="21"/>
          <w:szCs w:val="21"/>
        </w:rPr>
        <w:t xml:space="preserve">$8,000</w:t>
      </w:r>
      <w:r>
        <w:rPr>
          <w:sz w:val="21"/>
          <w:szCs w:val="21"/>
        </w:rPr>
        <w:t xml:space="preserve">; SECURE 2.0 super catch-up (60–63) </w:t>
      </w:r>
      <w:r>
        <w:rPr>
          <w:b/>
          <w:bCs/>
          <w:sz w:val="21"/>
          <w:szCs w:val="21"/>
        </w:rPr>
        <w:t xml:space="preserve">$11,250</w:t>
      </w:r>
      <w:r>
        <w:rPr>
          <w:sz w:val="21"/>
          <w:szCs w:val="21"/>
        </w:rPr>
        <w:t xml:space="preserve">; Roth catch-up mandate wage threshold </w:t>
      </w:r>
      <w:r>
        <w:rPr>
          <w:b/>
          <w:bCs/>
          <w:sz w:val="21"/>
          <w:szCs w:val="21"/>
        </w:rPr>
        <w:t xml:space="preserve">$145K</w:t>
      </w:r>
      <w:r>
        <w:rPr>
          <w:sz w:val="21"/>
          <w:szCs w:val="21"/>
        </w:rPr>
        <w:t xml:space="preserve">; QCD </w:t>
      </w:r>
      <w:r>
        <w:rPr>
          <w:b/>
          <w:bCs/>
          <w:sz w:val="21"/>
          <w:szCs w:val="21"/>
        </w:rPr>
        <w:t xml:space="preserve">$108K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sz w:val="21"/>
          <w:szCs w:val="21"/>
        </w:rPr>
        <w:t xml:space="preserve">RMD rules used: age </w:t>
      </w:r>
      <w:r>
        <w:rPr>
          <w:b/>
          <w:bCs/>
          <w:sz w:val="21"/>
          <w:szCs w:val="21"/>
        </w:rPr>
        <w:t xml:space="preserve">73</w:t>
      </w:r>
      <w:r>
        <w:rPr>
          <w:sz w:val="21"/>
          <w:szCs w:val="21"/>
        </w:rPr>
        <w:t xml:space="preserve"> (75 from 2033); </w:t>
      </w:r>
      <w:r>
        <w:rPr>
          <w:b/>
          <w:bCs/>
          <w:sz w:val="21"/>
          <w:szCs w:val="21"/>
        </w:rPr>
        <w:t xml:space="preserve">25%</w:t>
      </w:r>
      <w:r>
        <w:rPr>
          <w:sz w:val="21"/>
          <w:szCs w:val="21"/>
        </w:rPr>
        <w:t xml:space="preserve"> excise (10% if corrected within 2 years); first-year April 1 grace; IRA aggregation vs per-plan 401(k); Uniform Lifetime factors 73→26.5 through 80→20.2.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sz w:val="21"/>
          <w:szCs w:val="21"/>
        </w:rPr>
        <w:t xml:space="preserve">Benchmarks shown in the UI (avg $148K vs median $38K balances; 72% access / 53% participation; $40T US retirement assets) are directionally sourced demo values — refresh before client-specific use.</w:t>
      </w:r>
    </w:p>
    <w:tbl>
      <w:tblPr>
        <w:tblW w:type="dxa" w:w="9360"/>
        <w:tblBorders>
          <w:top w:val="single" w:color="92400E" w:sz="4"/>
          <w:left w:val="single" w:color="92400E" w:sz="12"/>
          <w:bottom w:val="single" w:color="92400E" w:sz="4"/>
          <w:right w:val="single" w:color="92400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7ED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50"/>
            </w:pPr>
            <w:r>
              <w:rPr>
                <w:b/>
                <w:bCs/>
                <w:caps/>
                <w:color w:val="92400E"/>
                <w:sz w:val="17"/>
                <w:szCs w:val="17"/>
              </w:rPr>
              <w:t xml:space="preserve">Compliance note</w:t>
            </w:r>
          </w:p>
          <w:p>
            <w:pPr>
              <w:spacing w:after="0" w:line="260"/>
            </w:pPr>
            <w:r>
              <w:rPr>
                <w:color w:val="0F1923"/>
                <w:sz w:val="20"/>
                <w:szCs w:val="20"/>
              </w:rPr>
              <w:t xml:space="preserve">All participant data, risk scores, agent actions, and dollar outcomes are fictional demo constructs. Validate every regulatory figure against current IRS/DOL guidance before any production or client-facing claim.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0F1923"/>
        </w:rPr>
        <w:t xml:space="preserve">9. Known Limitations and Demo Constructs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sz w:val="21"/>
          <w:szCs w:val="21"/>
        </w:rPr>
        <w:t xml:space="preserve">No persistence or backend:</w:t>
      </w:r>
      <w:r>
        <w:rPr>
          <w:sz w:val="21"/>
          <w:szCs w:val="21"/>
        </w:rPr>
        <w:t xml:space="preserve"> refresh resets; approvals, submissions, and resolved inquiries do not survive reload.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sz w:val="21"/>
          <w:szCs w:val="21"/>
        </w:rPr>
        <w:t xml:space="preserve">Canned AI:</w:t>
      </w:r>
      <w:r>
        <w:rPr>
          <w:sz w:val="21"/>
          <w:szCs w:val="21"/>
        </w:rPr>
        <w:t xml:space="preserve"> copilot answers, risk scores, NIGO predictions, and summaries are scripted intelligence, not live models — intentionally, so the demo is deterministic.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sz w:val="21"/>
          <w:szCs w:val="21"/>
        </w:rPr>
        <w:t xml:space="preserve">Simulated integrations:</w:t>
      </w:r>
      <w:r>
        <w:rPr>
          <w:sz w:val="21"/>
          <w:szCs w:val="21"/>
        </w:rPr>
        <w:t xml:space="preserve"> recordkeeping, payroll (ADP), NCOA, USPS, Plaid, EFTPS, and e-sign certificates are represented, not connected.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sz w:val="21"/>
          <w:szCs w:val="21"/>
        </w:rPr>
        <w:t xml:space="preserve">No authentication or roles:</w:t>
      </w:r>
      <w:r>
        <w:rPr>
          <w:sz w:val="21"/>
          <w:szCs w:val="21"/>
        </w:rPr>
        <w:t xml:space="preserve"> the login identity (Lily P.) is cosmetic.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sz w:val="21"/>
          <w:szCs w:val="21"/>
        </w:rPr>
        <w:t xml:space="preserve">Cosmetic inconsistencies kept for velocity:</w:t>
      </w:r>
      <w:r>
        <w:rPr>
          <w:sz w:val="21"/>
          <w:szCs w:val="21"/>
        </w:rPr>
        <w:t xml:space="preserve"> Okafor age 71 vs 73 across older/newer screens; RMD $18,430 (portal, earlier build) vs $17,667 (advisor RMD engine). Align before actuarial audiences.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sz w:val="21"/>
          <w:szCs w:val="21"/>
        </w:rPr>
        <w:t xml:space="preserve">Charts require internet</w:t>
      </w:r>
      <w:r>
        <w:rPr>
          <w:sz w:val="21"/>
          <w:szCs w:val="21"/>
        </w:rPr>
        <w:t xml:space="preserve"> (CDN); offline, charts render blank but all interactions still work.</w:t>
      </w:r>
    </w:p>
    <w:p>
      <w:pPr>
        <w:pStyle w:val="Heading1"/>
        <w:spacing w:after="150" w:before="320"/>
      </w:pPr>
      <w:r>
        <w:rPr>
          <w:b/>
          <w:bCs/>
          <w:color w:val="0F1923"/>
        </w:rPr>
        <w:t xml:space="preserve">10. Validation Performed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sz w:val="21"/>
          <w:szCs w:val="21"/>
        </w:rPr>
        <w:t xml:space="preserve">Structural: balanced divs/sections/tables/buttons/labels; every getElementById target exists; all 8 modals verified open/close/backdrop; 174+ onclick handlers quote/paren clean.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sz w:val="21"/>
          <w:szCs w:val="21"/>
        </w:rPr>
        <w:t xml:space="preserve">JavaScript: full inline script passes </w:t>
      </w:r>
      <w:r>
        <w:rPr>
          <w:rFonts w:ascii="Consolas" w:cs="Consolas" w:eastAsia="Consolas" w:hAnsi="Consolas"/>
          <w:color w:val="0B5394"/>
          <w:sz w:val="19"/>
          <w:szCs w:val="19"/>
        </w:rPr>
        <w:t xml:space="preserve">node --check</w:t>
      </w:r>
      <w:r>
        <w:rPr>
          <w:sz w:val="21"/>
          <w:szCs w:val="21"/>
        </w:rPr>
        <w:t xml:space="preserve">; 60+ functional tests in a DOM-stub harness covering wizard journeys end-to-end (incl. unsigned-block), inquiry resolve/filter, 1099 render + participant switch, scenario-math calibration, watchlist dossiers, approval idempotency, agent-cycle feed, advisor client switching (18 tests), copilot routing, and per-participant RMD/SECURE banners.</w:t>
      </w:r>
    </w:p>
    <w:p>
      <w:pPr>
        <w:pStyle w:val="Heading1"/>
        <w:spacing w:after="150" w:before="320"/>
      </w:pPr>
      <w:r>
        <w:rPr>
          <w:b/>
          <w:bCs/>
          <w:color w:val="0F1923"/>
        </w:rPr>
        <w:t xml:space="preserve">11. Productionization Roadmap (recommended sequence)</w:t>
      </w:r>
    </w:p>
    <w:p>
      <w:pPr>
        <w:spacing w:after="110" w:line="272"/>
      </w:pPr>
      <w:r>
        <w:rPr>
          <w:b/>
          <w:bCs/>
          <w:sz w:val="21"/>
          <w:szCs w:val="21"/>
        </w:rPr>
        <w:t xml:space="preserve">Phase 1 — Data &amp; identity (weeks 0–6):</w:t>
      </w:r>
      <w:r>
        <w:rPr>
          <w:sz w:val="21"/>
          <w:szCs w:val="21"/>
        </w:rPr>
        <w:t xml:space="preserve">  recordkeeping read integration (balances, DOBs, prior year-end values), SSO/roles, real participant census replacing PX/WATCH.</w:t>
      </w:r>
    </w:p>
    <w:p>
      <w:pPr>
        <w:spacing w:after="110" w:line="272"/>
      </w:pPr>
      <w:r>
        <w:rPr>
          <w:b/>
          <w:bCs/>
          <w:sz w:val="21"/>
          <w:szCs w:val="21"/>
        </w:rPr>
        <w:t xml:space="preserve">Phase 2 — Model layer (weeks 4–12):</w:t>
      </w:r>
      <w:r>
        <w:rPr>
          <w:sz w:val="21"/>
          <w:szCs w:val="21"/>
        </w:rPr>
        <w:t xml:space="preserve">  train miss-risk and channel-propensity models on historical RMD outcomes; wire riskWhy to real feature attributions (e.g., SHAP); replace AI_ANSWERS with an LLM grounded on the live book behind guardrailed tools.</w:t>
      </w:r>
    </w:p>
    <w:p>
      <w:pPr>
        <w:spacing w:after="110" w:line="272"/>
      </w:pPr>
      <w:r>
        <w:rPr>
          <w:b/>
          <w:bCs/>
          <w:sz w:val="21"/>
          <w:szCs w:val="21"/>
        </w:rPr>
        <w:t xml:space="preserve">Phase 3 — Action layer (weeks 8–16):</w:t>
      </w:r>
      <w:r>
        <w:rPr>
          <w:sz w:val="21"/>
          <w:szCs w:val="21"/>
        </w:rPr>
        <w:t xml:space="preserve">  outbound integrations (email/SMS/print/IVR, NCOA, e-sign, payroll files); implement the approval queue on a workflow engine with the same autonomy guardrails demonstrated.</w:t>
      </w:r>
    </w:p>
    <w:p>
      <w:pPr>
        <w:spacing w:after="110" w:line="272"/>
      </w:pPr>
      <w:r>
        <w:rPr>
          <w:b/>
          <w:bCs/>
          <w:sz w:val="21"/>
          <w:szCs w:val="21"/>
        </w:rPr>
        <w:t xml:space="preserve">Phase 4 — Money movement &amp; tax (weeks 12–20):</w:t>
      </w:r>
      <w:r>
        <w:rPr>
          <w:sz w:val="21"/>
          <w:szCs w:val="21"/>
        </w:rPr>
        <w:t xml:space="preserve">  distribution instructions to the recordkeeper, withholding remittance, 1099-R staging into the tax engine, immutable audit store (the hash-seal pattern shown).</w:t>
      </w:r>
    </w:p>
    <w:p>
      <w:pPr>
        <w:spacing w:after="110" w:line="272"/>
      </w:pPr>
      <w:r>
        <w:rPr>
          <w:b/>
          <w:bCs/>
          <w:sz w:val="21"/>
          <w:szCs w:val="21"/>
        </w:rPr>
        <w:t xml:space="preserve">Compliance workstream (parallel):</w:t>
      </w:r>
      <w:r>
        <w:rPr>
          <w:sz w:val="21"/>
          <w:szCs w:val="21"/>
        </w:rPr>
        <w:t xml:space="preserve">  model-governance documentation, FINRA 2165/4512 procedures, IRC §401(a)(9) controls mapping, recorded-line disclosure enforcement, 7-year retention.</w:t>
      </w:r>
    </w:p>
    <w:p>
      <w:pPr>
        <w:pStyle w:val="Heading1"/>
        <w:spacing w:after="150" w:before="320"/>
      </w:pPr>
      <w:r>
        <w:rPr>
          <w:b/>
          <w:bCs/>
          <w:color w:val="0F1923"/>
        </w:rPr>
        <w:t xml:space="preserve">12. Ownership and Change Log</w:t>
      </w:r>
    </w:p>
    <w:tbl>
      <w:tblPr>
        <w:tblW w:type="dxa" w:w="9360"/>
        <w:tblBorders>
          <w:top w:val="single" w:color="0F1923" w:sz="6"/>
          <w:left w:val="none"/>
          <w:bottom w:val="single" w:color="0F1923" w:sz="6"/>
          <w:right w:val="none"/>
          <w:insideH w:val="single" w:color="D0D7DE" w:sz="2"/>
          <w:insideV w:val="none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0F192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7860"/>
            <w:shd w:fill="0F192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v1</w:t>
            </w:r>
          </w:p>
        </w:tc>
        <w:tc>
          <w:tcPr>
            <w:tcW w:type="dxa" w:w="7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RetireIQ widget concept → standalone RetireSense AI advisor tool + participant portal; core 9 screens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v2</w:t>
            </w:r>
          </w:p>
        </w:tc>
        <w:tc>
          <w:tcPr>
            <w:tcW w:type="dxa" w:w="7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RMD Center (4 lifecycle panes), inquiry queue, 1099-R replica, guided transaction wizard, module upgrades across all tabs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B5394"/>
                <w:sz w:val="19"/>
                <w:szCs w:val="19"/>
              </w:rPr>
              <w:t xml:space="preserve">v3 (current)</w:t>
            </w:r>
          </w:p>
        </w:tc>
        <w:tc>
          <w:tcPr>
            <w:tcW w:type="dxa" w:w="7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AI copilot + explainable risk, agentic prevention engine (watchlist, approvals, live feed), client-aware advisor workspace, SECURE 2.0 hub, cross-tab RMD integration, full validation suite</w:t>
            </w:r>
          </w:p>
        </w:tc>
      </w:tr>
    </w:tbl>
    <w:p>
      <w:pPr>
        <w:spacing w:after="110" w:line="272"/>
      </w:pPr>
      <w:r>
        <w:rPr>
          <w:sz w:val="21"/>
          <w:szCs w:val="21"/>
        </w:rPr>
        <w:t xml:space="preserve">Handoff contacts, repository location, and demo-environment URL: </w:t>
      </w:r>
      <w:r>
        <w:rPr>
          <w:i/>
          <w:iCs/>
          <w:color w:val="6B7280"/>
          <w:sz w:val="21"/>
          <w:szCs w:val="21"/>
        </w:rPr>
        <w:t xml:space="preserve">to be completed by the receiving team.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2026-10-19T13:57:37.772Z</dcterms:created>
  <dcterms:modified xsi:type="dcterms:W3CDTF">2026-10-19T13:57:37.780Z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