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8C122C" w14:textId="77777777" w:rsidR="003932B5" w:rsidRPr="004409A0" w:rsidRDefault="003932B5" w:rsidP="003932B5">
      <w:pPr>
        <w:spacing w:line="360" w:lineRule="auto"/>
        <w:rPr>
          <w:rFonts w:ascii="Times New Roman" w:hAnsi="Times New Roman" w:cs="Times New Roman"/>
        </w:rPr>
      </w:pPr>
      <w:r w:rsidRPr="004409A0">
        <w:rPr>
          <w:rFonts w:ascii="Times New Roman" w:hAnsi="Times New Roman" w:cs="Times New Roman"/>
        </w:rPr>
        <w:t xml:space="preserve">Lily Grumbach </w:t>
      </w:r>
    </w:p>
    <w:p w14:paraId="22A1D40A" w14:textId="77777777" w:rsidR="003932B5" w:rsidRPr="004409A0" w:rsidRDefault="003932B5" w:rsidP="003932B5">
      <w:pPr>
        <w:spacing w:line="360" w:lineRule="auto"/>
        <w:rPr>
          <w:rFonts w:ascii="Times New Roman" w:hAnsi="Times New Roman" w:cs="Times New Roman"/>
        </w:rPr>
      </w:pPr>
      <w:r w:rsidRPr="004409A0">
        <w:rPr>
          <w:rFonts w:ascii="Times New Roman" w:hAnsi="Times New Roman" w:cs="Times New Roman"/>
        </w:rPr>
        <w:t>MHN 1</w:t>
      </w:r>
    </w:p>
    <w:p w14:paraId="355043FF" w14:textId="77777777" w:rsidR="003932B5" w:rsidRPr="004409A0" w:rsidRDefault="003932B5" w:rsidP="003932B5">
      <w:pPr>
        <w:spacing w:line="360" w:lineRule="auto"/>
        <w:rPr>
          <w:rFonts w:ascii="Times New Roman" w:hAnsi="Times New Roman" w:cs="Times New Roman"/>
        </w:rPr>
      </w:pPr>
    </w:p>
    <w:p w14:paraId="634D6899" w14:textId="77777777" w:rsidR="003932B5" w:rsidRPr="00C15CFF" w:rsidRDefault="003932B5" w:rsidP="003932B5">
      <w:pPr>
        <w:spacing w:line="360" w:lineRule="auto"/>
        <w:jc w:val="center"/>
        <w:rPr>
          <w:rFonts w:ascii="Times New Roman" w:hAnsi="Times New Roman" w:cs="Times New Roman"/>
          <w:b/>
          <w:bCs/>
          <w:u w:val="single"/>
        </w:rPr>
      </w:pPr>
      <w:r w:rsidRPr="00C15CFF">
        <w:rPr>
          <w:rFonts w:ascii="Times New Roman" w:hAnsi="Times New Roman" w:cs="Times New Roman"/>
          <w:b/>
          <w:bCs/>
          <w:u w:val="single"/>
        </w:rPr>
        <w:t>Traitement automatique de la langue</w:t>
      </w:r>
    </w:p>
    <w:p w14:paraId="2BB2A30E" w14:textId="77777777" w:rsidR="003932B5" w:rsidRDefault="003932B5" w:rsidP="003932B5">
      <w:pPr>
        <w:spacing w:line="360" w:lineRule="auto"/>
        <w:jc w:val="center"/>
        <w:rPr>
          <w:rFonts w:ascii="Times New Roman" w:hAnsi="Times New Roman" w:cs="Times New Roman"/>
        </w:rPr>
      </w:pPr>
    </w:p>
    <w:p w14:paraId="7F261205" w14:textId="77777777" w:rsidR="003932B5" w:rsidRPr="004409A0" w:rsidRDefault="003932B5" w:rsidP="003932B5">
      <w:pPr>
        <w:spacing w:line="360" w:lineRule="auto"/>
        <w:jc w:val="center"/>
        <w:rPr>
          <w:rFonts w:ascii="Times New Roman" w:hAnsi="Times New Roman" w:cs="Times New Roman"/>
        </w:rPr>
      </w:pPr>
    </w:p>
    <w:p w14:paraId="728E4406" w14:textId="77777777" w:rsidR="003932B5" w:rsidRPr="004409A0" w:rsidRDefault="003932B5" w:rsidP="003932B5">
      <w:pPr>
        <w:spacing w:line="360" w:lineRule="auto"/>
        <w:ind w:firstLine="708"/>
        <w:jc w:val="both"/>
        <w:rPr>
          <w:rFonts w:ascii="Times New Roman" w:hAnsi="Times New Roman" w:cs="Times New Roman"/>
        </w:rPr>
      </w:pPr>
      <w:r w:rsidRPr="004409A0">
        <w:rPr>
          <w:rFonts w:ascii="Times New Roman" w:hAnsi="Times New Roman" w:cs="Times New Roman"/>
        </w:rPr>
        <w:t>Le développement de nouveaux paradigmes scientifiques (théorie des germes, rôle des parasites), l’expansion et la stabilisation des domaines coloniaux et l’institutionnalisation des « sciences coloniales »</w:t>
      </w:r>
      <w:r w:rsidRPr="004409A0">
        <w:rPr>
          <w:rStyle w:val="Appelnotedebasdep"/>
          <w:rFonts w:ascii="Times New Roman" w:hAnsi="Times New Roman" w:cs="Times New Roman"/>
        </w:rPr>
        <w:footnoteReference w:id="1"/>
      </w:r>
      <w:r w:rsidRPr="004409A0">
        <w:rPr>
          <w:rFonts w:ascii="Times New Roman" w:hAnsi="Times New Roman" w:cs="Times New Roman"/>
        </w:rPr>
        <w:t xml:space="preserve"> marquent les années s’écoulant de 1880 à 1914. A travers le monde se déploient alors laboratoires, sociétés savantes et écoles de médecine dédiées à l’étude des affections appelées « exotiques », « tropicales », « coloniales » en fonction de sa position dans le champ politique. Dans ce cadre, la communication scientifique entre métropole et colonies mais aussi entre les colonies et avec les autres empires coloniaux prend une place de premier ordre. </w:t>
      </w:r>
    </w:p>
    <w:p w14:paraId="56D47DE8" w14:textId="77777777" w:rsidR="003932B5" w:rsidRDefault="003932B5" w:rsidP="003932B5">
      <w:pPr>
        <w:spacing w:line="360" w:lineRule="auto"/>
        <w:ind w:firstLine="708"/>
        <w:jc w:val="both"/>
        <w:rPr>
          <w:rFonts w:ascii="Times New Roman" w:hAnsi="Times New Roman" w:cs="Times New Roman"/>
        </w:rPr>
      </w:pPr>
      <w:r w:rsidRPr="004409A0">
        <w:rPr>
          <w:rFonts w:ascii="Times New Roman" w:hAnsi="Times New Roman" w:cs="Times New Roman"/>
        </w:rPr>
        <w:t xml:space="preserve">Pour notre mémoire, nous étudions trois revues liées par leurs acteurs et leurs thématiques : les Annales d’hygiène et de médecine coloniale (AHMC), les Archives de médecine navale (AMN) et le Bulletin de la Société de pathologie exotique (BSPE). </w:t>
      </w:r>
      <w:r>
        <w:rPr>
          <w:rFonts w:ascii="Times New Roman" w:hAnsi="Times New Roman" w:cs="Times New Roman"/>
        </w:rPr>
        <w:t>Si l’étude des acteurs fait l’objet d’un autre rendu, nous avons souhaité, grâce aux méthodes de traitement automatique de la langue vues en cours, étudier l’évolution du vocabulaire employé afin d’en estimer les thématiques. En effet, travaillant cette année uniquement avec les titres des articles nous n’avons pas souhaité mettre en place un topic modeling qui n’aurait pas eu assez de matière pour constituer un modèle pertinent.</w:t>
      </w:r>
    </w:p>
    <w:p w14:paraId="30EF247E" w14:textId="1A08B3F4" w:rsidR="003932B5" w:rsidRDefault="003932B5" w:rsidP="003932B5">
      <w:pPr>
        <w:spacing w:line="360" w:lineRule="auto"/>
        <w:ind w:firstLine="708"/>
        <w:jc w:val="both"/>
        <w:rPr>
          <w:rFonts w:ascii="Times New Roman" w:hAnsi="Times New Roman" w:cs="Times New Roman"/>
        </w:rPr>
      </w:pPr>
      <w:r>
        <w:rPr>
          <w:rFonts w:ascii="Times New Roman" w:hAnsi="Times New Roman" w:cs="Times New Roman"/>
        </w:rPr>
        <w:t>L’idée principale était alors de saisir l’évolution des thématiques abordées au cours du premier vingtième siècle (1898-1940) et, si le temps imparti nous le permettait, étudier depuis 18989, c’est-à-dire depuis la création du Corps de santé des troupes coloniales. En effet, l’histoire des revues institutionnelles que nous étudions dans ce devoir est le résultat d’une scission administrative et politique entre le corps de santé de la marine et celui des colonies au fil des années 1890. La question que nous nous posons est alors de saisir, à partir des articles originaux de cette revue</w:t>
      </w:r>
      <w:r w:rsidR="00387BBB">
        <w:rPr>
          <w:rFonts w:ascii="Times New Roman" w:hAnsi="Times New Roman" w:cs="Times New Roman"/>
        </w:rPr>
        <w:t xml:space="preserve"> (nous avons au préalable retiré </w:t>
      </w:r>
      <w:r w:rsidR="00466ADD">
        <w:rPr>
          <w:rFonts w:ascii="Times New Roman" w:hAnsi="Times New Roman" w:cs="Times New Roman"/>
        </w:rPr>
        <w:t xml:space="preserve">l’ensemble des </w:t>
      </w:r>
      <w:r w:rsidR="00F93E22">
        <w:rPr>
          <w:rFonts w:ascii="Times New Roman" w:hAnsi="Times New Roman" w:cs="Times New Roman"/>
        </w:rPr>
        <w:t xml:space="preserve">sections de la revue </w:t>
      </w:r>
      <w:r w:rsidR="00F93E22">
        <w:rPr>
          <w:rFonts w:ascii="Times New Roman" w:hAnsi="Times New Roman" w:cs="Times New Roman"/>
        </w:rPr>
        <w:lastRenderedPageBreak/>
        <w:t xml:space="preserve">relevant </w:t>
      </w:r>
      <w:r w:rsidR="00F20FF2">
        <w:rPr>
          <w:rFonts w:ascii="Times New Roman" w:hAnsi="Times New Roman" w:cs="Times New Roman"/>
        </w:rPr>
        <w:t xml:space="preserve">de la bibliographie, </w:t>
      </w:r>
      <w:r w:rsidR="00F11423">
        <w:rPr>
          <w:rFonts w:ascii="Times New Roman" w:hAnsi="Times New Roman" w:cs="Times New Roman"/>
        </w:rPr>
        <w:t xml:space="preserve">du bulletin officiel, </w:t>
      </w:r>
      <w:r w:rsidR="00EA6FD9">
        <w:rPr>
          <w:rFonts w:ascii="Times New Roman" w:hAnsi="Times New Roman" w:cs="Times New Roman"/>
        </w:rPr>
        <w:t xml:space="preserve">des </w:t>
      </w:r>
      <w:r w:rsidR="00656E2C">
        <w:rPr>
          <w:rFonts w:ascii="Times New Roman" w:hAnsi="Times New Roman" w:cs="Times New Roman"/>
        </w:rPr>
        <w:t>listes de promotion)</w:t>
      </w:r>
      <w:r w:rsidR="00524685">
        <w:rPr>
          <w:rFonts w:ascii="Times New Roman" w:hAnsi="Times New Roman" w:cs="Times New Roman"/>
        </w:rPr>
        <w:t xml:space="preserve"> </w:t>
      </w:r>
      <w:r w:rsidR="00950B76">
        <w:rPr>
          <w:rFonts w:ascii="Times New Roman" w:hAnsi="Times New Roman" w:cs="Times New Roman"/>
        </w:rPr>
        <w:t xml:space="preserve">comment se distinguent </w:t>
      </w:r>
      <w:r w:rsidR="0011520C">
        <w:rPr>
          <w:rFonts w:ascii="Times New Roman" w:hAnsi="Times New Roman" w:cs="Times New Roman"/>
        </w:rPr>
        <w:t xml:space="preserve">les </w:t>
      </w:r>
      <w:r w:rsidR="00225CA9">
        <w:rPr>
          <w:rFonts w:ascii="Times New Roman" w:hAnsi="Times New Roman" w:cs="Times New Roman"/>
        </w:rPr>
        <w:t xml:space="preserve">thématiques </w:t>
      </w:r>
      <w:r w:rsidR="00DF2BF6">
        <w:rPr>
          <w:rFonts w:ascii="Times New Roman" w:hAnsi="Times New Roman" w:cs="Times New Roman"/>
        </w:rPr>
        <w:t xml:space="preserve">et </w:t>
      </w:r>
      <w:r w:rsidR="001B3E99">
        <w:rPr>
          <w:rFonts w:ascii="Times New Roman" w:hAnsi="Times New Roman" w:cs="Times New Roman"/>
        </w:rPr>
        <w:t xml:space="preserve">lieux </w:t>
      </w:r>
      <w:r w:rsidR="00946D97">
        <w:rPr>
          <w:rFonts w:ascii="Times New Roman" w:hAnsi="Times New Roman" w:cs="Times New Roman"/>
        </w:rPr>
        <w:t xml:space="preserve">traités par les deux revues. </w:t>
      </w:r>
    </w:p>
    <w:p w14:paraId="5AEC4B1D" w14:textId="360A8F92" w:rsidR="00DF31C9" w:rsidRDefault="00DF31C9" w:rsidP="003932B5">
      <w:pPr>
        <w:spacing w:line="360" w:lineRule="auto"/>
        <w:ind w:firstLine="708"/>
        <w:jc w:val="both"/>
        <w:rPr>
          <w:rFonts w:ascii="Times New Roman" w:hAnsi="Times New Roman" w:cs="Times New Roman"/>
        </w:rPr>
      </w:pPr>
    </w:p>
    <w:p w14:paraId="4E32AD6E" w14:textId="535F2E48" w:rsidR="00DF31C9" w:rsidRPr="004409A0" w:rsidRDefault="00C021FB" w:rsidP="003932B5">
      <w:pPr>
        <w:spacing w:line="360" w:lineRule="auto"/>
        <w:ind w:firstLine="708"/>
        <w:jc w:val="both"/>
        <w:rPr>
          <w:rFonts w:ascii="Times New Roman" w:hAnsi="Times New Roman" w:cs="Times New Roman"/>
        </w:rPr>
      </w:pPr>
      <w:r>
        <w:rPr>
          <w:rFonts w:ascii="Times New Roman" w:hAnsi="Times New Roman" w:cs="Times New Roman"/>
        </w:rPr>
        <w:t xml:space="preserve">Par souci </w:t>
      </w:r>
      <w:r w:rsidR="00FA16DE">
        <w:rPr>
          <w:rFonts w:ascii="Times New Roman" w:hAnsi="Times New Roman" w:cs="Times New Roman"/>
        </w:rPr>
        <w:t xml:space="preserve">pratique et pour pouvoir maîtriser nos revues, nous avons mené notre étude sur les </w:t>
      </w:r>
      <w:r w:rsidR="003179FF">
        <w:rPr>
          <w:rFonts w:ascii="Times New Roman" w:hAnsi="Times New Roman" w:cs="Times New Roman"/>
        </w:rPr>
        <w:t>10 premières années des AHMC et des AMN, c’est à d</w:t>
      </w:r>
      <w:r w:rsidR="00A13201">
        <w:rPr>
          <w:rFonts w:ascii="Times New Roman" w:hAnsi="Times New Roman" w:cs="Times New Roman"/>
        </w:rPr>
        <w:t>ir</w:t>
      </w:r>
      <w:r w:rsidR="003179FF">
        <w:rPr>
          <w:rFonts w:ascii="Times New Roman" w:hAnsi="Times New Roman" w:cs="Times New Roman"/>
        </w:rPr>
        <w:t xml:space="preserve">e de 1898 à 1908. Cette </w:t>
      </w:r>
      <w:r w:rsidR="00C0593F">
        <w:rPr>
          <w:rFonts w:ascii="Times New Roman" w:hAnsi="Times New Roman" w:cs="Times New Roman"/>
        </w:rPr>
        <w:t xml:space="preserve">période est en effet clé </w:t>
      </w:r>
      <w:r w:rsidR="00DA55B3">
        <w:rPr>
          <w:rFonts w:ascii="Times New Roman" w:hAnsi="Times New Roman" w:cs="Times New Roman"/>
        </w:rPr>
        <w:t xml:space="preserve">dans </w:t>
      </w:r>
      <w:r w:rsidR="001833D8">
        <w:rPr>
          <w:rFonts w:ascii="Times New Roman" w:hAnsi="Times New Roman" w:cs="Times New Roman"/>
        </w:rPr>
        <w:t>notre étude</w:t>
      </w:r>
      <w:r w:rsidR="00886B8C">
        <w:rPr>
          <w:rFonts w:ascii="Times New Roman" w:hAnsi="Times New Roman" w:cs="Times New Roman"/>
        </w:rPr>
        <w:t xml:space="preserve">. </w:t>
      </w:r>
      <w:r w:rsidR="00E46A48">
        <w:rPr>
          <w:rFonts w:ascii="Times New Roman" w:hAnsi="Times New Roman" w:cs="Times New Roman"/>
        </w:rPr>
        <w:t xml:space="preserve">Tout d’abord, </w:t>
      </w:r>
      <w:r w:rsidR="00ED5F54">
        <w:rPr>
          <w:rFonts w:ascii="Times New Roman" w:hAnsi="Times New Roman" w:cs="Times New Roman"/>
        </w:rPr>
        <w:t xml:space="preserve">elle marque les premières années de </w:t>
      </w:r>
      <w:r w:rsidR="001041C9">
        <w:rPr>
          <w:rFonts w:ascii="Times New Roman" w:hAnsi="Times New Roman" w:cs="Times New Roman"/>
        </w:rPr>
        <w:t xml:space="preserve">« spécialisation » </w:t>
      </w:r>
      <w:r w:rsidR="0068527F">
        <w:rPr>
          <w:rFonts w:ascii="Times New Roman" w:hAnsi="Times New Roman" w:cs="Times New Roman"/>
        </w:rPr>
        <w:t xml:space="preserve">respective à l’issue </w:t>
      </w:r>
      <w:r w:rsidR="00ED5CB8">
        <w:rPr>
          <w:rFonts w:ascii="Times New Roman" w:hAnsi="Times New Roman" w:cs="Times New Roman"/>
        </w:rPr>
        <w:t xml:space="preserve">de </w:t>
      </w:r>
      <w:r w:rsidR="00511925">
        <w:rPr>
          <w:rFonts w:ascii="Times New Roman" w:hAnsi="Times New Roman" w:cs="Times New Roman"/>
        </w:rPr>
        <w:t xml:space="preserve">la </w:t>
      </w:r>
      <w:r w:rsidR="007908CD">
        <w:rPr>
          <w:rFonts w:ascii="Times New Roman" w:hAnsi="Times New Roman" w:cs="Times New Roman"/>
        </w:rPr>
        <w:t>scission</w:t>
      </w:r>
      <w:r w:rsidR="00511925">
        <w:rPr>
          <w:rFonts w:ascii="Times New Roman" w:hAnsi="Times New Roman" w:cs="Times New Roman"/>
        </w:rPr>
        <w:t xml:space="preserve"> de 1898</w:t>
      </w:r>
      <w:r w:rsidR="00630AFC">
        <w:rPr>
          <w:rFonts w:ascii="Times New Roman" w:hAnsi="Times New Roman" w:cs="Times New Roman"/>
        </w:rPr>
        <w:t xml:space="preserve">. Ensuite, </w:t>
      </w:r>
      <w:r w:rsidR="003912A2">
        <w:rPr>
          <w:rFonts w:ascii="Times New Roman" w:hAnsi="Times New Roman" w:cs="Times New Roman"/>
        </w:rPr>
        <w:t xml:space="preserve">elle </w:t>
      </w:r>
      <w:r w:rsidR="002C19BA">
        <w:rPr>
          <w:rFonts w:ascii="Times New Roman" w:hAnsi="Times New Roman" w:cs="Times New Roman"/>
        </w:rPr>
        <w:t xml:space="preserve">précède </w:t>
      </w:r>
      <w:r w:rsidR="0097785E">
        <w:rPr>
          <w:rFonts w:ascii="Times New Roman" w:hAnsi="Times New Roman" w:cs="Times New Roman"/>
        </w:rPr>
        <w:t xml:space="preserve">la </w:t>
      </w:r>
      <w:r w:rsidR="007A5E85">
        <w:rPr>
          <w:rFonts w:ascii="Times New Roman" w:hAnsi="Times New Roman" w:cs="Times New Roman"/>
        </w:rPr>
        <w:t>création du Bulletin de</w:t>
      </w:r>
      <w:r w:rsidR="006A3CB3">
        <w:rPr>
          <w:rFonts w:ascii="Times New Roman" w:hAnsi="Times New Roman" w:cs="Times New Roman"/>
        </w:rPr>
        <w:t xml:space="preserve"> </w:t>
      </w:r>
      <w:r w:rsidR="007A5E85">
        <w:rPr>
          <w:rFonts w:ascii="Times New Roman" w:hAnsi="Times New Roman" w:cs="Times New Roman"/>
        </w:rPr>
        <w:t xml:space="preserve">la Société de pathologie exotique. </w:t>
      </w:r>
      <w:r w:rsidR="001B6304">
        <w:rPr>
          <w:rFonts w:ascii="Times New Roman" w:hAnsi="Times New Roman" w:cs="Times New Roman"/>
        </w:rPr>
        <w:t xml:space="preserve">Cette dernière </w:t>
      </w:r>
      <w:r w:rsidR="00E61E4D">
        <w:rPr>
          <w:rFonts w:ascii="Times New Roman" w:hAnsi="Times New Roman" w:cs="Times New Roman"/>
        </w:rPr>
        <w:t xml:space="preserve"> constitue </w:t>
      </w:r>
      <w:r w:rsidR="001206F8">
        <w:rPr>
          <w:rFonts w:ascii="Times New Roman" w:hAnsi="Times New Roman" w:cs="Times New Roman"/>
        </w:rPr>
        <w:t>un</w:t>
      </w:r>
      <w:r w:rsidR="00782914">
        <w:rPr>
          <w:rFonts w:ascii="Times New Roman" w:hAnsi="Times New Roman" w:cs="Times New Roman"/>
        </w:rPr>
        <w:t xml:space="preserve"> </w:t>
      </w:r>
      <w:r w:rsidR="0044747D">
        <w:rPr>
          <w:rFonts w:ascii="Times New Roman" w:hAnsi="Times New Roman" w:cs="Times New Roman"/>
        </w:rPr>
        <w:t xml:space="preserve">majeur </w:t>
      </w:r>
      <w:r w:rsidR="00D03367">
        <w:rPr>
          <w:rFonts w:ascii="Times New Roman" w:hAnsi="Times New Roman" w:cs="Times New Roman"/>
        </w:rPr>
        <w:t xml:space="preserve">car </w:t>
      </w:r>
      <w:r w:rsidR="00125FA7">
        <w:rPr>
          <w:rFonts w:ascii="Times New Roman" w:hAnsi="Times New Roman" w:cs="Times New Roman"/>
        </w:rPr>
        <w:t xml:space="preserve">cette société, </w:t>
      </w:r>
      <w:r w:rsidR="00A47536">
        <w:rPr>
          <w:rFonts w:ascii="Times New Roman" w:hAnsi="Times New Roman" w:cs="Times New Roman"/>
        </w:rPr>
        <w:t xml:space="preserve">créée </w:t>
      </w:r>
      <w:r w:rsidR="008B186F">
        <w:rPr>
          <w:rFonts w:ascii="Times New Roman" w:hAnsi="Times New Roman" w:cs="Times New Roman"/>
        </w:rPr>
        <w:t xml:space="preserve">sous </w:t>
      </w:r>
      <w:r w:rsidR="008A3CE4">
        <w:rPr>
          <w:rFonts w:ascii="Times New Roman" w:hAnsi="Times New Roman" w:cs="Times New Roman"/>
        </w:rPr>
        <w:t>l’égide d’Alphonse Laveran</w:t>
      </w:r>
      <w:r w:rsidR="00287569">
        <w:rPr>
          <w:rFonts w:ascii="Times New Roman" w:hAnsi="Times New Roman" w:cs="Times New Roman"/>
        </w:rPr>
        <w:t xml:space="preserve"> et d’Emile Roux </w:t>
      </w:r>
      <w:r w:rsidR="00431FFB">
        <w:rPr>
          <w:rFonts w:ascii="Times New Roman" w:hAnsi="Times New Roman" w:cs="Times New Roman"/>
        </w:rPr>
        <w:t>à l’Institut Paste</w:t>
      </w:r>
      <w:r w:rsidR="009A54F6">
        <w:rPr>
          <w:rFonts w:ascii="Times New Roman" w:hAnsi="Times New Roman" w:cs="Times New Roman"/>
        </w:rPr>
        <w:t xml:space="preserve">ur </w:t>
      </w:r>
      <w:r w:rsidR="004907F8">
        <w:rPr>
          <w:rFonts w:ascii="Times New Roman" w:hAnsi="Times New Roman" w:cs="Times New Roman"/>
        </w:rPr>
        <w:t xml:space="preserve">non </w:t>
      </w:r>
      <w:r w:rsidR="006D3542">
        <w:rPr>
          <w:rFonts w:ascii="Times New Roman" w:hAnsi="Times New Roman" w:cs="Times New Roman"/>
        </w:rPr>
        <w:t>seulement</w:t>
      </w:r>
      <w:r w:rsidR="004907F8">
        <w:rPr>
          <w:rFonts w:ascii="Times New Roman" w:hAnsi="Times New Roman" w:cs="Times New Roman"/>
        </w:rPr>
        <w:t xml:space="preserve"> </w:t>
      </w:r>
      <w:r w:rsidR="00144EE1">
        <w:rPr>
          <w:rFonts w:ascii="Times New Roman" w:hAnsi="Times New Roman" w:cs="Times New Roman"/>
        </w:rPr>
        <w:t xml:space="preserve">capte </w:t>
      </w:r>
      <w:r w:rsidR="00E1069B">
        <w:rPr>
          <w:rFonts w:ascii="Times New Roman" w:hAnsi="Times New Roman" w:cs="Times New Roman"/>
        </w:rPr>
        <w:t>l</w:t>
      </w:r>
      <w:r w:rsidR="00797D0C">
        <w:rPr>
          <w:rFonts w:ascii="Times New Roman" w:hAnsi="Times New Roman" w:cs="Times New Roman"/>
        </w:rPr>
        <w:t>e</w:t>
      </w:r>
      <w:r w:rsidR="00E1069B">
        <w:rPr>
          <w:rFonts w:ascii="Times New Roman" w:hAnsi="Times New Roman" w:cs="Times New Roman"/>
        </w:rPr>
        <w:t xml:space="preserve">s </w:t>
      </w:r>
      <w:r w:rsidR="00FA015E">
        <w:rPr>
          <w:rFonts w:ascii="Times New Roman" w:hAnsi="Times New Roman" w:cs="Times New Roman"/>
        </w:rPr>
        <w:t xml:space="preserve">principaux médecins </w:t>
      </w:r>
      <w:r w:rsidR="00F53CD0">
        <w:rPr>
          <w:rFonts w:ascii="Times New Roman" w:hAnsi="Times New Roman" w:cs="Times New Roman"/>
        </w:rPr>
        <w:t xml:space="preserve">du corps des troupes de santé coloniales mais en plus </w:t>
      </w:r>
      <w:r w:rsidR="002B6C17">
        <w:rPr>
          <w:rFonts w:ascii="Times New Roman" w:hAnsi="Times New Roman" w:cs="Times New Roman"/>
        </w:rPr>
        <w:t xml:space="preserve">se positionne très rapidement </w:t>
      </w:r>
      <w:r w:rsidR="00017FE0">
        <w:rPr>
          <w:rFonts w:ascii="Times New Roman" w:hAnsi="Times New Roman" w:cs="Times New Roman"/>
        </w:rPr>
        <w:t xml:space="preserve">comme </w:t>
      </w:r>
      <w:r w:rsidR="009F4801">
        <w:rPr>
          <w:rFonts w:ascii="Times New Roman" w:hAnsi="Times New Roman" w:cs="Times New Roman"/>
        </w:rPr>
        <w:t xml:space="preserve">fer de </w:t>
      </w:r>
      <w:r w:rsidR="00F04622">
        <w:rPr>
          <w:rFonts w:ascii="Times New Roman" w:hAnsi="Times New Roman" w:cs="Times New Roman"/>
        </w:rPr>
        <w:t>lance des recherches</w:t>
      </w:r>
      <w:r w:rsidR="001B02E8">
        <w:rPr>
          <w:rFonts w:ascii="Times New Roman" w:hAnsi="Times New Roman" w:cs="Times New Roman"/>
        </w:rPr>
        <w:t xml:space="preserve"> adressées </w:t>
      </w:r>
      <w:r w:rsidR="001D28DC">
        <w:rPr>
          <w:rFonts w:ascii="Times New Roman" w:hAnsi="Times New Roman" w:cs="Times New Roman"/>
        </w:rPr>
        <w:t xml:space="preserve">aux </w:t>
      </w:r>
      <w:r w:rsidR="0099192A">
        <w:rPr>
          <w:rFonts w:ascii="Times New Roman" w:hAnsi="Times New Roman" w:cs="Times New Roman"/>
        </w:rPr>
        <w:t xml:space="preserve">enjeux sanitaires </w:t>
      </w:r>
      <w:r w:rsidR="002A2CCA">
        <w:rPr>
          <w:rFonts w:ascii="Times New Roman" w:hAnsi="Times New Roman" w:cs="Times New Roman"/>
        </w:rPr>
        <w:t>dans les colonies et</w:t>
      </w:r>
      <w:r w:rsidR="00F03A1E">
        <w:rPr>
          <w:rFonts w:ascii="Times New Roman" w:hAnsi="Times New Roman" w:cs="Times New Roman"/>
        </w:rPr>
        <w:t xml:space="preserve"> sur les mers. </w:t>
      </w:r>
      <w:r w:rsidR="00A546A9">
        <w:rPr>
          <w:rFonts w:ascii="Times New Roman" w:hAnsi="Times New Roman" w:cs="Times New Roman"/>
        </w:rPr>
        <w:t xml:space="preserve"> </w:t>
      </w:r>
    </w:p>
    <w:p w14:paraId="6157CF3C" w14:textId="77777777" w:rsidR="003932B5" w:rsidRPr="004409A0" w:rsidRDefault="003932B5" w:rsidP="003932B5">
      <w:pPr>
        <w:spacing w:line="360" w:lineRule="auto"/>
        <w:ind w:firstLine="708"/>
        <w:jc w:val="both"/>
        <w:rPr>
          <w:rFonts w:ascii="Times New Roman" w:hAnsi="Times New Roman" w:cs="Times New Roman"/>
        </w:rPr>
      </w:pPr>
    </w:p>
    <w:p w14:paraId="00B62C5C" w14:textId="77777777" w:rsidR="003932B5" w:rsidRPr="004409A0" w:rsidRDefault="003932B5" w:rsidP="003932B5">
      <w:pPr>
        <w:spacing w:line="360" w:lineRule="auto"/>
        <w:rPr>
          <w:rFonts w:ascii="Times New Roman" w:hAnsi="Times New Roman" w:cs="Times New Roman"/>
        </w:rPr>
      </w:pPr>
    </w:p>
    <w:p w14:paraId="67D066B0" w14:textId="77777777" w:rsidR="003932B5" w:rsidRDefault="003932B5" w:rsidP="003932B5">
      <w:pPr>
        <w:spacing w:line="360" w:lineRule="auto"/>
        <w:rPr>
          <w:rFonts w:ascii="Times New Roman" w:hAnsi="Times New Roman" w:cs="Times New Roman"/>
        </w:rPr>
      </w:pPr>
      <w:r>
        <w:rPr>
          <w:rFonts w:ascii="Times New Roman" w:hAnsi="Times New Roman" w:cs="Times New Roman"/>
          <w:noProof/>
        </w:rPr>
        <w:drawing>
          <wp:inline distT="0" distB="0" distL="0" distR="0" wp14:anchorId="0089E85F" wp14:editId="45A43883">
            <wp:extent cx="5756910" cy="1976718"/>
            <wp:effectExtent l="0" t="0" r="0" b="508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rotWithShape="1">
                    <a:blip r:embed="rId7">
                      <a:extLst>
                        <a:ext uri="{28A0092B-C50C-407E-A947-70E740481C1C}">
                          <a14:useLocalDpi xmlns:a14="http://schemas.microsoft.com/office/drawing/2010/main" val="0"/>
                        </a:ext>
                      </a:extLst>
                    </a:blip>
                    <a:srcRect b="51512"/>
                    <a:stretch/>
                  </pic:blipFill>
                  <pic:spPr bwMode="auto">
                    <a:xfrm>
                      <a:off x="0" y="0"/>
                      <a:ext cx="5756910" cy="1976718"/>
                    </a:xfrm>
                    <a:prstGeom prst="rect">
                      <a:avLst/>
                    </a:prstGeom>
                    <a:ln>
                      <a:noFill/>
                    </a:ln>
                    <a:extLst>
                      <a:ext uri="{53640926-AAD7-44D8-BBD7-CCE9431645EC}">
                        <a14:shadowObscured xmlns:a14="http://schemas.microsoft.com/office/drawing/2010/main"/>
                      </a:ext>
                    </a:extLst>
                  </pic:spPr>
                </pic:pic>
              </a:graphicData>
            </a:graphic>
          </wp:inline>
        </w:drawing>
      </w:r>
    </w:p>
    <w:p w14:paraId="410060A7" w14:textId="77777777" w:rsidR="003932B5" w:rsidRPr="004409A0" w:rsidRDefault="003932B5" w:rsidP="003932B5">
      <w:pPr>
        <w:spacing w:line="360" w:lineRule="auto"/>
        <w:jc w:val="center"/>
        <w:rPr>
          <w:rFonts w:ascii="Times New Roman" w:hAnsi="Times New Roman" w:cs="Times New Roman"/>
        </w:rPr>
      </w:pPr>
      <w:r>
        <w:rPr>
          <w:rFonts w:ascii="Times New Roman" w:hAnsi="Times New Roman" w:cs="Times New Roman"/>
        </w:rPr>
        <w:t>Généalogie des revues étudiées.</w:t>
      </w:r>
    </w:p>
    <w:p w14:paraId="4688CF7E" w14:textId="4735595A" w:rsidR="003932B5" w:rsidRDefault="003932B5" w:rsidP="003932B5">
      <w:pPr>
        <w:spacing w:line="360" w:lineRule="auto"/>
        <w:rPr>
          <w:rFonts w:ascii="Times New Roman" w:hAnsi="Times New Roman" w:cs="Times New Roman"/>
        </w:rPr>
      </w:pPr>
    </w:p>
    <w:p w14:paraId="64B1B127" w14:textId="0FE60EBF" w:rsidR="00D23944" w:rsidRDefault="00D23944" w:rsidP="003932B5">
      <w:pPr>
        <w:spacing w:line="360" w:lineRule="auto"/>
        <w:rPr>
          <w:rFonts w:ascii="Times New Roman" w:hAnsi="Times New Roman" w:cs="Times New Roman"/>
        </w:rPr>
      </w:pPr>
    </w:p>
    <w:p w14:paraId="07D0663E" w14:textId="677DB815" w:rsidR="00D23944" w:rsidRDefault="00D23944" w:rsidP="003932B5">
      <w:pPr>
        <w:spacing w:line="360" w:lineRule="auto"/>
        <w:rPr>
          <w:rFonts w:ascii="Times New Roman" w:hAnsi="Times New Roman" w:cs="Times New Roman"/>
        </w:rPr>
      </w:pPr>
    </w:p>
    <w:p w14:paraId="098CF309" w14:textId="77777777" w:rsidR="003932B5" w:rsidRDefault="003932B5" w:rsidP="003932B5">
      <w:pPr>
        <w:spacing w:line="360" w:lineRule="auto"/>
        <w:rPr>
          <w:rFonts w:ascii="Times New Roman" w:hAnsi="Times New Roman" w:cs="Times New Roman"/>
        </w:rPr>
      </w:pPr>
    </w:p>
    <w:p w14:paraId="2AA564AA" w14:textId="77777777" w:rsidR="00D23944" w:rsidRDefault="00D23944">
      <w:pPr>
        <w:rPr>
          <w:rFonts w:ascii="Times New Roman" w:hAnsi="Times New Roman" w:cs="Times New Roman"/>
        </w:rPr>
      </w:pPr>
      <w:r>
        <w:rPr>
          <w:rFonts w:ascii="Times New Roman" w:hAnsi="Times New Roman" w:cs="Times New Roman"/>
        </w:rPr>
        <w:br w:type="page"/>
      </w:r>
    </w:p>
    <w:p w14:paraId="58D563FD" w14:textId="1D12BCDA" w:rsidR="00D23944" w:rsidRDefault="00D23944">
      <w:pPr>
        <w:rPr>
          <w:rFonts w:ascii="Times New Roman" w:hAnsi="Times New Roman" w:cs="Times New Roman"/>
        </w:rPr>
      </w:pPr>
      <w:r w:rsidRPr="0047342C">
        <w:rPr>
          <w:noProof/>
        </w:rPr>
        <w:lastRenderedPageBreak/>
        <w:drawing>
          <wp:anchor distT="0" distB="0" distL="114300" distR="114300" simplePos="0" relativeHeight="251659264" behindDoc="0" locked="0" layoutInCell="1" allowOverlap="1" wp14:anchorId="50249138" wp14:editId="33F66119">
            <wp:simplePos x="0" y="0"/>
            <wp:positionH relativeFrom="margin">
              <wp:posOffset>-81915</wp:posOffset>
            </wp:positionH>
            <wp:positionV relativeFrom="margin">
              <wp:posOffset>-514985</wp:posOffset>
            </wp:positionV>
            <wp:extent cx="6003925" cy="4871720"/>
            <wp:effectExtent l="0" t="0" r="3175" b="508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003925" cy="4871720"/>
                    </a:xfrm>
                    <a:prstGeom prst="rect">
                      <a:avLst/>
                    </a:prstGeom>
                  </pic:spPr>
                </pic:pic>
              </a:graphicData>
            </a:graphic>
            <wp14:sizeRelH relativeFrom="margin">
              <wp14:pctWidth>0</wp14:pctWidth>
            </wp14:sizeRelH>
            <wp14:sizeRelV relativeFrom="margin">
              <wp14:pctHeight>0</wp14:pctHeight>
            </wp14:sizeRelV>
          </wp:anchor>
        </w:drawing>
      </w:r>
      <w:r w:rsidRPr="002A634E">
        <w:rPr>
          <w:noProof/>
        </w:rPr>
        <w:drawing>
          <wp:anchor distT="0" distB="0" distL="114300" distR="114300" simplePos="0" relativeHeight="251660288" behindDoc="0" locked="0" layoutInCell="1" allowOverlap="1" wp14:anchorId="15C28C46" wp14:editId="56D5BCD8">
            <wp:simplePos x="0" y="0"/>
            <wp:positionH relativeFrom="margin">
              <wp:posOffset>171</wp:posOffset>
            </wp:positionH>
            <wp:positionV relativeFrom="margin">
              <wp:posOffset>4859655</wp:posOffset>
            </wp:positionV>
            <wp:extent cx="5756910" cy="4785995"/>
            <wp:effectExtent l="0" t="0" r="0" b="1905"/>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56910" cy="4785995"/>
                    </a:xfrm>
                    <a:prstGeom prst="rect">
                      <a:avLst/>
                    </a:prstGeom>
                  </pic:spPr>
                </pic:pic>
              </a:graphicData>
            </a:graphic>
          </wp:anchor>
        </w:drawing>
      </w:r>
      <w:r>
        <w:rPr>
          <w:rFonts w:ascii="Times New Roman" w:hAnsi="Times New Roman" w:cs="Times New Roman"/>
        </w:rPr>
        <w:br w:type="page"/>
      </w:r>
    </w:p>
    <w:p w14:paraId="2E47B13D" w14:textId="5EFB01A2" w:rsidR="00D23944" w:rsidRDefault="00D23944">
      <w:pPr>
        <w:rPr>
          <w:rFonts w:ascii="Times New Roman" w:hAnsi="Times New Roman" w:cs="Times New Roman"/>
        </w:rPr>
      </w:pPr>
    </w:p>
    <w:p w14:paraId="33C2EA48" w14:textId="4A798A6F" w:rsidR="009847B6" w:rsidRDefault="003932B5" w:rsidP="00327D4F">
      <w:pPr>
        <w:spacing w:line="360" w:lineRule="auto"/>
        <w:rPr>
          <w:rFonts w:ascii="Times New Roman" w:hAnsi="Times New Roman" w:cs="Times New Roman"/>
        </w:rPr>
      </w:pPr>
      <w:r w:rsidRPr="004409A0">
        <w:rPr>
          <w:rFonts w:ascii="Times New Roman" w:hAnsi="Times New Roman" w:cs="Times New Roman"/>
        </w:rPr>
        <w:t>Nous présenterons donc</w:t>
      </w:r>
      <w:r>
        <w:rPr>
          <w:rFonts w:ascii="Times New Roman" w:hAnsi="Times New Roman" w:cs="Times New Roman"/>
        </w:rPr>
        <w:t xml:space="preserve"> ici</w:t>
      </w:r>
      <w:r w:rsidRPr="004409A0">
        <w:rPr>
          <w:rFonts w:ascii="Times New Roman" w:hAnsi="Times New Roman" w:cs="Times New Roman"/>
        </w:rPr>
        <w:t xml:space="preserve"> les deux stratégies que nous avons souhaité chaque fois mettre en place et quels en étaient l’intérêt pour notre mémoire. </w:t>
      </w:r>
    </w:p>
    <w:p w14:paraId="43EC98C4" w14:textId="77777777" w:rsidR="001C3850" w:rsidRDefault="001C3850" w:rsidP="00327D4F">
      <w:pPr>
        <w:spacing w:line="360" w:lineRule="auto"/>
        <w:rPr>
          <w:rFonts w:ascii="Times New Roman" w:hAnsi="Times New Roman" w:cs="Times New Roman"/>
        </w:rPr>
      </w:pPr>
    </w:p>
    <w:p w14:paraId="6A5608A1" w14:textId="77777777" w:rsidR="003932B5" w:rsidRPr="00542CA3" w:rsidRDefault="003932B5" w:rsidP="003932B5">
      <w:pPr>
        <w:pStyle w:val="Paragraphedeliste"/>
        <w:numPr>
          <w:ilvl w:val="0"/>
          <w:numId w:val="1"/>
        </w:numPr>
        <w:spacing w:line="360" w:lineRule="auto"/>
        <w:rPr>
          <w:rFonts w:ascii="Times New Roman" w:hAnsi="Times New Roman" w:cs="Times New Roman"/>
        </w:rPr>
      </w:pPr>
      <w:r>
        <w:rPr>
          <w:rFonts w:ascii="Times New Roman" w:hAnsi="Times New Roman" w:cs="Times New Roman"/>
        </w:rPr>
        <w:t xml:space="preserve">Reconnaissance d’entités nommées </w:t>
      </w:r>
    </w:p>
    <w:p w14:paraId="0195EAA6" w14:textId="706C7EE7" w:rsidR="003932B5" w:rsidRDefault="003932B5" w:rsidP="003932B5">
      <w:pPr>
        <w:spacing w:line="360" w:lineRule="auto"/>
        <w:rPr>
          <w:rFonts w:ascii="Times New Roman" w:hAnsi="Times New Roman" w:cs="Times New Roman"/>
        </w:rPr>
      </w:pPr>
      <w:r>
        <w:rPr>
          <w:rFonts w:ascii="Times New Roman" w:hAnsi="Times New Roman" w:cs="Times New Roman"/>
        </w:rPr>
        <w:t>La première tentative de rendu TAL a été d’appliquer à notre corpus une reconnaissance d’entités nommées. Cette démarche consistait à entraîner, sur une partie de notre base de données constituée de l’ensemble des titres de nos revues, une NLP à partir d’annotations réalisées sur Doccano. L’objectif était non seulement de désambiguiser les entités de nos données mais aussi de proposer de nouveaux labels d’annotation correspondant à notre corpus</w:t>
      </w:r>
      <w:r w:rsidR="0076243D">
        <w:rPr>
          <w:rFonts w:ascii="Times New Roman" w:hAnsi="Times New Roman" w:cs="Times New Roman"/>
        </w:rPr>
        <w:t xml:space="preserve"> afin de l’enrichir </w:t>
      </w:r>
      <w:r w:rsidR="001B12B9">
        <w:rPr>
          <w:rFonts w:ascii="Times New Roman" w:hAnsi="Times New Roman" w:cs="Times New Roman"/>
        </w:rPr>
        <w:t xml:space="preserve">pour </w:t>
      </w:r>
      <w:r w:rsidR="002A72E9">
        <w:rPr>
          <w:rFonts w:ascii="Times New Roman" w:hAnsi="Times New Roman" w:cs="Times New Roman"/>
        </w:rPr>
        <w:t xml:space="preserve">notre </w:t>
      </w:r>
      <w:r w:rsidR="00416FD0">
        <w:rPr>
          <w:rFonts w:ascii="Times New Roman" w:hAnsi="Times New Roman" w:cs="Times New Roman"/>
        </w:rPr>
        <w:t xml:space="preserve">rendu de l’an prochain. </w:t>
      </w:r>
      <w:r w:rsidR="00C2371E">
        <w:rPr>
          <w:rFonts w:ascii="Times New Roman" w:hAnsi="Times New Roman" w:cs="Times New Roman"/>
        </w:rPr>
        <w:t xml:space="preserve">Un autre objectif, à plus court terme </w:t>
      </w:r>
      <w:r w:rsidR="0077654E">
        <w:rPr>
          <w:rFonts w:ascii="Times New Roman" w:hAnsi="Times New Roman" w:cs="Times New Roman"/>
        </w:rPr>
        <w:t xml:space="preserve">était </w:t>
      </w:r>
      <w:r w:rsidR="00197AB3">
        <w:rPr>
          <w:rFonts w:ascii="Times New Roman" w:hAnsi="Times New Roman" w:cs="Times New Roman"/>
        </w:rPr>
        <w:t xml:space="preserve">de corriger les </w:t>
      </w:r>
      <w:r w:rsidR="004979DE">
        <w:rPr>
          <w:rFonts w:ascii="Times New Roman" w:hAnsi="Times New Roman" w:cs="Times New Roman"/>
        </w:rPr>
        <w:t>entités nommées relatives à un lieu afin d</w:t>
      </w:r>
      <w:r w:rsidR="002B1597">
        <w:rPr>
          <w:rFonts w:ascii="Times New Roman" w:hAnsi="Times New Roman" w:cs="Times New Roman"/>
        </w:rPr>
        <w:t xml:space="preserve">e les passer par la suite </w:t>
      </w:r>
      <w:r w:rsidR="00CB42C0">
        <w:rPr>
          <w:rFonts w:ascii="Times New Roman" w:hAnsi="Times New Roman" w:cs="Times New Roman"/>
        </w:rPr>
        <w:t xml:space="preserve">sur QGIS pour un rendu de TAL. </w:t>
      </w:r>
      <w:r w:rsidR="003A7C0B">
        <w:rPr>
          <w:rFonts w:ascii="Times New Roman" w:hAnsi="Times New Roman" w:cs="Times New Roman"/>
        </w:rPr>
        <w:t xml:space="preserve">Cette seconde </w:t>
      </w:r>
      <w:r w:rsidR="00EA0502">
        <w:rPr>
          <w:rFonts w:ascii="Times New Roman" w:hAnsi="Times New Roman" w:cs="Times New Roman"/>
        </w:rPr>
        <w:t xml:space="preserve">partie </w:t>
      </w:r>
      <w:r w:rsidR="0025703D">
        <w:rPr>
          <w:rFonts w:ascii="Times New Roman" w:hAnsi="Times New Roman" w:cs="Times New Roman"/>
        </w:rPr>
        <w:t>d</w:t>
      </w:r>
      <w:r w:rsidR="00FB41B8">
        <w:rPr>
          <w:rFonts w:ascii="Times New Roman" w:hAnsi="Times New Roman" w:cs="Times New Roman"/>
        </w:rPr>
        <w:t xml:space="preserve">u rendu </w:t>
      </w:r>
      <w:r w:rsidR="00897269">
        <w:rPr>
          <w:rFonts w:ascii="Times New Roman" w:hAnsi="Times New Roman" w:cs="Times New Roman"/>
        </w:rPr>
        <w:t xml:space="preserve">fait </w:t>
      </w:r>
      <w:r w:rsidR="00666D52">
        <w:rPr>
          <w:rFonts w:ascii="Times New Roman" w:hAnsi="Times New Roman" w:cs="Times New Roman"/>
        </w:rPr>
        <w:t xml:space="preserve">l’objet d’un </w:t>
      </w:r>
      <w:r w:rsidR="000C0395">
        <w:rPr>
          <w:rFonts w:ascii="Times New Roman" w:hAnsi="Times New Roman" w:cs="Times New Roman"/>
        </w:rPr>
        <w:t xml:space="preserve">autre </w:t>
      </w:r>
      <w:r w:rsidR="00934C46">
        <w:rPr>
          <w:rFonts w:ascii="Times New Roman" w:hAnsi="Times New Roman" w:cs="Times New Roman"/>
        </w:rPr>
        <w:t xml:space="preserve">devoir dans le cadre </w:t>
      </w:r>
      <w:r w:rsidR="00AE7C1A">
        <w:rPr>
          <w:rFonts w:ascii="Times New Roman" w:hAnsi="Times New Roman" w:cs="Times New Roman"/>
        </w:rPr>
        <w:t xml:space="preserve">du </w:t>
      </w:r>
      <w:r w:rsidR="00B831AB">
        <w:rPr>
          <w:rFonts w:ascii="Times New Roman" w:hAnsi="Times New Roman" w:cs="Times New Roman"/>
        </w:rPr>
        <w:t>séminaire</w:t>
      </w:r>
      <w:r w:rsidR="00AE7C1A">
        <w:rPr>
          <w:rFonts w:ascii="Times New Roman" w:hAnsi="Times New Roman" w:cs="Times New Roman"/>
        </w:rPr>
        <w:t xml:space="preserve"> TAIS </w:t>
      </w:r>
      <w:r w:rsidR="00F73D2B">
        <w:rPr>
          <w:rFonts w:ascii="Times New Roman" w:hAnsi="Times New Roman" w:cs="Times New Roman"/>
        </w:rPr>
        <w:t xml:space="preserve">dirigé par Eric Mermet. </w:t>
      </w:r>
    </w:p>
    <w:p w14:paraId="3DF7B3CB" w14:textId="615E9D90" w:rsidR="00F0717D" w:rsidRDefault="00F0717D" w:rsidP="003932B5">
      <w:pPr>
        <w:spacing w:line="360" w:lineRule="auto"/>
        <w:rPr>
          <w:rFonts w:ascii="Times New Roman" w:hAnsi="Times New Roman" w:cs="Times New Roman"/>
        </w:rPr>
      </w:pPr>
    </w:p>
    <w:p w14:paraId="05CF7C53" w14:textId="33EC4238" w:rsidR="00AC7175" w:rsidRDefault="00AC7175" w:rsidP="003932B5">
      <w:pPr>
        <w:spacing w:line="360" w:lineRule="auto"/>
        <w:rPr>
          <w:rFonts w:ascii="Times New Roman" w:hAnsi="Times New Roman" w:cs="Times New Roman"/>
        </w:rPr>
      </w:pPr>
      <w:r>
        <w:rPr>
          <w:rFonts w:ascii="Times New Roman" w:hAnsi="Times New Roman" w:cs="Times New Roman"/>
        </w:rPr>
        <w:t xml:space="preserve">Afin de répondre à </w:t>
      </w:r>
      <w:r w:rsidR="0054543D">
        <w:rPr>
          <w:rFonts w:ascii="Times New Roman" w:hAnsi="Times New Roman" w:cs="Times New Roman"/>
        </w:rPr>
        <w:t>ces</w:t>
      </w:r>
      <w:r w:rsidR="00B93C67">
        <w:rPr>
          <w:rFonts w:ascii="Times New Roman" w:hAnsi="Times New Roman" w:cs="Times New Roman"/>
        </w:rPr>
        <w:t xml:space="preserve"> objectifs</w:t>
      </w:r>
      <w:r>
        <w:rPr>
          <w:rFonts w:ascii="Times New Roman" w:hAnsi="Times New Roman" w:cs="Times New Roman"/>
        </w:rPr>
        <w:t xml:space="preserve"> </w:t>
      </w:r>
      <w:r w:rsidR="00666341">
        <w:rPr>
          <w:rFonts w:ascii="Times New Roman" w:hAnsi="Times New Roman" w:cs="Times New Roman"/>
        </w:rPr>
        <w:t xml:space="preserve">nous avons donc </w:t>
      </w:r>
      <w:r w:rsidR="004E2D80">
        <w:rPr>
          <w:rFonts w:ascii="Times New Roman" w:hAnsi="Times New Roman" w:cs="Times New Roman"/>
        </w:rPr>
        <w:t xml:space="preserve">réalisé </w:t>
      </w:r>
      <w:r w:rsidR="0038301E">
        <w:rPr>
          <w:rFonts w:ascii="Times New Roman" w:hAnsi="Times New Roman" w:cs="Times New Roman"/>
        </w:rPr>
        <w:t xml:space="preserve">une </w:t>
      </w:r>
      <w:r w:rsidR="003A6055">
        <w:rPr>
          <w:rFonts w:ascii="Times New Roman" w:hAnsi="Times New Roman" w:cs="Times New Roman"/>
        </w:rPr>
        <w:t xml:space="preserve">annotation sur Doccano </w:t>
      </w:r>
      <w:r w:rsidR="00461C4D">
        <w:rPr>
          <w:rFonts w:ascii="Times New Roman" w:hAnsi="Times New Roman" w:cs="Times New Roman"/>
        </w:rPr>
        <w:t xml:space="preserve">en ayant recours </w:t>
      </w:r>
      <w:r w:rsidR="00493958">
        <w:rPr>
          <w:rFonts w:ascii="Times New Roman" w:hAnsi="Times New Roman" w:cs="Times New Roman"/>
        </w:rPr>
        <w:t xml:space="preserve">à des labels préexistants </w:t>
      </w:r>
      <w:r w:rsidR="009E28CD">
        <w:rPr>
          <w:rFonts w:ascii="Times New Roman" w:hAnsi="Times New Roman" w:cs="Times New Roman"/>
        </w:rPr>
        <w:t xml:space="preserve">du NLP ainsi que </w:t>
      </w:r>
    </w:p>
    <w:p w14:paraId="78ED160E" w14:textId="55F98B37" w:rsidR="00E77EEE" w:rsidRDefault="003932B5" w:rsidP="00AC7175">
      <w:pPr>
        <w:spacing w:line="360" w:lineRule="auto"/>
        <w:rPr>
          <w:rFonts w:ascii="Times New Roman" w:hAnsi="Times New Roman" w:cs="Times New Roman"/>
        </w:rPr>
      </w:pPr>
      <w:r>
        <w:rPr>
          <w:rFonts w:ascii="Times New Roman" w:hAnsi="Times New Roman" w:cs="Times New Roman"/>
        </w:rPr>
        <w:t xml:space="preserve">Ainsi, nous avons eu recours aux labels suivants : </w:t>
      </w:r>
    </w:p>
    <w:p w14:paraId="14159364" w14:textId="77777777" w:rsidR="00E77EEE" w:rsidRDefault="00E77EEE" w:rsidP="003932B5">
      <w:pPr>
        <w:rPr>
          <w:rFonts w:ascii="Times New Roman" w:hAnsi="Times New Roman" w:cs="Times New Roman"/>
        </w:rPr>
      </w:pPr>
    </w:p>
    <w:p w14:paraId="72E4A963" w14:textId="77777777" w:rsidR="00E77EEE" w:rsidRDefault="00E77EEE" w:rsidP="003932B5">
      <w:pPr>
        <w:rPr>
          <w:rFonts w:ascii="Times New Roman" w:hAnsi="Times New Roman" w:cs="Times New Roman"/>
        </w:rPr>
      </w:pPr>
    </w:p>
    <w:p w14:paraId="603F1949" w14:textId="1AC42C50" w:rsidR="003932B5" w:rsidRDefault="003932B5" w:rsidP="003932B5">
      <w:pPr>
        <w:rPr>
          <w:rFonts w:ascii="Times New Roman" w:hAnsi="Times New Roman" w:cs="Times New Roman"/>
        </w:rPr>
      </w:pPr>
      <w:r>
        <w:rPr>
          <w:rFonts w:ascii="Times New Roman" w:hAnsi="Times New Roman" w:cs="Times New Roman"/>
        </w:rPr>
        <w:br w:type="page"/>
      </w:r>
    </w:p>
    <w:tbl>
      <w:tblPr>
        <w:tblStyle w:val="Grilledutableau"/>
        <w:tblpPr w:leftFromText="141" w:rightFromText="141" w:vertAnchor="text" w:horzAnchor="margin" w:tblpXSpec="center" w:tblpY="-424"/>
        <w:tblW w:w="11335" w:type="dxa"/>
        <w:tblLook w:val="04A0" w:firstRow="1" w:lastRow="0" w:firstColumn="1" w:lastColumn="0" w:noHBand="0" w:noVBand="1"/>
      </w:tblPr>
      <w:tblGrid>
        <w:gridCol w:w="1353"/>
        <w:gridCol w:w="1761"/>
        <w:gridCol w:w="4252"/>
        <w:gridCol w:w="3969"/>
      </w:tblGrid>
      <w:tr w:rsidR="003932B5" w14:paraId="4B8B4872" w14:textId="77777777" w:rsidTr="00AA3783">
        <w:tc>
          <w:tcPr>
            <w:tcW w:w="1353" w:type="dxa"/>
            <w:shd w:val="clear" w:color="auto" w:fill="D9D9D9" w:themeFill="background1" w:themeFillShade="D9"/>
          </w:tcPr>
          <w:p w14:paraId="6FB9EF51" w14:textId="77777777" w:rsidR="003932B5" w:rsidRPr="00467A90" w:rsidRDefault="003932B5" w:rsidP="00AA3783">
            <w:pPr>
              <w:spacing w:line="360" w:lineRule="auto"/>
              <w:jc w:val="center"/>
              <w:rPr>
                <w:rFonts w:ascii="Times New Roman" w:hAnsi="Times New Roman" w:cs="Times New Roman"/>
                <w:b/>
                <w:bCs/>
              </w:rPr>
            </w:pPr>
            <w:r w:rsidRPr="00467A90">
              <w:rPr>
                <w:rFonts w:ascii="Times New Roman" w:hAnsi="Times New Roman" w:cs="Times New Roman"/>
                <w:b/>
                <w:bCs/>
              </w:rPr>
              <w:lastRenderedPageBreak/>
              <w:t>Label</w:t>
            </w:r>
          </w:p>
        </w:tc>
        <w:tc>
          <w:tcPr>
            <w:tcW w:w="1761" w:type="dxa"/>
            <w:shd w:val="clear" w:color="auto" w:fill="D9D9D9" w:themeFill="background1" w:themeFillShade="D9"/>
          </w:tcPr>
          <w:p w14:paraId="4B1EE28C" w14:textId="77777777" w:rsidR="003932B5" w:rsidRPr="00467A90" w:rsidRDefault="003932B5" w:rsidP="00AA3783">
            <w:pPr>
              <w:spacing w:line="360" w:lineRule="auto"/>
              <w:jc w:val="center"/>
              <w:rPr>
                <w:rFonts w:ascii="Times New Roman" w:hAnsi="Times New Roman" w:cs="Times New Roman"/>
                <w:b/>
                <w:bCs/>
              </w:rPr>
            </w:pPr>
            <w:r w:rsidRPr="00467A90">
              <w:rPr>
                <w:rFonts w:ascii="Times New Roman" w:hAnsi="Times New Roman" w:cs="Times New Roman"/>
                <w:b/>
                <w:bCs/>
              </w:rPr>
              <w:t>Signification</w:t>
            </w:r>
          </w:p>
        </w:tc>
        <w:tc>
          <w:tcPr>
            <w:tcW w:w="4252" w:type="dxa"/>
            <w:shd w:val="clear" w:color="auto" w:fill="D9D9D9" w:themeFill="background1" w:themeFillShade="D9"/>
          </w:tcPr>
          <w:p w14:paraId="7AE5F2E4" w14:textId="77777777" w:rsidR="003932B5" w:rsidRPr="00467A90" w:rsidRDefault="003932B5" w:rsidP="00AA3783">
            <w:pPr>
              <w:spacing w:line="360" w:lineRule="auto"/>
              <w:jc w:val="center"/>
              <w:rPr>
                <w:rFonts w:ascii="Times New Roman" w:hAnsi="Times New Roman" w:cs="Times New Roman"/>
                <w:b/>
                <w:bCs/>
              </w:rPr>
            </w:pPr>
            <w:r w:rsidRPr="00467A90">
              <w:rPr>
                <w:rFonts w:ascii="Times New Roman" w:hAnsi="Times New Roman" w:cs="Times New Roman"/>
                <w:b/>
                <w:bCs/>
              </w:rPr>
              <w:t>Intérêt</w:t>
            </w:r>
          </w:p>
        </w:tc>
        <w:tc>
          <w:tcPr>
            <w:tcW w:w="3969" w:type="dxa"/>
            <w:shd w:val="clear" w:color="auto" w:fill="D9D9D9" w:themeFill="background1" w:themeFillShade="D9"/>
          </w:tcPr>
          <w:p w14:paraId="62A41375" w14:textId="77777777" w:rsidR="003932B5" w:rsidRPr="00467A90" w:rsidRDefault="003932B5" w:rsidP="00AA3783">
            <w:pPr>
              <w:spacing w:line="360" w:lineRule="auto"/>
              <w:jc w:val="center"/>
              <w:rPr>
                <w:rFonts w:ascii="Times New Roman" w:hAnsi="Times New Roman" w:cs="Times New Roman"/>
                <w:b/>
                <w:bCs/>
              </w:rPr>
            </w:pPr>
            <w:r w:rsidRPr="00467A90">
              <w:rPr>
                <w:rFonts w:ascii="Times New Roman" w:hAnsi="Times New Roman" w:cs="Times New Roman"/>
                <w:b/>
                <w:bCs/>
              </w:rPr>
              <w:t>Difficultés rencontrées</w:t>
            </w:r>
          </w:p>
        </w:tc>
      </w:tr>
      <w:tr w:rsidR="003932B5" w14:paraId="2DC3AFFD" w14:textId="77777777" w:rsidTr="00AA3783">
        <w:tc>
          <w:tcPr>
            <w:tcW w:w="1353" w:type="dxa"/>
          </w:tcPr>
          <w:p w14:paraId="39670831" w14:textId="77777777" w:rsidR="003932B5" w:rsidRPr="00746D48" w:rsidRDefault="003932B5" w:rsidP="00AA3783">
            <w:pPr>
              <w:spacing w:line="360" w:lineRule="auto"/>
              <w:rPr>
                <w:rFonts w:ascii="Times New Roman" w:hAnsi="Times New Roman" w:cs="Times New Roman"/>
                <w:sz w:val="20"/>
                <w:szCs w:val="20"/>
              </w:rPr>
            </w:pPr>
            <w:r w:rsidRPr="00746D48">
              <w:rPr>
                <w:rFonts w:ascii="Times New Roman" w:hAnsi="Times New Roman" w:cs="Times New Roman"/>
                <w:sz w:val="20"/>
                <w:szCs w:val="20"/>
              </w:rPr>
              <w:t>PATH</w:t>
            </w:r>
          </w:p>
        </w:tc>
        <w:tc>
          <w:tcPr>
            <w:tcW w:w="1761" w:type="dxa"/>
          </w:tcPr>
          <w:p w14:paraId="40B22448" w14:textId="77777777" w:rsidR="003932B5" w:rsidRPr="00746D48" w:rsidRDefault="003932B5" w:rsidP="00AA3783">
            <w:pPr>
              <w:spacing w:line="360" w:lineRule="auto"/>
              <w:rPr>
                <w:rFonts w:ascii="Times New Roman" w:hAnsi="Times New Roman" w:cs="Times New Roman"/>
                <w:sz w:val="20"/>
                <w:szCs w:val="20"/>
              </w:rPr>
            </w:pPr>
            <w:r w:rsidRPr="00746D48">
              <w:rPr>
                <w:rFonts w:ascii="Times New Roman" w:hAnsi="Times New Roman" w:cs="Times New Roman"/>
                <w:sz w:val="20"/>
                <w:szCs w:val="20"/>
              </w:rPr>
              <w:t>Pathologie</w:t>
            </w:r>
          </w:p>
        </w:tc>
        <w:tc>
          <w:tcPr>
            <w:tcW w:w="4252" w:type="dxa"/>
          </w:tcPr>
          <w:p w14:paraId="0D26A7E4" w14:textId="77777777" w:rsidR="003932B5" w:rsidRPr="00746D48" w:rsidRDefault="003932B5" w:rsidP="00AA3783">
            <w:pPr>
              <w:spacing w:line="360" w:lineRule="auto"/>
              <w:rPr>
                <w:rFonts w:ascii="Times New Roman" w:hAnsi="Times New Roman" w:cs="Times New Roman"/>
                <w:sz w:val="20"/>
                <w:szCs w:val="20"/>
              </w:rPr>
            </w:pPr>
            <w:r w:rsidRPr="00746D48">
              <w:rPr>
                <w:rFonts w:ascii="Times New Roman" w:hAnsi="Times New Roman" w:cs="Times New Roman"/>
                <w:sz w:val="20"/>
                <w:szCs w:val="20"/>
              </w:rPr>
              <w:t xml:space="preserve">Étudiant des revues médicales, il nous a semblé primordial </w:t>
            </w:r>
            <w:r>
              <w:rPr>
                <w:rFonts w:ascii="Times New Roman" w:hAnsi="Times New Roman" w:cs="Times New Roman"/>
                <w:sz w:val="20"/>
                <w:szCs w:val="20"/>
              </w:rPr>
              <w:t xml:space="preserve">de donner voix aux noms de pathologies qui </w:t>
            </w:r>
            <w:r w:rsidRPr="00E50E5A">
              <w:rPr>
                <w:rFonts w:ascii="Times New Roman" w:hAnsi="Times New Roman" w:cs="Times New Roman"/>
                <w:sz w:val="20"/>
                <w:szCs w:val="20"/>
              </w:rPr>
              <w:t>peuvent par ailleurs souvent porter le NLP de base à confusion en raison de noms</w:t>
            </w:r>
            <w:r>
              <w:rPr>
                <w:rFonts w:ascii="Times New Roman" w:hAnsi="Times New Roman" w:cs="Times New Roman"/>
                <w:sz w:val="20"/>
                <w:szCs w:val="20"/>
              </w:rPr>
              <w:t xml:space="preserve"> de maladie faisant parfois référence à un lieu. Par exemple : « Bouton d’Alep » </w:t>
            </w:r>
          </w:p>
        </w:tc>
        <w:tc>
          <w:tcPr>
            <w:tcW w:w="3969" w:type="dxa"/>
          </w:tcPr>
          <w:p w14:paraId="1F037F1E" w14:textId="77777777" w:rsidR="003932B5" w:rsidRDefault="003932B5" w:rsidP="00AA3783">
            <w:pPr>
              <w:spacing w:line="360" w:lineRule="auto"/>
              <w:rPr>
                <w:rFonts w:ascii="Times New Roman" w:hAnsi="Times New Roman" w:cs="Times New Roman"/>
                <w:sz w:val="20"/>
                <w:szCs w:val="20"/>
              </w:rPr>
            </w:pPr>
            <w:r>
              <w:rPr>
                <w:rFonts w:ascii="Times New Roman" w:hAnsi="Times New Roman" w:cs="Times New Roman"/>
                <w:sz w:val="20"/>
                <w:szCs w:val="20"/>
              </w:rPr>
              <w:t>De nombreuses fois, les maladies étaient référées d’autres formes grammaticales ne relevant donc pas d’une entité nommée à strictement parler.</w:t>
            </w:r>
          </w:p>
          <w:p w14:paraId="64305898" w14:textId="77777777" w:rsidR="003932B5" w:rsidRPr="00746D48" w:rsidRDefault="003932B5" w:rsidP="00AA3783">
            <w:pPr>
              <w:spacing w:line="360" w:lineRule="auto"/>
              <w:rPr>
                <w:rFonts w:ascii="Times New Roman" w:hAnsi="Times New Roman" w:cs="Times New Roman"/>
                <w:sz w:val="20"/>
                <w:szCs w:val="20"/>
              </w:rPr>
            </w:pPr>
            <w:r>
              <w:rPr>
                <w:rFonts w:ascii="Times New Roman" w:hAnsi="Times New Roman" w:cs="Times New Roman"/>
                <w:sz w:val="20"/>
                <w:szCs w:val="20"/>
              </w:rPr>
              <w:t xml:space="preserve">Par exemple : ‘paludéen’ plutôt que ‘paludisme’. </w:t>
            </w:r>
          </w:p>
        </w:tc>
      </w:tr>
      <w:tr w:rsidR="003932B5" w14:paraId="414B6501" w14:textId="77777777" w:rsidTr="00AA3783">
        <w:tc>
          <w:tcPr>
            <w:tcW w:w="1353" w:type="dxa"/>
            <w:shd w:val="clear" w:color="auto" w:fill="F2F2F2" w:themeFill="background1" w:themeFillShade="F2"/>
          </w:tcPr>
          <w:p w14:paraId="47433E8C" w14:textId="77777777" w:rsidR="003932B5" w:rsidRPr="00746D48" w:rsidRDefault="003932B5" w:rsidP="00AA3783">
            <w:pPr>
              <w:spacing w:line="360" w:lineRule="auto"/>
              <w:rPr>
                <w:rFonts w:ascii="Times New Roman" w:hAnsi="Times New Roman" w:cs="Times New Roman"/>
                <w:sz w:val="20"/>
                <w:szCs w:val="20"/>
              </w:rPr>
            </w:pPr>
            <w:r>
              <w:rPr>
                <w:rFonts w:ascii="Times New Roman" w:hAnsi="Times New Roman" w:cs="Times New Roman"/>
                <w:sz w:val="20"/>
                <w:szCs w:val="20"/>
              </w:rPr>
              <w:t>ZOO-ENTO</w:t>
            </w:r>
          </w:p>
        </w:tc>
        <w:tc>
          <w:tcPr>
            <w:tcW w:w="1761" w:type="dxa"/>
            <w:shd w:val="clear" w:color="auto" w:fill="F2F2F2" w:themeFill="background1" w:themeFillShade="F2"/>
          </w:tcPr>
          <w:p w14:paraId="79C35F31" w14:textId="77777777" w:rsidR="003932B5" w:rsidRPr="00746D48" w:rsidRDefault="003932B5" w:rsidP="00AA3783">
            <w:pPr>
              <w:spacing w:line="360" w:lineRule="auto"/>
              <w:rPr>
                <w:rFonts w:ascii="Times New Roman" w:hAnsi="Times New Roman" w:cs="Times New Roman"/>
                <w:sz w:val="20"/>
                <w:szCs w:val="20"/>
              </w:rPr>
            </w:pPr>
            <w:r>
              <w:rPr>
                <w:rFonts w:ascii="Times New Roman" w:hAnsi="Times New Roman" w:cs="Times New Roman"/>
                <w:sz w:val="20"/>
                <w:szCs w:val="20"/>
              </w:rPr>
              <w:t>Zoologie-entomologie</w:t>
            </w:r>
          </w:p>
        </w:tc>
        <w:tc>
          <w:tcPr>
            <w:tcW w:w="4252" w:type="dxa"/>
            <w:shd w:val="clear" w:color="auto" w:fill="F2F2F2" w:themeFill="background1" w:themeFillShade="F2"/>
          </w:tcPr>
          <w:p w14:paraId="5727CEF0" w14:textId="77777777" w:rsidR="003932B5" w:rsidRPr="00746D48" w:rsidRDefault="003932B5" w:rsidP="00AA3783">
            <w:pPr>
              <w:spacing w:line="360" w:lineRule="auto"/>
              <w:rPr>
                <w:rFonts w:ascii="Times New Roman" w:hAnsi="Times New Roman" w:cs="Times New Roman"/>
                <w:sz w:val="20"/>
                <w:szCs w:val="20"/>
              </w:rPr>
            </w:pPr>
            <w:r>
              <w:rPr>
                <w:rFonts w:ascii="Times New Roman" w:hAnsi="Times New Roman" w:cs="Times New Roman"/>
                <w:sz w:val="20"/>
                <w:szCs w:val="20"/>
              </w:rPr>
              <w:t xml:space="preserve">Depuis la découverte de Laveran du rôle transmetteur des </w:t>
            </w:r>
            <w:r w:rsidRPr="001A5093">
              <w:rPr>
                <w:rFonts w:ascii="Times New Roman" w:hAnsi="Times New Roman" w:cs="Times New Roman"/>
                <w:sz w:val="20"/>
                <w:szCs w:val="20"/>
              </w:rPr>
              <w:t>anophèles, une attention croissante a été donnée aux moustiques, animaux et protozoaires.</w:t>
            </w:r>
            <w:r>
              <w:rPr>
                <w:rFonts w:ascii="Times New Roman" w:hAnsi="Times New Roman" w:cs="Times New Roman"/>
                <w:sz w:val="20"/>
                <w:szCs w:val="20"/>
              </w:rPr>
              <w:t xml:space="preserve"> </w:t>
            </w:r>
          </w:p>
        </w:tc>
        <w:tc>
          <w:tcPr>
            <w:tcW w:w="3969" w:type="dxa"/>
            <w:shd w:val="clear" w:color="auto" w:fill="F2F2F2" w:themeFill="background1" w:themeFillShade="F2"/>
          </w:tcPr>
          <w:p w14:paraId="2D3ABC02" w14:textId="77777777" w:rsidR="003932B5" w:rsidRPr="00746D48" w:rsidRDefault="003932B5" w:rsidP="00AA3783">
            <w:pPr>
              <w:spacing w:line="360" w:lineRule="auto"/>
              <w:rPr>
                <w:rFonts w:ascii="Times New Roman" w:hAnsi="Times New Roman" w:cs="Times New Roman"/>
                <w:sz w:val="20"/>
                <w:szCs w:val="20"/>
              </w:rPr>
            </w:pPr>
            <w:r>
              <w:rPr>
                <w:rFonts w:ascii="Times New Roman" w:hAnsi="Times New Roman" w:cs="Times New Roman"/>
                <w:sz w:val="20"/>
                <w:szCs w:val="20"/>
              </w:rPr>
              <w:t xml:space="preserve">Comme pour CHEM-LABO, les données que nous avons utilisé </w:t>
            </w:r>
          </w:p>
        </w:tc>
      </w:tr>
      <w:tr w:rsidR="003932B5" w14:paraId="64F5EC30" w14:textId="77777777" w:rsidTr="00AA3783">
        <w:tc>
          <w:tcPr>
            <w:tcW w:w="1353" w:type="dxa"/>
          </w:tcPr>
          <w:p w14:paraId="046EADC2" w14:textId="77777777" w:rsidR="003932B5" w:rsidRPr="00746D48" w:rsidRDefault="003932B5" w:rsidP="00AA3783">
            <w:pPr>
              <w:spacing w:line="360" w:lineRule="auto"/>
              <w:rPr>
                <w:rFonts w:ascii="Times New Roman" w:hAnsi="Times New Roman" w:cs="Times New Roman"/>
                <w:sz w:val="20"/>
                <w:szCs w:val="20"/>
              </w:rPr>
            </w:pPr>
            <w:r>
              <w:rPr>
                <w:rFonts w:ascii="Times New Roman" w:hAnsi="Times New Roman" w:cs="Times New Roman"/>
                <w:sz w:val="20"/>
                <w:szCs w:val="20"/>
              </w:rPr>
              <w:t>SHS</w:t>
            </w:r>
          </w:p>
        </w:tc>
        <w:tc>
          <w:tcPr>
            <w:tcW w:w="1761" w:type="dxa"/>
          </w:tcPr>
          <w:p w14:paraId="250CAF83" w14:textId="77777777" w:rsidR="003932B5" w:rsidRPr="00746D48" w:rsidRDefault="003932B5" w:rsidP="00AA3783">
            <w:pPr>
              <w:spacing w:line="360" w:lineRule="auto"/>
              <w:rPr>
                <w:rFonts w:ascii="Times New Roman" w:hAnsi="Times New Roman" w:cs="Times New Roman"/>
                <w:sz w:val="20"/>
                <w:szCs w:val="20"/>
              </w:rPr>
            </w:pPr>
            <w:r>
              <w:rPr>
                <w:rFonts w:ascii="Times New Roman" w:hAnsi="Times New Roman" w:cs="Times New Roman"/>
                <w:sz w:val="20"/>
                <w:szCs w:val="20"/>
              </w:rPr>
              <w:t>Sciences humaines et sociales</w:t>
            </w:r>
          </w:p>
        </w:tc>
        <w:tc>
          <w:tcPr>
            <w:tcW w:w="4252" w:type="dxa"/>
          </w:tcPr>
          <w:p w14:paraId="72B60BBB" w14:textId="77777777" w:rsidR="003932B5" w:rsidRPr="00746D48" w:rsidRDefault="003932B5" w:rsidP="00AA3783">
            <w:pPr>
              <w:spacing w:line="360" w:lineRule="auto"/>
              <w:rPr>
                <w:rFonts w:ascii="Times New Roman" w:hAnsi="Times New Roman" w:cs="Times New Roman"/>
                <w:sz w:val="20"/>
                <w:szCs w:val="20"/>
              </w:rPr>
            </w:pPr>
            <w:r>
              <w:rPr>
                <w:rFonts w:ascii="Times New Roman" w:hAnsi="Times New Roman" w:cs="Times New Roman"/>
                <w:sz w:val="20"/>
                <w:szCs w:val="20"/>
              </w:rPr>
              <w:t xml:space="preserve">Nous avons considéré dans la catégorie « SHS » les noms se rapportant ou découlant d’une discipline des sciences humaines et sociales, c’est-à-dire apportant un savoir autre que strictement médical ou biologique. La géographie et l’ethnologie en sont les principaux apports.  </w:t>
            </w:r>
          </w:p>
        </w:tc>
        <w:tc>
          <w:tcPr>
            <w:tcW w:w="3969" w:type="dxa"/>
          </w:tcPr>
          <w:p w14:paraId="4CECE84A" w14:textId="77777777" w:rsidR="003932B5" w:rsidRDefault="003932B5" w:rsidP="00AA3783">
            <w:pPr>
              <w:spacing w:line="360" w:lineRule="auto"/>
              <w:rPr>
                <w:rFonts w:ascii="Times New Roman" w:hAnsi="Times New Roman" w:cs="Times New Roman"/>
                <w:sz w:val="20"/>
                <w:szCs w:val="20"/>
              </w:rPr>
            </w:pPr>
            <w:r>
              <w:rPr>
                <w:rFonts w:ascii="Times New Roman" w:hAnsi="Times New Roman" w:cs="Times New Roman"/>
                <w:sz w:val="20"/>
                <w:szCs w:val="20"/>
              </w:rPr>
              <w:t xml:space="preserve">Nous avons dans ce cadre annoté des noms d’ethnies mais restions assez perplexes dans des cas de classification d’individus sur la base de caractères stéréotypés. </w:t>
            </w:r>
          </w:p>
          <w:p w14:paraId="37983354" w14:textId="77777777" w:rsidR="003932B5" w:rsidRPr="00746D48" w:rsidRDefault="003932B5" w:rsidP="00AA3783">
            <w:pPr>
              <w:spacing w:line="360" w:lineRule="auto"/>
              <w:rPr>
                <w:rFonts w:ascii="Times New Roman" w:hAnsi="Times New Roman" w:cs="Times New Roman"/>
                <w:sz w:val="20"/>
                <w:szCs w:val="20"/>
              </w:rPr>
            </w:pPr>
            <w:r>
              <w:rPr>
                <w:rFonts w:ascii="Times New Roman" w:hAnsi="Times New Roman" w:cs="Times New Roman"/>
                <w:sz w:val="20"/>
                <w:szCs w:val="20"/>
              </w:rPr>
              <w:t xml:space="preserve">Par exemple : « les noirs ». La question était alors de savoir dans quelle mesure cette désignation généraliste découlait d’une considération ethnologique, d’une seule observation ou bien d’un stéréotype.  </w:t>
            </w:r>
          </w:p>
        </w:tc>
      </w:tr>
      <w:tr w:rsidR="003932B5" w14:paraId="4405491E" w14:textId="77777777" w:rsidTr="00AA3783">
        <w:trPr>
          <w:trHeight w:val="2836"/>
        </w:trPr>
        <w:tc>
          <w:tcPr>
            <w:tcW w:w="1353" w:type="dxa"/>
            <w:shd w:val="clear" w:color="auto" w:fill="F2F2F2" w:themeFill="background1" w:themeFillShade="F2"/>
          </w:tcPr>
          <w:p w14:paraId="4972E300" w14:textId="77777777" w:rsidR="003932B5" w:rsidRPr="00746D48" w:rsidRDefault="003932B5" w:rsidP="00AA3783">
            <w:pPr>
              <w:spacing w:line="360" w:lineRule="auto"/>
              <w:rPr>
                <w:rFonts w:ascii="Times New Roman" w:hAnsi="Times New Roman" w:cs="Times New Roman"/>
                <w:sz w:val="20"/>
                <w:szCs w:val="20"/>
              </w:rPr>
            </w:pPr>
            <w:r>
              <w:rPr>
                <w:rFonts w:ascii="Times New Roman" w:hAnsi="Times New Roman" w:cs="Times New Roman"/>
                <w:sz w:val="20"/>
                <w:szCs w:val="20"/>
              </w:rPr>
              <w:t>CHEM-LABO</w:t>
            </w:r>
          </w:p>
        </w:tc>
        <w:tc>
          <w:tcPr>
            <w:tcW w:w="1761" w:type="dxa"/>
            <w:shd w:val="clear" w:color="auto" w:fill="F2F2F2" w:themeFill="background1" w:themeFillShade="F2"/>
          </w:tcPr>
          <w:p w14:paraId="577B509D" w14:textId="77777777" w:rsidR="003932B5" w:rsidRPr="00746D48" w:rsidRDefault="003932B5" w:rsidP="00AA3783">
            <w:pPr>
              <w:spacing w:line="360" w:lineRule="auto"/>
              <w:rPr>
                <w:rFonts w:ascii="Times New Roman" w:hAnsi="Times New Roman" w:cs="Times New Roman"/>
                <w:sz w:val="20"/>
                <w:szCs w:val="20"/>
              </w:rPr>
            </w:pPr>
            <w:r>
              <w:rPr>
                <w:rFonts w:ascii="Times New Roman" w:hAnsi="Times New Roman" w:cs="Times New Roman"/>
                <w:sz w:val="20"/>
                <w:szCs w:val="20"/>
              </w:rPr>
              <w:t>Chimie et laboratoire</w:t>
            </w:r>
          </w:p>
        </w:tc>
        <w:tc>
          <w:tcPr>
            <w:tcW w:w="4252" w:type="dxa"/>
            <w:shd w:val="clear" w:color="auto" w:fill="F2F2F2" w:themeFill="background1" w:themeFillShade="F2"/>
          </w:tcPr>
          <w:p w14:paraId="30D07A2B" w14:textId="77777777" w:rsidR="003932B5" w:rsidRDefault="003932B5" w:rsidP="00AA3783">
            <w:pPr>
              <w:spacing w:line="360" w:lineRule="auto"/>
              <w:rPr>
                <w:rFonts w:ascii="Times New Roman" w:hAnsi="Times New Roman" w:cs="Times New Roman"/>
                <w:sz w:val="20"/>
                <w:szCs w:val="20"/>
              </w:rPr>
            </w:pPr>
            <w:r>
              <w:rPr>
                <w:rFonts w:ascii="Times New Roman" w:hAnsi="Times New Roman" w:cs="Times New Roman"/>
                <w:sz w:val="20"/>
                <w:szCs w:val="20"/>
              </w:rPr>
              <w:t xml:space="preserve">Ce label a pour intérêt d’estimer le passage d’un régime médical de la clinique à celui de la biomédecine. </w:t>
            </w:r>
          </w:p>
          <w:p w14:paraId="48EB8303" w14:textId="77777777" w:rsidR="003932B5" w:rsidRPr="00746D48" w:rsidRDefault="003932B5" w:rsidP="00AA3783">
            <w:pPr>
              <w:spacing w:line="360" w:lineRule="auto"/>
              <w:rPr>
                <w:rFonts w:ascii="Times New Roman" w:hAnsi="Times New Roman" w:cs="Times New Roman"/>
                <w:sz w:val="20"/>
                <w:szCs w:val="20"/>
              </w:rPr>
            </w:pPr>
            <w:r>
              <w:rPr>
                <w:rFonts w:ascii="Times New Roman" w:hAnsi="Times New Roman" w:cs="Times New Roman"/>
                <w:sz w:val="20"/>
                <w:szCs w:val="20"/>
              </w:rPr>
              <w:t>Étudier les entités nommées de chimie nous aurait aussi permis de faire une étude des pratiques de laboratoire.</w:t>
            </w:r>
          </w:p>
        </w:tc>
        <w:tc>
          <w:tcPr>
            <w:tcW w:w="3969" w:type="dxa"/>
            <w:shd w:val="clear" w:color="auto" w:fill="F2F2F2" w:themeFill="background1" w:themeFillShade="F2"/>
          </w:tcPr>
          <w:p w14:paraId="0E0DD732" w14:textId="77777777" w:rsidR="003932B5" w:rsidRPr="00746D48" w:rsidRDefault="003932B5" w:rsidP="00AA3783">
            <w:pPr>
              <w:spacing w:line="360" w:lineRule="auto"/>
              <w:rPr>
                <w:rFonts w:ascii="Times New Roman" w:hAnsi="Times New Roman" w:cs="Times New Roman"/>
                <w:sz w:val="20"/>
                <w:szCs w:val="20"/>
              </w:rPr>
            </w:pPr>
            <w:r>
              <w:rPr>
                <w:rFonts w:ascii="Times New Roman" w:hAnsi="Times New Roman" w:cs="Times New Roman"/>
                <w:sz w:val="20"/>
                <w:szCs w:val="20"/>
              </w:rPr>
              <w:t xml:space="preserve">Trop peu présent sur la période que nous avons annoté, il serait pertinent d’annoter le Bulletin de la Société de pathologie exotique ou bien les mêmes revues après leur rattachement aux services de pharmacie pour avoir plus d’exemples. </w:t>
            </w:r>
          </w:p>
        </w:tc>
      </w:tr>
      <w:tr w:rsidR="003932B5" w14:paraId="2B3E103B" w14:textId="77777777" w:rsidTr="00AA3783">
        <w:trPr>
          <w:trHeight w:val="1409"/>
        </w:trPr>
        <w:tc>
          <w:tcPr>
            <w:tcW w:w="1353" w:type="dxa"/>
          </w:tcPr>
          <w:p w14:paraId="19D2E755" w14:textId="77777777" w:rsidR="003932B5" w:rsidRPr="00746D48" w:rsidRDefault="003932B5" w:rsidP="00AA3783">
            <w:pPr>
              <w:spacing w:line="360" w:lineRule="auto"/>
              <w:rPr>
                <w:rFonts w:ascii="Times New Roman" w:hAnsi="Times New Roman" w:cs="Times New Roman"/>
                <w:sz w:val="20"/>
                <w:szCs w:val="20"/>
              </w:rPr>
            </w:pPr>
            <w:r>
              <w:rPr>
                <w:rFonts w:ascii="Times New Roman" w:hAnsi="Times New Roman" w:cs="Times New Roman"/>
                <w:sz w:val="20"/>
                <w:szCs w:val="20"/>
              </w:rPr>
              <w:t>LOC</w:t>
            </w:r>
          </w:p>
        </w:tc>
        <w:tc>
          <w:tcPr>
            <w:tcW w:w="1761" w:type="dxa"/>
          </w:tcPr>
          <w:p w14:paraId="4B015CC7" w14:textId="77777777" w:rsidR="003932B5" w:rsidRPr="00746D48" w:rsidRDefault="003932B5" w:rsidP="00AA3783">
            <w:pPr>
              <w:spacing w:line="360" w:lineRule="auto"/>
              <w:rPr>
                <w:rFonts w:ascii="Times New Roman" w:hAnsi="Times New Roman" w:cs="Times New Roman"/>
                <w:sz w:val="20"/>
                <w:szCs w:val="20"/>
              </w:rPr>
            </w:pPr>
            <w:r>
              <w:rPr>
                <w:rFonts w:ascii="Times New Roman" w:hAnsi="Times New Roman" w:cs="Times New Roman"/>
                <w:sz w:val="20"/>
                <w:szCs w:val="20"/>
              </w:rPr>
              <w:t>Localisation</w:t>
            </w:r>
          </w:p>
        </w:tc>
        <w:tc>
          <w:tcPr>
            <w:tcW w:w="4252" w:type="dxa"/>
          </w:tcPr>
          <w:p w14:paraId="0E512147" w14:textId="77777777" w:rsidR="003932B5" w:rsidRPr="00746D48" w:rsidRDefault="003932B5" w:rsidP="00AA3783">
            <w:pPr>
              <w:spacing w:line="360" w:lineRule="auto"/>
              <w:rPr>
                <w:rFonts w:ascii="Times New Roman" w:hAnsi="Times New Roman" w:cs="Times New Roman"/>
                <w:sz w:val="20"/>
                <w:szCs w:val="20"/>
              </w:rPr>
            </w:pPr>
            <w:r>
              <w:rPr>
                <w:rFonts w:ascii="Times New Roman" w:hAnsi="Times New Roman" w:cs="Times New Roman"/>
                <w:sz w:val="20"/>
                <w:szCs w:val="20"/>
              </w:rPr>
              <w:t xml:space="preserve">Le principal intérêt de la ré-annotations sur Doccano des LOC était de désambiguïser certains noms ambivalents, notamment de maladies (cf PATH) ainsi que d’affirmer la différence avec les GPE. </w:t>
            </w:r>
          </w:p>
        </w:tc>
        <w:tc>
          <w:tcPr>
            <w:tcW w:w="3969" w:type="dxa"/>
          </w:tcPr>
          <w:p w14:paraId="5976523F" w14:textId="77777777" w:rsidR="003932B5" w:rsidRPr="00746D48" w:rsidRDefault="003932B5" w:rsidP="00AA3783">
            <w:pPr>
              <w:spacing w:line="360" w:lineRule="auto"/>
              <w:rPr>
                <w:rFonts w:ascii="Times New Roman" w:hAnsi="Times New Roman" w:cs="Times New Roman"/>
                <w:sz w:val="20"/>
                <w:szCs w:val="20"/>
              </w:rPr>
            </w:pPr>
          </w:p>
        </w:tc>
      </w:tr>
      <w:tr w:rsidR="003932B5" w14:paraId="797F2524" w14:textId="77777777" w:rsidTr="00AA3783">
        <w:trPr>
          <w:trHeight w:val="2393"/>
        </w:trPr>
        <w:tc>
          <w:tcPr>
            <w:tcW w:w="1353" w:type="dxa"/>
            <w:shd w:val="clear" w:color="auto" w:fill="F2F2F2" w:themeFill="background1" w:themeFillShade="F2"/>
          </w:tcPr>
          <w:p w14:paraId="07017D01" w14:textId="77777777" w:rsidR="003932B5" w:rsidRDefault="003932B5" w:rsidP="00AA3783">
            <w:pPr>
              <w:spacing w:line="360" w:lineRule="auto"/>
              <w:rPr>
                <w:rFonts w:ascii="Times New Roman" w:hAnsi="Times New Roman" w:cs="Times New Roman"/>
                <w:sz w:val="20"/>
                <w:szCs w:val="20"/>
              </w:rPr>
            </w:pPr>
            <w:r>
              <w:rPr>
                <w:rFonts w:ascii="Times New Roman" w:hAnsi="Times New Roman" w:cs="Times New Roman"/>
                <w:sz w:val="20"/>
                <w:szCs w:val="20"/>
              </w:rPr>
              <w:t>GPE</w:t>
            </w:r>
          </w:p>
        </w:tc>
        <w:tc>
          <w:tcPr>
            <w:tcW w:w="1761" w:type="dxa"/>
            <w:shd w:val="clear" w:color="auto" w:fill="F2F2F2" w:themeFill="background1" w:themeFillShade="F2"/>
          </w:tcPr>
          <w:p w14:paraId="5F255379" w14:textId="77777777" w:rsidR="003932B5" w:rsidRPr="00746D48" w:rsidRDefault="003932B5" w:rsidP="00AA3783">
            <w:pPr>
              <w:spacing w:line="360" w:lineRule="auto"/>
              <w:rPr>
                <w:rFonts w:ascii="Times New Roman" w:hAnsi="Times New Roman" w:cs="Times New Roman"/>
                <w:sz w:val="20"/>
                <w:szCs w:val="20"/>
              </w:rPr>
            </w:pPr>
            <w:r>
              <w:rPr>
                <w:rFonts w:ascii="Times New Roman" w:hAnsi="Times New Roman" w:cs="Times New Roman"/>
                <w:sz w:val="20"/>
                <w:szCs w:val="20"/>
              </w:rPr>
              <w:t xml:space="preserve">Geopolitcal Entity </w:t>
            </w:r>
          </w:p>
        </w:tc>
        <w:tc>
          <w:tcPr>
            <w:tcW w:w="4252" w:type="dxa"/>
            <w:shd w:val="clear" w:color="auto" w:fill="F2F2F2" w:themeFill="background1" w:themeFillShade="F2"/>
          </w:tcPr>
          <w:p w14:paraId="36002711" w14:textId="77777777" w:rsidR="003932B5" w:rsidRDefault="003932B5" w:rsidP="00AA3783">
            <w:pPr>
              <w:spacing w:line="360" w:lineRule="auto"/>
              <w:rPr>
                <w:rFonts w:ascii="Times New Roman" w:hAnsi="Times New Roman" w:cs="Times New Roman"/>
                <w:sz w:val="20"/>
                <w:szCs w:val="20"/>
              </w:rPr>
            </w:pPr>
            <w:r>
              <w:rPr>
                <w:rFonts w:ascii="Times New Roman" w:hAnsi="Times New Roman" w:cs="Times New Roman"/>
                <w:sz w:val="20"/>
                <w:szCs w:val="20"/>
              </w:rPr>
              <w:t xml:space="preserve">Entités géopolitiques. </w:t>
            </w:r>
          </w:p>
          <w:p w14:paraId="3EE79669" w14:textId="77777777" w:rsidR="003932B5" w:rsidRPr="00746D48" w:rsidRDefault="003932B5" w:rsidP="00AA3783">
            <w:pPr>
              <w:spacing w:line="360" w:lineRule="auto"/>
              <w:rPr>
                <w:rFonts w:ascii="Times New Roman" w:hAnsi="Times New Roman" w:cs="Times New Roman"/>
                <w:sz w:val="20"/>
                <w:szCs w:val="20"/>
              </w:rPr>
            </w:pPr>
            <w:r>
              <w:rPr>
                <w:rFonts w:ascii="Times New Roman" w:hAnsi="Times New Roman" w:cs="Times New Roman"/>
                <w:sz w:val="20"/>
                <w:szCs w:val="20"/>
              </w:rPr>
              <w:t xml:space="preserve">De nombreuses entités GPE étaient annotées comme LOC ou bien mal tokenisées. C’était notamment le cas pour les noms composés indochinois  </w:t>
            </w:r>
          </w:p>
        </w:tc>
        <w:tc>
          <w:tcPr>
            <w:tcW w:w="3969" w:type="dxa"/>
            <w:shd w:val="clear" w:color="auto" w:fill="F2F2F2" w:themeFill="background1" w:themeFillShade="F2"/>
          </w:tcPr>
          <w:p w14:paraId="55820ED0" w14:textId="77777777" w:rsidR="003932B5" w:rsidRPr="00746D48" w:rsidRDefault="003932B5" w:rsidP="00AA3783">
            <w:pPr>
              <w:spacing w:line="360" w:lineRule="auto"/>
              <w:rPr>
                <w:rFonts w:ascii="Times New Roman" w:hAnsi="Times New Roman" w:cs="Times New Roman"/>
                <w:sz w:val="20"/>
                <w:szCs w:val="20"/>
              </w:rPr>
            </w:pPr>
          </w:p>
        </w:tc>
      </w:tr>
      <w:tr w:rsidR="003932B5" w14:paraId="208CF963" w14:textId="77777777" w:rsidTr="00AA3783">
        <w:trPr>
          <w:trHeight w:val="2393"/>
        </w:trPr>
        <w:tc>
          <w:tcPr>
            <w:tcW w:w="1353" w:type="dxa"/>
            <w:shd w:val="clear" w:color="auto" w:fill="F2F2F2" w:themeFill="background1" w:themeFillShade="F2"/>
          </w:tcPr>
          <w:p w14:paraId="1DC0BF48" w14:textId="77777777" w:rsidR="003932B5" w:rsidRDefault="003932B5" w:rsidP="00AA3783">
            <w:pPr>
              <w:spacing w:line="360" w:lineRule="auto"/>
              <w:rPr>
                <w:rFonts w:ascii="Times New Roman" w:hAnsi="Times New Roman" w:cs="Times New Roman"/>
                <w:sz w:val="20"/>
                <w:szCs w:val="20"/>
              </w:rPr>
            </w:pPr>
            <w:r>
              <w:rPr>
                <w:rFonts w:ascii="Times New Roman" w:hAnsi="Times New Roman" w:cs="Times New Roman"/>
                <w:sz w:val="20"/>
                <w:szCs w:val="20"/>
              </w:rPr>
              <w:lastRenderedPageBreak/>
              <w:t>ORG</w:t>
            </w:r>
          </w:p>
        </w:tc>
        <w:tc>
          <w:tcPr>
            <w:tcW w:w="1761" w:type="dxa"/>
            <w:shd w:val="clear" w:color="auto" w:fill="F2F2F2" w:themeFill="background1" w:themeFillShade="F2"/>
          </w:tcPr>
          <w:p w14:paraId="0676E189" w14:textId="77777777" w:rsidR="003932B5" w:rsidRDefault="003932B5" w:rsidP="00AA3783">
            <w:pPr>
              <w:spacing w:line="360" w:lineRule="auto"/>
              <w:rPr>
                <w:rFonts w:ascii="Times New Roman" w:hAnsi="Times New Roman" w:cs="Times New Roman"/>
                <w:sz w:val="20"/>
                <w:szCs w:val="20"/>
              </w:rPr>
            </w:pPr>
            <w:r>
              <w:rPr>
                <w:rFonts w:ascii="Times New Roman" w:hAnsi="Times New Roman" w:cs="Times New Roman"/>
                <w:sz w:val="20"/>
                <w:szCs w:val="20"/>
              </w:rPr>
              <w:t>Organisation</w:t>
            </w:r>
          </w:p>
        </w:tc>
        <w:tc>
          <w:tcPr>
            <w:tcW w:w="4252" w:type="dxa"/>
            <w:shd w:val="clear" w:color="auto" w:fill="F2F2F2" w:themeFill="background1" w:themeFillShade="F2"/>
          </w:tcPr>
          <w:p w14:paraId="19B6F6F9" w14:textId="77777777" w:rsidR="003932B5" w:rsidRDefault="003932B5" w:rsidP="00AA3783">
            <w:pPr>
              <w:spacing w:line="360" w:lineRule="auto"/>
              <w:rPr>
                <w:rFonts w:ascii="Times New Roman" w:hAnsi="Times New Roman" w:cs="Times New Roman"/>
                <w:sz w:val="20"/>
                <w:szCs w:val="20"/>
              </w:rPr>
            </w:pPr>
          </w:p>
        </w:tc>
        <w:tc>
          <w:tcPr>
            <w:tcW w:w="3969" w:type="dxa"/>
            <w:shd w:val="clear" w:color="auto" w:fill="F2F2F2" w:themeFill="background1" w:themeFillShade="F2"/>
          </w:tcPr>
          <w:p w14:paraId="1B2D7CC2" w14:textId="77777777" w:rsidR="003932B5" w:rsidRDefault="003932B5" w:rsidP="00AA3783">
            <w:pPr>
              <w:spacing w:line="360" w:lineRule="auto"/>
              <w:rPr>
                <w:rFonts w:ascii="Times New Roman" w:hAnsi="Times New Roman" w:cs="Times New Roman"/>
                <w:sz w:val="20"/>
                <w:szCs w:val="20"/>
              </w:rPr>
            </w:pPr>
            <w:r>
              <w:rPr>
                <w:rFonts w:ascii="Times New Roman" w:hAnsi="Times New Roman" w:cs="Times New Roman"/>
                <w:sz w:val="20"/>
                <w:szCs w:val="20"/>
              </w:rPr>
              <w:t xml:space="preserve">La grande majorité des noms d’organisation étaient liés à des lieux. Étant donné l’objectif premier du rendu de cartographier les contributions aux articles, nous avons fait le choix de prioriser les GPE et LOC aux ORG pour nous éviter une étape supplémentaire dans la géolocalisation. </w:t>
            </w:r>
          </w:p>
          <w:p w14:paraId="3B17F133" w14:textId="77777777" w:rsidR="003932B5" w:rsidRPr="00746D48" w:rsidRDefault="003932B5" w:rsidP="00AA3783">
            <w:pPr>
              <w:spacing w:line="360" w:lineRule="auto"/>
              <w:rPr>
                <w:rFonts w:ascii="Times New Roman" w:hAnsi="Times New Roman" w:cs="Times New Roman"/>
                <w:sz w:val="20"/>
                <w:szCs w:val="20"/>
              </w:rPr>
            </w:pPr>
            <w:r>
              <w:rPr>
                <w:rFonts w:ascii="Times New Roman" w:hAnsi="Times New Roman" w:cs="Times New Roman"/>
                <w:sz w:val="20"/>
                <w:szCs w:val="20"/>
              </w:rPr>
              <w:t>Néanmoins, il serait préférable à l’avenir de prioriser les ORG pour être le plus proche du texte.</w:t>
            </w:r>
          </w:p>
        </w:tc>
      </w:tr>
    </w:tbl>
    <w:p w14:paraId="5B4805DB" w14:textId="77777777" w:rsidR="003932B5" w:rsidRPr="00491B19" w:rsidRDefault="003932B5" w:rsidP="003932B5">
      <w:pPr>
        <w:spacing w:line="360" w:lineRule="auto"/>
        <w:rPr>
          <w:rFonts w:ascii="Times New Roman" w:hAnsi="Times New Roman" w:cs="Times New Roman"/>
          <w:sz w:val="28"/>
          <w:szCs w:val="28"/>
        </w:rPr>
      </w:pPr>
    </w:p>
    <w:p w14:paraId="751599EB" w14:textId="77777777" w:rsidR="003932B5" w:rsidRDefault="003932B5" w:rsidP="003932B5">
      <w:pPr>
        <w:spacing w:line="360" w:lineRule="auto"/>
        <w:rPr>
          <w:rFonts w:ascii="Times New Roman" w:hAnsi="Times New Roman" w:cs="Times New Roman"/>
        </w:rPr>
      </w:pPr>
    </w:p>
    <w:p w14:paraId="27037FE2" w14:textId="4BC32487" w:rsidR="003932B5" w:rsidRDefault="003932B5" w:rsidP="00CF791E">
      <w:pPr>
        <w:spacing w:line="360" w:lineRule="auto"/>
        <w:rPr>
          <w:rFonts w:ascii="Times New Roman" w:hAnsi="Times New Roman" w:cs="Times New Roman"/>
        </w:rPr>
      </w:pPr>
      <w:r>
        <w:rPr>
          <w:rFonts w:ascii="Times New Roman" w:hAnsi="Times New Roman" w:cs="Times New Roman"/>
        </w:rPr>
        <w:t xml:space="preserve">Pour cela, nous avons mis en place un </w:t>
      </w:r>
      <w:r w:rsidR="00BE1AA5">
        <w:rPr>
          <w:rFonts w:ascii="Times New Roman" w:hAnsi="Times New Roman" w:cs="Times New Roman"/>
        </w:rPr>
        <w:t>4</w:t>
      </w:r>
      <w:r>
        <w:rPr>
          <w:rFonts w:ascii="Times New Roman" w:hAnsi="Times New Roman" w:cs="Times New Roman"/>
        </w:rPr>
        <w:t xml:space="preserve">-fold cross validation afin de nous assurer d’avoir un NLP robuste. Néanmoins, il nous semble à postériori que le rapport entre la quantité de données entrainées (1898-1908) et l’ensemble de notre corpus (1898-1940) nous menait à surentraîner notre NLP sur des des données trop restreintes et finalement assez peu représentatives de l’ensemble de notre corpus. Néanmoins, il nous semble qu’il serait pertinent d’appliquer cette NLP aux 10 années précédentes (1889-1897) correspondant aux années durant lesquelles le corps de santé de la marine et celui des troupes coloniales écrivaient à la même adresse, à savoir aux Archives de médecine navale et coloniale. Cela pourra être développé pour le mémoire de l’an prochain que nous comptons préparer dès cet été. </w:t>
      </w:r>
    </w:p>
    <w:p w14:paraId="56504E02" w14:textId="61CD75D2" w:rsidR="004B03A6" w:rsidRDefault="004B03A6" w:rsidP="003932B5">
      <w:pPr>
        <w:spacing w:line="360" w:lineRule="auto"/>
        <w:rPr>
          <w:rFonts w:ascii="Times New Roman" w:hAnsi="Times New Roman" w:cs="Times New Roman"/>
        </w:rPr>
      </w:pPr>
    </w:p>
    <w:p w14:paraId="222DE3FD" w14:textId="425E16C7" w:rsidR="004B03A6" w:rsidRDefault="004B03A6" w:rsidP="003A4412">
      <w:pPr>
        <w:spacing w:line="360" w:lineRule="auto"/>
        <w:rPr>
          <w:rFonts w:ascii="Times New Roman" w:hAnsi="Times New Roman" w:cs="Times New Roman"/>
        </w:rPr>
      </w:pPr>
      <w:r>
        <w:rPr>
          <w:rFonts w:ascii="Times New Roman" w:hAnsi="Times New Roman" w:cs="Times New Roman"/>
        </w:rPr>
        <w:t xml:space="preserve">Nous avons mis en place </w:t>
      </w:r>
      <w:r w:rsidR="00027139">
        <w:rPr>
          <w:rFonts w:ascii="Times New Roman" w:hAnsi="Times New Roman" w:cs="Times New Roman"/>
        </w:rPr>
        <w:t xml:space="preserve">une manière de calculer la précision et l’accuracy de nos annotations </w:t>
      </w:r>
      <w:r w:rsidR="00965FB8">
        <w:rPr>
          <w:rFonts w:ascii="Times New Roman" w:hAnsi="Times New Roman" w:cs="Times New Roman"/>
        </w:rPr>
        <w:t xml:space="preserve">par </w:t>
      </w:r>
      <w:r w:rsidR="008D0CAE">
        <w:rPr>
          <w:rFonts w:ascii="Times New Roman" w:hAnsi="Times New Roman" w:cs="Times New Roman"/>
        </w:rPr>
        <w:t>entité</w:t>
      </w:r>
      <w:r w:rsidR="00620719">
        <w:rPr>
          <w:rFonts w:ascii="Times New Roman" w:hAnsi="Times New Roman" w:cs="Times New Roman"/>
        </w:rPr>
        <w:t>.</w:t>
      </w:r>
      <w:r w:rsidR="005E335D">
        <w:rPr>
          <w:rFonts w:ascii="Times New Roman" w:hAnsi="Times New Roman" w:cs="Times New Roman"/>
        </w:rPr>
        <w:t xml:space="preserve"> </w:t>
      </w:r>
      <w:r w:rsidR="00620719">
        <w:rPr>
          <w:rFonts w:ascii="Times New Roman" w:hAnsi="Times New Roman" w:cs="Times New Roman"/>
        </w:rPr>
        <w:t xml:space="preserve">Ayant eu des problèmes avec notre boucle for, nous n’avons pu la déployer pour nos prédictions. </w:t>
      </w:r>
      <w:r w:rsidR="00BB74F7">
        <w:rPr>
          <w:rFonts w:ascii="Times New Roman" w:hAnsi="Times New Roman" w:cs="Times New Roman"/>
        </w:rPr>
        <w:t>Nous avons</w:t>
      </w:r>
      <w:r w:rsidR="000F10C4">
        <w:rPr>
          <w:rFonts w:ascii="Times New Roman" w:hAnsi="Times New Roman" w:cs="Times New Roman"/>
        </w:rPr>
        <w:t xml:space="preserve"> donc fait le calcul manuellement </w:t>
      </w:r>
      <w:r w:rsidR="00FB711E">
        <w:rPr>
          <w:rFonts w:ascii="Times New Roman" w:hAnsi="Times New Roman" w:cs="Times New Roman"/>
        </w:rPr>
        <w:t xml:space="preserve">à partir de deux </w:t>
      </w:r>
      <w:r w:rsidR="00BA357B">
        <w:rPr>
          <w:rFonts w:ascii="Times New Roman" w:hAnsi="Times New Roman" w:cs="Times New Roman"/>
        </w:rPr>
        <w:t xml:space="preserve">extraits aléatoires de 15 </w:t>
      </w:r>
      <w:r w:rsidR="004C5D95">
        <w:rPr>
          <w:rFonts w:ascii="Times New Roman" w:hAnsi="Times New Roman" w:cs="Times New Roman"/>
        </w:rPr>
        <w:t xml:space="preserve">titres d’articles. </w:t>
      </w:r>
      <w:r w:rsidR="008D0CAE">
        <w:rPr>
          <w:rFonts w:ascii="Times New Roman" w:hAnsi="Times New Roman" w:cs="Times New Roman"/>
        </w:rPr>
        <w:t xml:space="preserve"> </w:t>
      </w:r>
    </w:p>
    <w:p w14:paraId="4C4DC97B" w14:textId="77777777" w:rsidR="003932B5" w:rsidRDefault="003932B5" w:rsidP="003932B5">
      <w:pPr>
        <w:spacing w:line="360" w:lineRule="auto"/>
        <w:rPr>
          <w:rFonts w:ascii="Times New Roman" w:hAnsi="Times New Roman" w:cs="Times New Roman"/>
        </w:rPr>
      </w:pPr>
      <w:r w:rsidRPr="001A6EEC">
        <w:rPr>
          <w:rFonts w:ascii="Times New Roman" w:hAnsi="Times New Roman" w:cs="Times New Roman"/>
          <w:noProof/>
        </w:rPr>
        <w:lastRenderedPageBreak/>
        <w:drawing>
          <wp:inline distT="0" distB="0" distL="0" distR="0" wp14:anchorId="4818D5AD" wp14:editId="0D448C18">
            <wp:extent cx="5756910" cy="4818380"/>
            <wp:effectExtent l="12700" t="12700" r="8890" b="7620"/>
            <wp:docPr id="2" name="Image 2" descr="Une image contenant texte, reçu,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 reçu, capture d’écran&#10;&#10;Description générée automatiquement"/>
                    <pic:cNvPicPr/>
                  </pic:nvPicPr>
                  <pic:blipFill>
                    <a:blip r:embed="rId10"/>
                    <a:stretch>
                      <a:fillRect/>
                    </a:stretch>
                  </pic:blipFill>
                  <pic:spPr>
                    <a:xfrm>
                      <a:off x="0" y="0"/>
                      <a:ext cx="5756910" cy="4818380"/>
                    </a:xfrm>
                    <a:prstGeom prst="rect">
                      <a:avLst/>
                    </a:prstGeom>
                    <a:ln>
                      <a:solidFill>
                        <a:schemeClr val="tx1"/>
                      </a:solidFill>
                    </a:ln>
                  </pic:spPr>
                </pic:pic>
              </a:graphicData>
            </a:graphic>
          </wp:inline>
        </w:drawing>
      </w:r>
    </w:p>
    <w:p w14:paraId="6A520092" w14:textId="162C425A" w:rsidR="003932B5" w:rsidRDefault="003932B5" w:rsidP="003932B5">
      <w:pPr>
        <w:spacing w:line="360" w:lineRule="auto"/>
        <w:rPr>
          <w:rFonts w:ascii="Times New Roman" w:hAnsi="Times New Roman" w:cs="Times New Roman"/>
        </w:rPr>
      </w:pPr>
    </w:p>
    <w:p w14:paraId="66ECCB0F" w14:textId="77777777" w:rsidR="003932B5" w:rsidRDefault="003932B5" w:rsidP="003932B5">
      <w:pPr>
        <w:spacing w:line="360" w:lineRule="auto"/>
        <w:rPr>
          <w:rFonts w:ascii="Times New Roman" w:hAnsi="Times New Roman" w:cs="Times New Roman"/>
        </w:rPr>
      </w:pPr>
      <w:r>
        <w:rPr>
          <w:rFonts w:ascii="Times New Roman" w:hAnsi="Times New Roman" w:cs="Times New Roman"/>
        </w:rPr>
        <w:t xml:space="preserve">Nous pensons toutefois avoir dans notre démarche quelque peu confondu l’apport d’une REN par rapport à du topic modelling. La précision de la REN ne pouvait en effet pas toujours correspondre thématiques que nous aurions souhaité encoder. </w:t>
      </w:r>
    </w:p>
    <w:p w14:paraId="2536FF7A" w14:textId="77777777" w:rsidR="003932B5" w:rsidRPr="009D4355" w:rsidRDefault="003932B5" w:rsidP="003932B5">
      <w:pPr>
        <w:spacing w:line="360" w:lineRule="auto"/>
        <w:rPr>
          <w:rFonts w:ascii="Times New Roman" w:hAnsi="Times New Roman" w:cs="Times New Roman"/>
        </w:rPr>
      </w:pPr>
    </w:p>
    <w:p w14:paraId="49F3BCEB" w14:textId="77777777" w:rsidR="003932B5" w:rsidRPr="005F373F" w:rsidRDefault="003932B5" w:rsidP="003932B5">
      <w:pPr>
        <w:pStyle w:val="Paragraphedeliste"/>
        <w:numPr>
          <w:ilvl w:val="0"/>
          <w:numId w:val="1"/>
        </w:numPr>
        <w:spacing w:line="360" w:lineRule="auto"/>
        <w:rPr>
          <w:rFonts w:ascii="Times New Roman" w:hAnsi="Times New Roman" w:cs="Times New Roman"/>
          <w:b/>
          <w:bCs/>
          <w:u w:val="single"/>
        </w:rPr>
      </w:pPr>
      <w:r w:rsidRPr="005F373F">
        <w:rPr>
          <w:rFonts w:ascii="Times New Roman" w:hAnsi="Times New Roman" w:cs="Times New Roman"/>
          <w:b/>
          <w:bCs/>
          <w:u w:val="single"/>
        </w:rPr>
        <w:t xml:space="preserve">Word Embeddings </w:t>
      </w:r>
    </w:p>
    <w:p w14:paraId="3BF8A719" w14:textId="69D386AC" w:rsidR="003932B5" w:rsidRDefault="003932B5" w:rsidP="00D63403">
      <w:pPr>
        <w:spacing w:line="360" w:lineRule="auto"/>
        <w:rPr>
          <w:rFonts w:ascii="Times New Roman" w:hAnsi="Times New Roman" w:cs="Times New Roman"/>
        </w:rPr>
      </w:pPr>
      <w:r>
        <w:rPr>
          <w:rFonts w:ascii="Times New Roman" w:hAnsi="Times New Roman" w:cs="Times New Roman"/>
        </w:rPr>
        <w:t>L’objectif dans cette partie était de vectoriser les mots de chaque revue pour en saisir les différences. Nous avons opté pour cette méthode en raison de son accessibilité et du fait que nous l’av</w:t>
      </w:r>
      <w:r w:rsidR="00B9025F">
        <w:rPr>
          <w:rFonts w:ascii="Times New Roman" w:hAnsi="Times New Roman" w:cs="Times New Roman"/>
        </w:rPr>
        <w:t>i</w:t>
      </w:r>
      <w:r>
        <w:rPr>
          <w:rFonts w:ascii="Times New Roman" w:hAnsi="Times New Roman" w:cs="Times New Roman"/>
        </w:rPr>
        <w:t>ons pratiquée en cours</w:t>
      </w:r>
      <w:r w:rsidR="00B9025F">
        <w:rPr>
          <w:rFonts w:ascii="Times New Roman" w:hAnsi="Times New Roman" w:cs="Times New Roman"/>
        </w:rPr>
        <w:t xml:space="preserve">, notamment avec M. Plancq. </w:t>
      </w:r>
      <w:r>
        <w:rPr>
          <w:rFonts w:ascii="Times New Roman" w:hAnsi="Times New Roman" w:cs="Times New Roman"/>
        </w:rPr>
        <w:t xml:space="preserve"> Pour cette deuxième partie, nous avons souhaité vectoriser </w:t>
      </w:r>
      <w:r w:rsidR="003C3094">
        <w:rPr>
          <w:rFonts w:ascii="Times New Roman" w:hAnsi="Times New Roman" w:cs="Times New Roman"/>
        </w:rPr>
        <w:t xml:space="preserve">les </w:t>
      </w:r>
      <w:r>
        <w:rPr>
          <w:rFonts w:ascii="Times New Roman" w:hAnsi="Times New Roman" w:cs="Times New Roman"/>
        </w:rPr>
        <w:t>mots de nos revues en comparant d’une part les 10 premières années des AHMC et AMN entre elles mais aussi aux années de la revue des Archives de médecine navale et coloniale. Cette démarche nous aurait permis de saisir les positions des mots en fonction de</w:t>
      </w:r>
      <w:r w:rsidR="00E03655">
        <w:rPr>
          <w:rFonts w:ascii="Times New Roman" w:hAnsi="Times New Roman" w:cs="Times New Roman"/>
        </w:rPr>
        <w:t xml:space="preserve">s revues et de </w:t>
      </w:r>
      <w:r w:rsidR="003F27DF">
        <w:rPr>
          <w:rFonts w:ascii="Times New Roman" w:hAnsi="Times New Roman" w:cs="Times New Roman"/>
        </w:rPr>
        <w:t xml:space="preserve">saisir lesquels étaient </w:t>
      </w:r>
      <w:r w:rsidR="009A0A12">
        <w:rPr>
          <w:rFonts w:ascii="Times New Roman" w:hAnsi="Times New Roman" w:cs="Times New Roman"/>
        </w:rPr>
        <w:t xml:space="preserve">les plus </w:t>
      </w:r>
      <w:r w:rsidR="00DB542D">
        <w:rPr>
          <w:rFonts w:ascii="Times New Roman" w:hAnsi="Times New Roman" w:cs="Times New Roman"/>
        </w:rPr>
        <w:t>couramment</w:t>
      </w:r>
      <w:r w:rsidR="00A372CA">
        <w:rPr>
          <w:rFonts w:ascii="Times New Roman" w:hAnsi="Times New Roman" w:cs="Times New Roman"/>
        </w:rPr>
        <w:t xml:space="preserve"> utilisés </w:t>
      </w:r>
      <w:r w:rsidR="003204A9">
        <w:rPr>
          <w:rFonts w:ascii="Times New Roman" w:hAnsi="Times New Roman" w:cs="Times New Roman"/>
        </w:rPr>
        <w:t xml:space="preserve">ensemble. </w:t>
      </w:r>
    </w:p>
    <w:p w14:paraId="72E2512B" w14:textId="6F50D2E8" w:rsidR="002D6B76" w:rsidRDefault="002D6B76" w:rsidP="00D63403">
      <w:pPr>
        <w:spacing w:line="360" w:lineRule="auto"/>
        <w:rPr>
          <w:rFonts w:ascii="Times New Roman" w:hAnsi="Times New Roman" w:cs="Times New Roman"/>
        </w:rPr>
      </w:pPr>
    </w:p>
    <w:p w14:paraId="4D2F3995" w14:textId="76615ADA" w:rsidR="003932B5" w:rsidRDefault="00263124" w:rsidP="00A512C6">
      <w:pPr>
        <w:spacing w:line="360" w:lineRule="auto"/>
        <w:rPr>
          <w:rFonts w:ascii="Times New Roman" w:hAnsi="Times New Roman" w:cs="Times New Roman"/>
        </w:rPr>
      </w:pPr>
      <w:r>
        <w:rPr>
          <w:rFonts w:ascii="Times New Roman" w:hAnsi="Times New Roman" w:cs="Times New Roman"/>
        </w:rPr>
        <w:lastRenderedPageBreak/>
        <w:t xml:space="preserve">Le premier </w:t>
      </w:r>
      <w:r w:rsidR="00D30F57">
        <w:rPr>
          <w:rFonts w:ascii="Times New Roman" w:hAnsi="Times New Roman" w:cs="Times New Roman"/>
        </w:rPr>
        <w:t>jupyter notebook</w:t>
      </w:r>
      <w:r w:rsidR="009838BD">
        <w:rPr>
          <w:rFonts w:ascii="Times New Roman" w:hAnsi="Times New Roman" w:cs="Times New Roman"/>
        </w:rPr>
        <w:t xml:space="preserve">, en tant qu’exploration des </w:t>
      </w:r>
      <w:r w:rsidR="00230537">
        <w:rPr>
          <w:rFonts w:ascii="Times New Roman" w:hAnsi="Times New Roman" w:cs="Times New Roman"/>
        </w:rPr>
        <w:t xml:space="preserve">textes par </w:t>
      </w:r>
      <w:r w:rsidR="00726AB7">
        <w:rPr>
          <w:rFonts w:ascii="Times New Roman" w:hAnsi="Times New Roman" w:cs="Times New Roman"/>
        </w:rPr>
        <w:t xml:space="preserve">matrices de mots, </w:t>
      </w:r>
      <w:r w:rsidR="00B943DD">
        <w:rPr>
          <w:rFonts w:ascii="Times New Roman" w:hAnsi="Times New Roman" w:cs="Times New Roman"/>
        </w:rPr>
        <w:t xml:space="preserve">fait dans ce </w:t>
      </w:r>
      <w:r w:rsidR="00465617">
        <w:rPr>
          <w:rFonts w:ascii="Times New Roman" w:hAnsi="Times New Roman" w:cs="Times New Roman"/>
        </w:rPr>
        <w:t>cadre-là</w:t>
      </w:r>
      <w:r w:rsidR="00B943DD">
        <w:rPr>
          <w:rFonts w:ascii="Times New Roman" w:hAnsi="Times New Roman" w:cs="Times New Roman"/>
        </w:rPr>
        <w:t xml:space="preserve"> </w:t>
      </w:r>
      <w:r w:rsidR="009E7044">
        <w:rPr>
          <w:rFonts w:ascii="Times New Roman" w:hAnsi="Times New Roman" w:cs="Times New Roman"/>
        </w:rPr>
        <w:t xml:space="preserve">office </w:t>
      </w:r>
      <w:r w:rsidR="00465617">
        <w:rPr>
          <w:rFonts w:ascii="Times New Roman" w:hAnsi="Times New Roman" w:cs="Times New Roman"/>
        </w:rPr>
        <w:t>d</w:t>
      </w:r>
      <w:r w:rsidR="00727F9C">
        <w:rPr>
          <w:rFonts w:ascii="Times New Roman" w:hAnsi="Times New Roman" w:cs="Times New Roman"/>
        </w:rPr>
        <w:t>’une première exploration</w:t>
      </w:r>
      <w:r w:rsidR="00933898">
        <w:rPr>
          <w:rFonts w:ascii="Times New Roman" w:hAnsi="Times New Roman" w:cs="Times New Roman"/>
        </w:rPr>
        <w:t xml:space="preserve"> du </w:t>
      </w:r>
      <w:r w:rsidR="00084BF8">
        <w:rPr>
          <w:rFonts w:ascii="Times New Roman" w:hAnsi="Times New Roman" w:cs="Times New Roman"/>
        </w:rPr>
        <w:t>texte</w:t>
      </w:r>
      <w:r w:rsidR="001F5EB8">
        <w:rPr>
          <w:rFonts w:ascii="Times New Roman" w:hAnsi="Times New Roman" w:cs="Times New Roman"/>
        </w:rPr>
        <w:t xml:space="preserve"> qu nous avions poursuivis </w:t>
      </w:r>
      <w:r w:rsidR="00455DD3">
        <w:rPr>
          <w:rFonts w:ascii="Times New Roman" w:hAnsi="Times New Roman" w:cs="Times New Roman"/>
        </w:rPr>
        <w:t xml:space="preserve">en Word2Vec. </w:t>
      </w:r>
    </w:p>
    <w:p w14:paraId="27C0D841" w14:textId="77777777" w:rsidR="003932B5" w:rsidRDefault="003932B5" w:rsidP="003932B5">
      <w:pPr>
        <w:spacing w:line="360" w:lineRule="auto"/>
        <w:rPr>
          <w:rFonts w:ascii="Times New Roman" w:hAnsi="Times New Roman" w:cs="Times New Roman"/>
        </w:rPr>
      </w:pPr>
    </w:p>
    <w:p w14:paraId="2C350843" w14:textId="77777777" w:rsidR="003932B5" w:rsidRPr="00257C09" w:rsidRDefault="003932B5" w:rsidP="003932B5">
      <w:pPr>
        <w:spacing w:line="360" w:lineRule="auto"/>
        <w:rPr>
          <w:rFonts w:ascii="Times New Roman" w:hAnsi="Times New Roman" w:cs="Times New Roman"/>
          <w:u w:val="single"/>
        </w:rPr>
      </w:pPr>
      <w:r w:rsidRPr="00257C09">
        <w:rPr>
          <w:rFonts w:ascii="Times New Roman" w:hAnsi="Times New Roman" w:cs="Times New Roman"/>
          <w:u w:val="single"/>
        </w:rPr>
        <w:t>Conclusion</w:t>
      </w:r>
    </w:p>
    <w:p w14:paraId="098AB33B" w14:textId="77777777" w:rsidR="003932B5" w:rsidRPr="004409A0" w:rsidRDefault="003932B5" w:rsidP="003932B5">
      <w:pPr>
        <w:spacing w:line="360" w:lineRule="auto"/>
        <w:rPr>
          <w:rFonts w:ascii="Times New Roman" w:hAnsi="Times New Roman" w:cs="Times New Roman"/>
        </w:rPr>
      </w:pPr>
      <w:r>
        <w:rPr>
          <w:rFonts w:ascii="Times New Roman" w:hAnsi="Times New Roman" w:cs="Times New Roman"/>
        </w:rPr>
        <w:t>Si mes tentatives n’ont pas pu aboutir en raison de maladresses techniques à des heures de travail peu recommandables, j’ai tout de même pu acquérir une meilleure compréhension des enjeux et fonctionnements de deux majeurs domaines du traitement automatique de la langue que sont la reconnaissance d’entités nommées et les word embeddings. Mon objectif pour le mémoire final de l’an prochain serait de réaliser pleinement ce que j’ai initié pour ce devoir (en m’assurant d’avoir des backups … évidemment ‼).</w:t>
      </w:r>
    </w:p>
    <w:p w14:paraId="290A9D73" w14:textId="77777777" w:rsidR="00A4733A" w:rsidRDefault="00A4733A"/>
    <w:sectPr w:rsidR="00A4733A" w:rsidSect="00B0407B">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E58909" w14:textId="77777777" w:rsidR="00D45FFE" w:rsidRDefault="00D45FFE" w:rsidP="003932B5">
      <w:r>
        <w:separator/>
      </w:r>
    </w:p>
  </w:endnote>
  <w:endnote w:type="continuationSeparator" w:id="0">
    <w:p w14:paraId="5FE13F13" w14:textId="77777777" w:rsidR="00D45FFE" w:rsidRDefault="00D45FFE" w:rsidP="003932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CJK SC Regular">
    <w:panose1 w:val="020B0604020202020204"/>
    <w:charset w:val="00"/>
    <w:family w:val="auto"/>
    <w:pitch w:val="variable"/>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A648F2" w14:textId="77777777" w:rsidR="00D45FFE" w:rsidRDefault="00D45FFE" w:rsidP="003932B5">
      <w:r>
        <w:separator/>
      </w:r>
    </w:p>
  </w:footnote>
  <w:footnote w:type="continuationSeparator" w:id="0">
    <w:p w14:paraId="720AE07C" w14:textId="77777777" w:rsidR="00D45FFE" w:rsidRDefault="00D45FFE" w:rsidP="003932B5">
      <w:r>
        <w:continuationSeparator/>
      </w:r>
    </w:p>
  </w:footnote>
  <w:footnote w:id="1">
    <w:p w14:paraId="5BAEE5B5" w14:textId="77777777" w:rsidR="003932B5" w:rsidRPr="00AA2EC6" w:rsidRDefault="003932B5" w:rsidP="003932B5">
      <w:pPr>
        <w:pStyle w:val="Notedebasdepage"/>
        <w:rPr>
          <w:rFonts w:ascii="Times New Roman" w:hAnsi="Times New Roman" w:cs="Times New Roman"/>
        </w:rPr>
      </w:pPr>
      <w:r w:rsidRPr="00B9018D">
        <w:rPr>
          <w:rStyle w:val="Appelnotedebasdep"/>
        </w:rPr>
        <w:footnoteRef/>
      </w:r>
      <w:r w:rsidRPr="00AA2EC6">
        <w:rPr>
          <w:rFonts w:ascii="Times New Roman" w:hAnsi="Times New Roman" w:cs="Times New Roman"/>
        </w:rPr>
        <w:t xml:space="preserve"> Pour des études plus précises sur l’histoire de ces «spécialités », voir </w:t>
      </w:r>
      <w:r w:rsidRPr="00AA2EC6">
        <w:rPr>
          <w:rFonts w:ascii="Times New Roman" w:hAnsi="Times New Roman" w:cs="Times New Roman"/>
        </w:rPr>
        <w:fldChar w:fldCharType="begin"/>
      </w:r>
      <w:r w:rsidRPr="00AA2EC6">
        <w:rPr>
          <w:rFonts w:ascii="Times New Roman" w:hAnsi="Times New Roman" w:cs="Times New Roman"/>
        </w:rPr>
        <w:instrText xml:space="preserve"> ADDIN ZOTERO_ITEM CSL_CITATION {"citationID":"Qw8xJ2RZ","properties":{"formattedCitation":"Laurence Monnais-Rousselot, {\\i{}Medecine et colonisation: l\\uc0\\u8217{}adventure indochinoise 1860-1939}, Paris, CNRS Editions, 1999, 489\\uc0\\u160{}p\\uc0\\u160{}; Helen Tilley, {\\i{}Africa as a living laboratory: empire, development, and the problem of scientific knowledge, 1870-1950}, Chicago, University of Chicago Press, 2011, 496\\uc0\\u160{}p\\uc0\\u160{}; Emmanuelle Sibeud, {\\i{}Une science imp\\uc0\\u233{}riale pour l\\uc0\\u8217{}Afrique? la construction des savoirs africanistes en France, 1878-1930}, Paris, Ecole des hautes \\uc0\\u233{}tudes en sciences sociales, 2002, 356\\uc0\\u160{}p.","plainCitation":"Laurence Monnais-Rousselot, Medecine et colonisation: l’adventure indochinoise 1860-1939, Paris, CNRS Editions, 1999, 489 p ; Helen Tilley, Africa as a living laboratory: empire, development, and the problem of scientific knowledge, 1870-1950, Chicago, University of Chicago Press, 2011, 496 p ; Emmanuelle Sibeud, Une science impériale pour l’Afrique? la construction des savoirs africanistes en France, 1878-1930, Paris, Ecole des hautes études en sciences sociales, 2002, 356 p.","noteIndex":1},"citationItems":[{"id":679,"uris":["http://zotero.org/users/4706789/items/WXJGN8SF"],"uri":["http://zotero.org/users/4706789/items/WXJGN8SF"],"itemData":{"id":679,"type":"book","call-number":"DS528.8.F8 M66 1999","collection-title":"CNRS histoire","event-place":"Paris","ISBN":"978-2-271-05657-3","number-of-pages":"489","publisher":"CNRS Editions","publisher-place":"Paris","source":"Library of Congress ISBN","title":"Medecine et colonisation: l'adventure indochinoise 1860-1939","title-short":"Medecine et colonisation","author":[{"family":"Monnais-Rousselot","given":"Laurence"}],"issued":{"date-parts":[["1999"]]}},"label":"page"},{"id":916,"uris":["http://zotero.org/users/4706789/items/8RYELJSG"],"uri":["http://zotero.org/users/4706789/items/8RYELJSG"],"itemData":{"id":916,"type":"book","call-number":"Q180.A5 T55 2011","event-place":"Chicago","ISBN":"978-0-226-80346-3","number-of-pages":"496","publisher":"University of Chicago Press","publisher-place":"Chicago","source":"Library of Congress ISBN","title":"Africa as a living laboratory: empire, development, and the problem of scientific knowledge, 1870-1950","title-short":"Africa as a living laboratory","author":[{"family":"Tilley","given":"Helen"}],"issued":{"date-parts":[["2011"]]}},"label":"page"},{"id":706,"uris":["http://zotero.org/users/4706789/items/RPG93YJ2"],"uri":["http://zotero.org/users/4706789/items/RPG93YJ2"],"itemData":{"id":706,"type":"book","call-number":"DT19 .S53 2002","collection-number":"97","collection-title":"Recherches d'histoire et de sciences sociales","event-place":"Paris","ISBN":"978-2-7132-1784-5","note":"OCLC: ocm52450186","number-of-pages":"356","publisher":"Ecole des hautes études en sciences sociales","publisher-place":"Paris","source":"Library of Congress ISBN","title":"Une science impériale pour l'Afrique? la construction des savoirs africanistes en France, 1878-1930","title-short":"Une science impériale pour l'Afrique?","author":[{"family":"Sibeud","given":"Emmanuelle"}],"issued":{"date-parts":[["2002"]]}},"label":"page"}],"schema":"https://github.com/citation-style-language/schema/raw/master/csl-citation.json"} </w:instrText>
      </w:r>
      <w:r w:rsidRPr="00AA2EC6">
        <w:rPr>
          <w:rFonts w:ascii="Times New Roman" w:hAnsi="Times New Roman" w:cs="Times New Roman"/>
        </w:rPr>
        <w:fldChar w:fldCharType="separate"/>
      </w:r>
      <w:r w:rsidRPr="00AA2EC6">
        <w:rPr>
          <w:rFonts w:ascii="Times New Roman" w:hAnsi="Times New Roman" w:cs="Times New Roman"/>
        </w:rPr>
        <w:t xml:space="preserve">Laurence Monnais-Rousselot, </w:t>
      </w:r>
      <w:r w:rsidRPr="00AA2EC6">
        <w:rPr>
          <w:rFonts w:ascii="Times New Roman" w:hAnsi="Times New Roman" w:cs="Times New Roman"/>
          <w:i/>
          <w:iCs/>
        </w:rPr>
        <w:t>Medecine et colonisation: l’adventure indochinoise 1860-1939</w:t>
      </w:r>
      <w:r w:rsidRPr="00AA2EC6">
        <w:rPr>
          <w:rFonts w:ascii="Times New Roman" w:hAnsi="Times New Roman" w:cs="Times New Roman"/>
        </w:rPr>
        <w:t xml:space="preserve">, Paris, CNRS Editions, 1999, 489 p ; Helen Tilley, </w:t>
      </w:r>
      <w:r w:rsidRPr="00AA2EC6">
        <w:rPr>
          <w:rFonts w:ascii="Times New Roman" w:hAnsi="Times New Roman" w:cs="Times New Roman"/>
          <w:i/>
          <w:iCs/>
        </w:rPr>
        <w:t>Africa as a living laboratory: empire, development, and the problem of scientific knowledge, 1870-1950</w:t>
      </w:r>
      <w:r w:rsidRPr="00AA2EC6">
        <w:rPr>
          <w:rFonts w:ascii="Times New Roman" w:hAnsi="Times New Roman" w:cs="Times New Roman"/>
        </w:rPr>
        <w:t xml:space="preserve">, Chicago, University of Chicago Press, 2011, 496 p ; Emmanuelle Sibeud, </w:t>
      </w:r>
      <w:r w:rsidRPr="00AA2EC6">
        <w:rPr>
          <w:rFonts w:ascii="Times New Roman" w:hAnsi="Times New Roman" w:cs="Times New Roman"/>
          <w:i/>
          <w:iCs/>
        </w:rPr>
        <w:t>Une science impériale pour l’Afrique? la construction des savoirs africanistes en France, 1878-1930</w:t>
      </w:r>
      <w:r w:rsidRPr="00AA2EC6">
        <w:rPr>
          <w:rFonts w:ascii="Times New Roman" w:hAnsi="Times New Roman" w:cs="Times New Roman"/>
        </w:rPr>
        <w:t>, Paris, Ecole des hautes études en sciences sociales, 2002, 356 p.</w:t>
      </w:r>
      <w:r w:rsidRPr="00AA2EC6">
        <w:rPr>
          <w:rFonts w:ascii="Times New Roman" w:hAnsi="Times New Roman" w:cs="Times New Roman"/>
        </w:rPr>
        <w:fldChar w:fldCharType="end"/>
      </w:r>
      <w:r w:rsidRPr="00AA2EC6">
        <w:rPr>
          <w:rFonts w:ascii="Times New Roman" w:hAnsi="Times New Roman" w:cs="Times New Roman"/>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E3305C"/>
    <w:multiLevelType w:val="hybridMultilevel"/>
    <w:tmpl w:val="72CA156E"/>
    <w:lvl w:ilvl="0" w:tplc="1AE4242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3"/>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2B5"/>
    <w:rsid w:val="0001337E"/>
    <w:rsid w:val="00017FE0"/>
    <w:rsid w:val="00027139"/>
    <w:rsid w:val="00072561"/>
    <w:rsid w:val="00084BF8"/>
    <w:rsid w:val="00097836"/>
    <w:rsid w:val="000C0395"/>
    <w:rsid w:val="000D37E5"/>
    <w:rsid w:val="000F10C4"/>
    <w:rsid w:val="001041C9"/>
    <w:rsid w:val="0011520C"/>
    <w:rsid w:val="001206F8"/>
    <w:rsid w:val="00125FA7"/>
    <w:rsid w:val="00144EE1"/>
    <w:rsid w:val="00176F25"/>
    <w:rsid w:val="001817EB"/>
    <w:rsid w:val="001833D8"/>
    <w:rsid w:val="00190085"/>
    <w:rsid w:val="00197AB3"/>
    <w:rsid w:val="001A710F"/>
    <w:rsid w:val="001B02E8"/>
    <w:rsid w:val="001B12B9"/>
    <w:rsid w:val="001B14E7"/>
    <w:rsid w:val="001B3E99"/>
    <w:rsid w:val="001B6304"/>
    <w:rsid w:val="001C3850"/>
    <w:rsid w:val="001D28DC"/>
    <w:rsid w:val="001F2A22"/>
    <w:rsid w:val="001F5EB8"/>
    <w:rsid w:val="002123CC"/>
    <w:rsid w:val="00225CA9"/>
    <w:rsid w:val="00230537"/>
    <w:rsid w:val="0025703D"/>
    <w:rsid w:val="00257C09"/>
    <w:rsid w:val="00263124"/>
    <w:rsid w:val="00266187"/>
    <w:rsid w:val="002736EE"/>
    <w:rsid w:val="00287569"/>
    <w:rsid w:val="002A2CCA"/>
    <w:rsid w:val="002A2FCC"/>
    <w:rsid w:val="002A72E9"/>
    <w:rsid w:val="002B1597"/>
    <w:rsid w:val="002B6C17"/>
    <w:rsid w:val="002C19BA"/>
    <w:rsid w:val="002D6B76"/>
    <w:rsid w:val="0030794C"/>
    <w:rsid w:val="003179FF"/>
    <w:rsid w:val="003204A9"/>
    <w:rsid w:val="00327D4F"/>
    <w:rsid w:val="00355BFA"/>
    <w:rsid w:val="0038301E"/>
    <w:rsid w:val="00387BBB"/>
    <w:rsid w:val="003912A2"/>
    <w:rsid w:val="003932B5"/>
    <w:rsid w:val="00397293"/>
    <w:rsid w:val="003A4412"/>
    <w:rsid w:val="003A6055"/>
    <w:rsid w:val="003A6215"/>
    <w:rsid w:val="003A7C0B"/>
    <w:rsid w:val="003C3094"/>
    <w:rsid w:val="003C372F"/>
    <w:rsid w:val="003C78B9"/>
    <w:rsid w:val="003D7E07"/>
    <w:rsid w:val="003F26DC"/>
    <w:rsid w:val="003F27DF"/>
    <w:rsid w:val="00416FD0"/>
    <w:rsid w:val="00431FFB"/>
    <w:rsid w:val="0044747D"/>
    <w:rsid w:val="00455DD3"/>
    <w:rsid w:val="00461C4D"/>
    <w:rsid w:val="004626D3"/>
    <w:rsid w:val="00465617"/>
    <w:rsid w:val="00466ADD"/>
    <w:rsid w:val="004907F8"/>
    <w:rsid w:val="00493958"/>
    <w:rsid w:val="004979DE"/>
    <w:rsid w:val="004B03A6"/>
    <w:rsid w:val="004C5D95"/>
    <w:rsid w:val="004E2D80"/>
    <w:rsid w:val="00511925"/>
    <w:rsid w:val="00517C58"/>
    <w:rsid w:val="00524685"/>
    <w:rsid w:val="00541C42"/>
    <w:rsid w:val="0054543D"/>
    <w:rsid w:val="005A17CA"/>
    <w:rsid w:val="005B1461"/>
    <w:rsid w:val="005E335D"/>
    <w:rsid w:val="00614B64"/>
    <w:rsid w:val="00620719"/>
    <w:rsid w:val="0062177F"/>
    <w:rsid w:val="00630AFC"/>
    <w:rsid w:val="00656E2C"/>
    <w:rsid w:val="00666341"/>
    <w:rsid w:val="00666D52"/>
    <w:rsid w:val="0067071A"/>
    <w:rsid w:val="006834EF"/>
    <w:rsid w:val="0068474C"/>
    <w:rsid w:val="0068527F"/>
    <w:rsid w:val="006870C6"/>
    <w:rsid w:val="006A3CB3"/>
    <w:rsid w:val="006A7BCF"/>
    <w:rsid w:val="006C0756"/>
    <w:rsid w:val="006D3542"/>
    <w:rsid w:val="00705712"/>
    <w:rsid w:val="007102F3"/>
    <w:rsid w:val="00717D26"/>
    <w:rsid w:val="00726AB7"/>
    <w:rsid w:val="00727F9C"/>
    <w:rsid w:val="0076243D"/>
    <w:rsid w:val="0077654E"/>
    <w:rsid w:val="00776D2E"/>
    <w:rsid w:val="00782914"/>
    <w:rsid w:val="007908CD"/>
    <w:rsid w:val="00797D0C"/>
    <w:rsid w:val="007A5E85"/>
    <w:rsid w:val="007F7CCA"/>
    <w:rsid w:val="008469DA"/>
    <w:rsid w:val="00854D9E"/>
    <w:rsid w:val="008725D7"/>
    <w:rsid w:val="00876963"/>
    <w:rsid w:val="00886B8C"/>
    <w:rsid w:val="00897269"/>
    <w:rsid w:val="008A29F4"/>
    <w:rsid w:val="008A3B18"/>
    <w:rsid w:val="008A3CE4"/>
    <w:rsid w:val="008B102C"/>
    <w:rsid w:val="008B186F"/>
    <w:rsid w:val="008C52FA"/>
    <w:rsid w:val="008D0CAE"/>
    <w:rsid w:val="00933898"/>
    <w:rsid w:val="00934C46"/>
    <w:rsid w:val="00946D97"/>
    <w:rsid w:val="00950B76"/>
    <w:rsid w:val="00965838"/>
    <w:rsid w:val="00965B1C"/>
    <w:rsid w:val="00965FB8"/>
    <w:rsid w:val="009670EE"/>
    <w:rsid w:val="0097785E"/>
    <w:rsid w:val="009838BD"/>
    <w:rsid w:val="009847B6"/>
    <w:rsid w:val="009850D8"/>
    <w:rsid w:val="0099192A"/>
    <w:rsid w:val="00993AF9"/>
    <w:rsid w:val="009A0A12"/>
    <w:rsid w:val="009A54F6"/>
    <w:rsid w:val="009C463D"/>
    <w:rsid w:val="009E0074"/>
    <w:rsid w:val="009E28CD"/>
    <w:rsid w:val="009E7044"/>
    <w:rsid w:val="009F4801"/>
    <w:rsid w:val="00A13201"/>
    <w:rsid w:val="00A372CA"/>
    <w:rsid w:val="00A45CE7"/>
    <w:rsid w:val="00A4733A"/>
    <w:rsid w:val="00A47536"/>
    <w:rsid w:val="00A47FF8"/>
    <w:rsid w:val="00A512C6"/>
    <w:rsid w:val="00A51AE6"/>
    <w:rsid w:val="00A546A9"/>
    <w:rsid w:val="00AA01B5"/>
    <w:rsid w:val="00AA1AA0"/>
    <w:rsid w:val="00AA673B"/>
    <w:rsid w:val="00AC34AB"/>
    <w:rsid w:val="00AC7175"/>
    <w:rsid w:val="00AE7C1A"/>
    <w:rsid w:val="00B0407B"/>
    <w:rsid w:val="00B06F4D"/>
    <w:rsid w:val="00B23602"/>
    <w:rsid w:val="00B47274"/>
    <w:rsid w:val="00B61469"/>
    <w:rsid w:val="00B81D1E"/>
    <w:rsid w:val="00B831AB"/>
    <w:rsid w:val="00B9025F"/>
    <w:rsid w:val="00B93C67"/>
    <w:rsid w:val="00B93FD1"/>
    <w:rsid w:val="00B943DD"/>
    <w:rsid w:val="00B96705"/>
    <w:rsid w:val="00BA0EEE"/>
    <w:rsid w:val="00BA117E"/>
    <w:rsid w:val="00BA357B"/>
    <w:rsid w:val="00BA6C8B"/>
    <w:rsid w:val="00BB74F7"/>
    <w:rsid w:val="00BE1AA5"/>
    <w:rsid w:val="00BF09F5"/>
    <w:rsid w:val="00C021FB"/>
    <w:rsid w:val="00C0593F"/>
    <w:rsid w:val="00C1225B"/>
    <w:rsid w:val="00C20F75"/>
    <w:rsid w:val="00C2371E"/>
    <w:rsid w:val="00C434A3"/>
    <w:rsid w:val="00C91630"/>
    <w:rsid w:val="00CB39AE"/>
    <w:rsid w:val="00CB42C0"/>
    <w:rsid w:val="00CE21BA"/>
    <w:rsid w:val="00CF791E"/>
    <w:rsid w:val="00D03367"/>
    <w:rsid w:val="00D23944"/>
    <w:rsid w:val="00D30F57"/>
    <w:rsid w:val="00D41BB6"/>
    <w:rsid w:val="00D45FFE"/>
    <w:rsid w:val="00D53D11"/>
    <w:rsid w:val="00D63403"/>
    <w:rsid w:val="00D652F4"/>
    <w:rsid w:val="00D8031C"/>
    <w:rsid w:val="00DA55B3"/>
    <w:rsid w:val="00DB542D"/>
    <w:rsid w:val="00DC2301"/>
    <w:rsid w:val="00DE573E"/>
    <w:rsid w:val="00DF2BF6"/>
    <w:rsid w:val="00DF31C9"/>
    <w:rsid w:val="00E03655"/>
    <w:rsid w:val="00E1069B"/>
    <w:rsid w:val="00E46153"/>
    <w:rsid w:val="00E46A48"/>
    <w:rsid w:val="00E61E4D"/>
    <w:rsid w:val="00E622FC"/>
    <w:rsid w:val="00E77EEE"/>
    <w:rsid w:val="00E915CF"/>
    <w:rsid w:val="00EA0502"/>
    <w:rsid w:val="00EA6FD9"/>
    <w:rsid w:val="00ED5CB8"/>
    <w:rsid w:val="00ED5F54"/>
    <w:rsid w:val="00F03A1E"/>
    <w:rsid w:val="00F04622"/>
    <w:rsid w:val="00F06C90"/>
    <w:rsid w:val="00F0717D"/>
    <w:rsid w:val="00F11423"/>
    <w:rsid w:val="00F20615"/>
    <w:rsid w:val="00F20FF2"/>
    <w:rsid w:val="00F406C0"/>
    <w:rsid w:val="00F53CD0"/>
    <w:rsid w:val="00F719DA"/>
    <w:rsid w:val="00F73D2B"/>
    <w:rsid w:val="00F852F9"/>
    <w:rsid w:val="00F93E22"/>
    <w:rsid w:val="00FA015E"/>
    <w:rsid w:val="00FA16DE"/>
    <w:rsid w:val="00FA1D22"/>
    <w:rsid w:val="00FB0BCB"/>
    <w:rsid w:val="00FB41B8"/>
    <w:rsid w:val="00FB711E"/>
    <w:rsid w:val="00FC1717"/>
    <w:rsid w:val="00FC6BE5"/>
  </w:rsids>
  <m:mathPr>
    <m:mathFont m:val="Cambria Math"/>
    <m:brkBin m:val="before"/>
    <m:brkBinSub m:val="--"/>
    <m:smallFrac m:val="0"/>
    <m:dispDef/>
    <m:lMargin m:val="0"/>
    <m:rMargin m:val="0"/>
    <m:defJc m:val="centerGroup"/>
    <m:wrapIndent m:val="1440"/>
    <m:intLim m:val="subSup"/>
    <m:naryLim m:val="undOvr"/>
  </m:mathPr>
  <w:themeFontLang w:val="fr-FR"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BC474"/>
  <w15:chartTrackingRefBased/>
  <w15:docId w15:val="{9A02DAB2-DE0B-A44D-BA79-AA43DC5F8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fr-FR"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32B5"/>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Informatique">
    <w:name w:val="Informatique"/>
    <w:basedOn w:val="Normal"/>
    <w:qFormat/>
    <w:rsid w:val="001817EB"/>
    <w:pPr>
      <w:suppressAutoHyphens/>
      <w:autoSpaceDN w:val="0"/>
      <w:jc w:val="both"/>
      <w:textAlignment w:val="baseline"/>
    </w:pPr>
    <w:rPr>
      <w:rFonts w:ascii="Courier New" w:eastAsia="Noto Sans CJK SC Regular" w:hAnsi="Courier New" w:cs="Courier New"/>
      <w:kern w:val="3"/>
      <w:sz w:val="22"/>
      <w:shd w:val="pct15" w:color="auto" w:fill="FFFFFF"/>
      <w:lang w:val="en-US" w:bidi="hi-IN"/>
    </w:rPr>
  </w:style>
  <w:style w:type="paragraph" w:styleId="Notedebasdepage">
    <w:name w:val="footnote text"/>
    <w:basedOn w:val="Normal"/>
    <w:link w:val="NotedebasdepageCar"/>
    <w:uiPriority w:val="99"/>
    <w:semiHidden/>
    <w:unhideWhenUsed/>
    <w:rsid w:val="003932B5"/>
    <w:rPr>
      <w:sz w:val="20"/>
      <w:szCs w:val="20"/>
    </w:rPr>
  </w:style>
  <w:style w:type="character" w:customStyle="1" w:styleId="NotedebasdepageCar">
    <w:name w:val="Note de bas de page Car"/>
    <w:basedOn w:val="Policepardfaut"/>
    <w:link w:val="Notedebasdepage"/>
    <w:uiPriority w:val="99"/>
    <w:semiHidden/>
    <w:rsid w:val="003932B5"/>
    <w:rPr>
      <w:sz w:val="20"/>
      <w:szCs w:val="20"/>
    </w:rPr>
  </w:style>
  <w:style w:type="character" w:styleId="Appelnotedebasdep">
    <w:name w:val="footnote reference"/>
    <w:basedOn w:val="Policepardfaut"/>
    <w:uiPriority w:val="99"/>
    <w:semiHidden/>
    <w:unhideWhenUsed/>
    <w:rsid w:val="003932B5"/>
    <w:rPr>
      <w:vertAlign w:val="superscript"/>
    </w:rPr>
  </w:style>
  <w:style w:type="paragraph" w:styleId="Paragraphedeliste">
    <w:name w:val="List Paragraph"/>
    <w:basedOn w:val="Normal"/>
    <w:uiPriority w:val="34"/>
    <w:qFormat/>
    <w:rsid w:val="003932B5"/>
    <w:pPr>
      <w:ind w:left="720"/>
      <w:contextualSpacing/>
    </w:pPr>
  </w:style>
  <w:style w:type="table" w:styleId="Grilledutableau">
    <w:name w:val="Table Grid"/>
    <w:basedOn w:val="TableauNormal"/>
    <w:uiPriority w:val="39"/>
    <w:rsid w:val="003932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8</Pages>
  <Words>1489</Words>
  <Characters>8192</Characters>
  <Application>Microsoft Office Word</Application>
  <DocSecurity>0</DocSecurity>
  <Lines>68</Lines>
  <Paragraphs>19</Paragraphs>
  <ScaleCrop>false</ScaleCrop>
  <Company/>
  <LinksUpToDate>false</LinksUpToDate>
  <CharactersWithSpaces>9662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Lily GRUMBACH</dc:creator>
  <cp:keywords/>
  <dc:description/>
  <cp:lastModifiedBy>Lily GRUMBACH</cp:lastModifiedBy>
  <cp:revision>267</cp:revision>
  <dcterms:created xsi:type="dcterms:W3CDTF">2021-06-07T18:56:00Z</dcterms:created>
  <dcterms:modified xsi:type="dcterms:W3CDTF">2021-06-07T20:02:00Z</dcterms:modified>
</cp:coreProperties>
</file>