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b w:val="0"/>
          <w:color w:val="auto"/>
          <w:sz w:val="24"/>
          <w:szCs w:val="24"/>
        </w:rPr>
        <w:id w:val="1919751005"/>
        <w:docPartObj>
          <w:docPartGallery w:val="Table of Contents"/>
          <w:docPartUnique/>
        </w:docPartObj>
      </w:sdtPr>
      <w:sdtEndPr>
        <w:rPr>
          <w:rFonts w:ascii="宋体" w:hAnsi="宋体" w:eastAsia="宋体" w:cstheme="minorBidi"/>
          <w:b w:val="0"/>
          <w:color w:val="auto"/>
          <w:sz w:val="24"/>
          <w:szCs w:val="24"/>
        </w:rPr>
      </w:sdtEndPr>
      <w:sdtContent>
        <w:p w14:paraId="6D4AE3F3">
          <w:pPr>
            <w:pStyle w:val="53"/>
          </w:pPr>
          <w:r>
            <w:rPr>
              <w:rFonts w:hint="eastAsia"/>
            </w:rPr>
            <w:t>目录</w:t>
          </w:r>
        </w:p>
        <w:p w14:paraId="03F47D05">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TOC \o "1-2" \h \z \u</w:instrText>
          </w:r>
          <w:r>
            <w:fldChar w:fldCharType="separate"/>
          </w:r>
          <w:r>
            <w:fldChar w:fldCharType="begin"/>
          </w:r>
          <w:r>
            <w:instrText xml:space="preserve"> HYPERLINK \l "_Toc233753507" </w:instrText>
          </w:r>
          <w:r>
            <w:fldChar w:fldCharType="separate"/>
          </w:r>
          <w:r>
            <w:rPr>
              <w:rStyle w:val="22"/>
            </w:rPr>
            <w:t>摘要</w:t>
          </w:r>
          <w:r>
            <w:tab/>
          </w:r>
          <w:r>
            <w:fldChar w:fldCharType="begin"/>
          </w:r>
          <w:r>
            <w:instrText xml:space="preserve"> PAGEREF _Toc233753507 \h </w:instrText>
          </w:r>
          <w:r>
            <w:fldChar w:fldCharType="separate"/>
          </w:r>
          <w:r>
            <w:t>2</w:t>
          </w:r>
          <w:r>
            <w:fldChar w:fldCharType="end"/>
          </w:r>
          <w:r>
            <w:fldChar w:fldCharType="end"/>
          </w:r>
        </w:p>
        <w:p w14:paraId="556CE223">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 HYPERLINK \l "_Toc233753508" </w:instrText>
          </w:r>
          <w:r>
            <w:fldChar w:fldCharType="separate"/>
          </w:r>
          <w:r>
            <w:rPr>
              <w:rStyle w:val="22"/>
            </w:rPr>
            <w:t>1. 引言</w:t>
          </w:r>
          <w:r>
            <w:tab/>
          </w:r>
          <w:r>
            <w:fldChar w:fldCharType="begin"/>
          </w:r>
          <w:r>
            <w:instrText xml:space="preserve"> PAGEREF _Toc233753508 \h </w:instrText>
          </w:r>
          <w:r>
            <w:fldChar w:fldCharType="separate"/>
          </w:r>
          <w:r>
            <w:t>2</w:t>
          </w:r>
          <w:r>
            <w:fldChar w:fldCharType="end"/>
          </w:r>
          <w:r>
            <w:fldChar w:fldCharType="end"/>
          </w:r>
        </w:p>
        <w:p w14:paraId="4D2C30D4">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 HYPERLINK \l "_Toc233753509" </w:instrText>
          </w:r>
          <w:r>
            <w:fldChar w:fldCharType="separate"/>
          </w:r>
          <w:r>
            <w:rPr>
              <w:rStyle w:val="22"/>
            </w:rPr>
            <w:t>2. 晶体结构与制备调控</w:t>
          </w:r>
          <w:r>
            <w:tab/>
          </w:r>
          <w:r>
            <w:fldChar w:fldCharType="begin"/>
          </w:r>
          <w:r>
            <w:instrText xml:space="preserve"> PAGEREF _Toc233753509 \h </w:instrText>
          </w:r>
          <w:r>
            <w:fldChar w:fldCharType="separate"/>
          </w:r>
          <w:r>
            <w:t>3</w:t>
          </w:r>
          <w:r>
            <w:fldChar w:fldCharType="end"/>
          </w:r>
          <w:r>
            <w:fldChar w:fldCharType="end"/>
          </w:r>
        </w:p>
        <w:p w14:paraId="335A263C">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"_Toc233753510" </w:instrText>
          </w:r>
          <w:r>
            <w:fldChar w:fldCharType="separate"/>
          </w:r>
          <w:r>
            <w:rPr>
              <w:rStyle w:val="22"/>
            </w:rPr>
            <w:t>2.1 有序相与无序相</w:t>
          </w:r>
          <w:r>
            <w:tab/>
          </w:r>
          <w:r>
            <w:fldChar w:fldCharType="begin"/>
          </w:r>
          <w:r>
            <w:instrText xml:space="preserve"> PAGEREF _Toc233753510 \h </w:instrText>
          </w:r>
          <w:r>
            <w:fldChar w:fldCharType="separate"/>
          </w:r>
          <w:r>
            <w:t>3</w:t>
          </w:r>
          <w:r>
            <w:fldChar w:fldCharType="end"/>
          </w:r>
          <w:r>
            <w:fldChar w:fldCharType="end"/>
          </w:r>
        </w:p>
        <w:p w14:paraId="247990E2">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"_Toc233753511" </w:instrText>
          </w:r>
          <w:r>
            <w:fldChar w:fldCharType="separate"/>
          </w:r>
          <w:r>
            <w:rPr>
              <w:rStyle w:val="22"/>
            </w:rPr>
            <w:t>2.2 制备路线对颗粒与界面的影响</w:t>
          </w:r>
          <w:r>
            <w:tab/>
          </w:r>
          <w:r>
            <w:fldChar w:fldCharType="begin"/>
          </w:r>
          <w:r>
            <w:instrText xml:space="preserve"> PAGEREF _Toc233753511 \h </w:instrText>
          </w:r>
          <w:r>
            <w:fldChar w:fldCharType="separate"/>
          </w:r>
          <w:r>
            <w:t>3</w:t>
          </w:r>
          <w:r>
            <w:fldChar w:fldCharType="end"/>
          </w:r>
          <w:r>
            <w:fldChar w:fldCharType="end"/>
          </w:r>
        </w:p>
        <w:p w14:paraId="66B7F3B5">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 HYPERLINK \l "_Toc233753512" </w:instrText>
          </w:r>
          <w:r>
            <w:fldChar w:fldCharType="separate"/>
          </w:r>
          <w:r>
            <w:rPr>
              <w:rStyle w:val="22"/>
            </w:rPr>
            <w:t>3. 失效机理</w:t>
          </w:r>
          <w:r>
            <w:tab/>
          </w:r>
          <w:r>
            <w:fldChar w:fldCharType="begin"/>
          </w:r>
          <w:r>
            <w:instrText xml:space="preserve"> PAGEREF _Toc233753512 \h </w:instrText>
          </w:r>
          <w:r>
            <w:fldChar w:fldCharType="separate"/>
          </w:r>
          <w:r>
            <w:t>4</w:t>
          </w:r>
          <w:r>
            <w:fldChar w:fldCharType="end"/>
          </w:r>
          <w:r>
            <w:fldChar w:fldCharType="end"/>
          </w:r>
        </w:p>
        <w:p w14:paraId="3A0D5D24">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"_Toc233753513" </w:instrText>
          </w:r>
          <w:r>
            <w:fldChar w:fldCharType="separate"/>
          </w:r>
          <w:r>
            <w:rPr>
              <w:rStyle w:val="22"/>
            </w:rPr>
            <w:t>3.1 高压电解液氧化与 CEI 增厚</w:t>
          </w:r>
          <w:r>
            <w:tab/>
          </w:r>
          <w:r>
            <w:fldChar w:fldCharType="begin"/>
          </w:r>
          <w:r>
            <w:instrText xml:space="preserve"> PAGEREF _Toc233753513 \h </w:instrText>
          </w:r>
          <w:r>
            <w:fldChar w:fldCharType="separate"/>
          </w:r>
          <w:r>
            <w:t>4</w:t>
          </w:r>
          <w:r>
            <w:fldChar w:fldCharType="end"/>
          </w:r>
          <w:r>
            <w:fldChar w:fldCharType="end"/>
          </w:r>
        </w:p>
        <w:p w14:paraId="2DBB079E">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"_Toc233753514" </w:instrText>
          </w:r>
          <w:r>
            <w:fldChar w:fldCharType="separate"/>
          </w:r>
          <w:r>
            <w:rPr>
              <w:rStyle w:val="22"/>
            </w:rPr>
            <w:t>3.2 锰溶出与负极副反应</w:t>
          </w:r>
          <w:r>
            <w:tab/>
          </w:r>
          <w:r>
            <w:fldChar w:fldCharType="begin"/>
          </w:r>
          <w:r>
            <w:instrText xml:space="preserve"> PAGEREF _Toc233753514 \h </w:instrText>
          </w:r>
          <w:r>
            <w:fldChar w:fldCharType="separate"/>
          </w:r>
          <w:r>
            <w:t>4</w:t>
          </w:r>
          <w:r>
            <w:fldChar w:fldCharType="end"/>
          </w:r>
          <w:r>
            <w:fldChar w:fldCharType="end"/>
          </w:r>
        </w:p>
        <w:p w14:paraId="7B20148F">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"_Toc233753515" </w:instrText>
          </w:r>
          <w:r>
            <w:fldChar w:fldCharType="separate"/>
          </w:r>
          <w:r>
            <w:rPr>
              <w:rStyle w:val="22"/>
            </w:rPr>
            <w:t>3.3 机械应力、微裂纹与新鲜界面暴露</w:t>
          </w:r>
          <w:r>
            <w:tab/>
          </w:r>
          <w:r>
            <w:fldChar w:fldCharType="begin"/>
          </w:r>
          <w:r>
            <w:instrText xml:space="preserve"> PAGEREF _Toc233753515 \h </w:instrText>
          </w:r>
          <w:r>
            <w:fldChar w:fldCharType="separate"/>
          </w:r>
          <w:r>
            <w:t>4</w:t>
          </w:r>
          <w:r>
            <w:fldChar w:fldCharType="end"/>
          </w:r>
          <w:r>
            <w:fldChar w:fldCharType="end"/>
          </w:r>
        </w:p>
        <w:p w14:paraId="18C19BD3">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 HYPERLINK \l "_Toc233753516" </w:instrText>
          </w:r>
          <w:r>
            <w:fldChar w:fldCharType="separate"/>
          </w:r>
          <w:r>
            <w:rPr>
              <w:rStyle w:val="22"/>
            </w:rPr>
            <w:t>4. 改性策略研究进展</w:t>
          </w:r>
          <w:r>
            <w:tab/>
          </w:r>
          <w:r>
            <w:fldChar w:fldCharType="begin"/>
          </w:r>
          <w:r>
            <w:instrText xml:space="preserve"> PAGEREF _Toc233753516 \h </w:instrText>
          </w:r>
          <w:r>
            <w:fldChar w:fldCharType="separate"/>
          </w:r>
          <w:r>
            <w:t>5</w:t>
          </w:r>
          <w:r>
            <w:fldChar w:fldCharType="end"/>
          </w:r>
          <w:r>
            <w:fldChar w:fldCharType="end"/>
          </w:r>
        </w:p>
        <w:p w14:paraId="5683BA74">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"_Toc233753517" </w:instrText>
          </w:r>
          <w:r>
            <w:fldChar w:fldCharType="separate"/>
          </w:r>
          <w:r>
            <w:rPr>
              <w:rStyle w:val="22"/>
            </w:rPr>
            <w:t>4.1 体相掺杂</w:t>
          </w:r>
          <w:r>
            <w:tab/>
          </w:r>
          <w:r>
            <w:fldChar w:fldCharType="begin"/>
          </w:r>
          <w:r>
            <w:instrText xml:space="preserve"> PAGEREF _Toc233753517 \h </w:instrText>
          </w:r>
          <w:r>
            <w:fldChar w:fldCharType="separate"/>
          </w:r>
          <w:r>
            <w:t>5</w:t>
          </w:r>
          <w:r>
            <w:fldChar w:fldCharType="end"/>
          </w:r>
          <w:r>
            <w:fldChar w:fldCharType="end"/>
          </w:r>
        </w:p>
        <w:p w14:paraId="1694D4F3">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"_Toc233753518" </w:instrText>
          </w:r>
          <w:r>
            <w:fldChar w:fldCharType="separate"/>
          </w:r>
          <w:r>
            <w:rPr>
              <w:rStyle w:val="22"/>
            </w:rPr>
            <w:t>4.2 表面包覆与界面工程</w:t>
          </w:r>
          <w:r>
            <w:tab/>
          </w:r>
          <w:r>
            <w:fldChar w:fldCharType="begin"/>
          </w:r>
          <w:r>
            <w:instrText xml:space="preserve"> PAGEREF _Toc233753518 \h </w:instrText>
          </w:r>
          <w:r>
            <w:fldChar w:fldCharType="separate"/>
          </w:r>
          <w:r>
            <w:t>5</w:t>
          </w:r>
          <w:r>
            <w:fldChar w:fldCharType="end"/>
          </w:r>
          <w:r>
            <w:fldChar w:fldCharType="end"/>
          </w:r>
        </w:p>
        <w:p w14:paraId="66BA3BD3">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"_Toc233753519" </w:instrText>
          </w:r>
          <w:r>
            <w:fldChar w:fldCharType="separate"/>
          </w:r>
          <w:r>
            <w:rPr>
              <w:rStyle w:val="22"/>
            </w:rPr>
            <w:t>4.3 电解液协同优化</w:t>
          </w:r>
          <w:r>
            <w:tab/>
          </w:r>
          <w:r>
            <w:fldChar w:fldCharType="begin"/>
          </w:r>
          <w:r>
            <w:instrText xml:space="preserve"> PAGEREF _Toc233753519 \h </w:instrText>
          </w:r>
          <w:r>
            <w:fldChar w:fldCharType="separate"/>
          </w:r>
          <w:r>
            <w:t>6</w:t>
          </w:r>
          <w:r>
            <w:fldChar w:fldCharType="end"/>
          </w:r>
          <w:r>
            <w:fldChar w:fldCharType="end"/>
          </w:r>
        </w:p>
        <w:p w14:paraId="11960DC8">
          <w:pPr>
            <w:pStyle w:val="19"/>
            <w:tabs>
              <w:tab w:val="right" w:leader="dot" w:pos="8302"/>
            </w:tabs>
            <w:ind w:left="480"/>
            <w:rPr>
              <w:rFonts w:asciiTheme="minorHAnsi" w:hAnsiTheme="minorHAnsi" w:eastAsiaTheme="minorEastAsia"/>
              <w:kern w:val="2"/>
              <w:sz w:val="22"/>
              <w14:ligatures w14:val="standardContextual"/>
            </w:rPr>
          </w:pPr>
          <w:r>
            <w:fldChar w:fldCharType="begin"/>
          </w:r>
          <w:r>
            <w:instrText xml:space="preserve"> HYPERLINK \l "_Toc233753520" </w:instrText>
          </w:r>
          <w:r>
            <w:fldChar w:fldCharType="separate"/>
          </w:r>
          <w:r>
            <w:rPr>
              <w:rStyle w:val="22"/>
            </w:rPr>
            <w:t>4.4 主要改性策略对比</w:t>
          </w:r>
          <w:r>
            <w:tab/>
          </w:r>
          <w:r>
            <w:fldChar w:fldCharType="begin"/>
          </w:r>
          <w:r>
            <w:instrText xml:space="preserve"> PAGEREF _Toc233753520 \h </w:instrText>
          </w:r>
          <w:r>
            <w:fldChar w:fldCharType="separate"/>
          </w:r>
          <w:r>
            <w:t>6</w:t>
          </w:r>
          <w:r>
            <w:fldChar w:fldCharType="end"/>
          </w:r>
          <w:r>
            <w:fldChar w:fldCharType="end"/>
          </w:r>
        </w:p>
        <w:p w14:paraId="449B7C5C">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 HYPERLINK \l "_Toc233753521" </w:instrText>
          </w:r>
          <w:r>
            <w:fldChar w:fldCharType="separate"/>
          </w:r>
          <w:r>
            <w:rPr>
              <w:rStyle w:val="22"/>
            </w:rPr>
            <w:t>5. 工程化展望</w:t>
          </w:r>
          <w:r>
            <w:tab/>
          </w:r>
          <w:r>
            <w:fldChar w:fldCharType="begin"/>
          </w:r>
          <w:r>
            <w:instrText xml:space="preserve"> PAGEREF _Toc233753521 \h </w:instrText>
          </w:r>
          <w:r>
            <w:fldChar w:fldCharType="separate"/>
          </w:r>
          <w:r>
            <w:t>7</w:t>
          </w:r>
          <w:r>
            <w:fldChar w:fldCharType="end"/>
          </w:r>
          <w:r>
            <w:fldChar w:fldCharType="end"/>
          </w:r>
        </w:p>
        <w:p w14:paraId="1BFEB2EF">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 HYPERLINK \l "_Toc233753522" </w:instrText>
          </w:r>
          <w:r>
            <w:fldChar w:fldCharType="separate"/>
          </w:r>
          <w:r>
            <w:rPr>
              <w:rStyle w:val="22"/>
            </w:rPr>
            <w:t>6. 结论</w:t>
          </w:r>
          <w:r>
            <w:tab/>
          </w:r>
          <w:r>
            <w:fldChar w:fldCharType="begin"/>
          </w:r>
          <w:r>
            <w:instrText xml:space="preserve"> PAGEREF _Toc233753522 \h </w:instrText>
          </w:r>
          <w:r>
            <w:fldChar w:fldCharType="separate"/>
          </w:r>
          <w:r>
            <w:t>7</w:t>
          </w:r>
          <w:r>
            <w:fldChar w:fldCharType="end"/>
          </w:r>
          <w:r>
            <w:fldChar w:fldCharType="end"/>
          </w:r>
        </w:p>
        <w:p w14:paraId="152348AD">
          <w:pPr>
            <w:pStyle w:val="16"/>
            <w:tabs>
              <w:tab w:val="right" w:leader="dot" w:pos="8302"/>
            </w:tabs>
            <w:rPr>
              <w:rFonts w:asciiTheme="minorHAnsi" w:hAnsiTheme="minorHAnsi" w:eastAsiaTheme="minorEastAsia"/>
              <w:kern w:val="2"/>
              <w:sz w:val="22"/>
              <w14:ligatures w14:val="standardContextual"/>
            </w:rPr>
          </w:pPr>
          <w:r>
            <w:fldChar w:fldCharType="begin"/>
          </w:r>
          <w:r>
            <w:instrText xml:space="preserve"> HYPERLINK \l "_Toc233753523" </w:instrText>
          </w:r>
          <w:r>
            <w:fldChar w:fldCharType="separate"/>
          </w:r>
          <w:r>
            <w:rPr>
              <w:rStyle w:val="22"/>
            </w:rPr>
            <w:t>7. 参考文献</w:t>
          </w:r>
          <w:r>
            <w:tab/>
          </w:r>
          <w:r>
            <w:fldChar w:fldCharType="begin"/>
          </w:r>
          <w:r>
            <w:instrText xml:space="preserve"> PAGEREF _Toc233753523 \h </w:instrText>
          </w:r>
          <w:r>
            <w:fldChar w:fldCharType="separate"/>
          </w:r>
          <w:r>
            <w:t>8</w:t>
          </w:r>
          <w:r>
            <w:fldChar w:fldCharType="end"/>
          </w:r>
          <w:r>
            <w:fldChar w:fldCharType="end"/>
          </w:r>
        </w:p>
        <w:p w14:paraId="21696301">
          <w:r>
            <w:fldChar w:fldCharType="end"/>
          </w:r>
        </w:p>
      </w:sdtContent>
    </w:sdt>
    <w:p w14:paraId="6307E884">
      <w:r>
        <w:br w:type="page"/>
      </w:r>
    </w:p>
    <w:p w14:paraId="416FF0E9">
      <w:pPr>
        <w:pStyle w:val="2"/>
        <w:spacing w:before="200" w:after="120"/>
      </w:pPr>
      <w:bookmarkStart w:id="0" w:name="_Toc233753507"/>
      <w:bookmarkStart w:id="1" w:name="摘要"/>
      <w:r>
        <w:rPr>
          <w:rFonts w:hint="eastAsia"/>
        </w:rPr>
        <w:t>摘要</w:t>
      </w:r>
      <w:bookmarkEnd w:id="0"/>
    </w:p>
    <w:p w14:paraId="7E79F621">
      <w:pPr>
        <w:pStyle w:val="25"/>
        <w:spacing w:line="360" w:lineRule="auto"/>
        <w:ind w:firstLine="480"/>
      </w:pPr>
      <w:r>
        <w:rPr>
          <w:rFonts w:hint="eastAsia"/>
        </w:rPr>
        <w:t>尖晶石型</w:t>
      </w:r>
      <w:r>
        <w:t xml:space="preserve"> </w:t>
      </w:r>
      <m:oMath>
        <m:sSub>
          <m:sSubPr>
            <m:ctrlPr>
              <w:rPr>
                <w:rFonts w:ascii="Cambria Math" w:hAnsi="Cambria Math"/>
              </w:rPr>
            </m:ctrlPr>
          </m:sSubPr>
          <m:e>
            <m:r>
              <m:rPr>
                <m:nor/>
                <m:sty m:val="p"/>
              </m:rPr>
              <w:rPr>
                <w:b w:val="0"/>
                <w:i w:val="0"/>
              </w:rPr>
              <m:t>LiNi</m:t>
            </m:r>
            <m:ctrlPr>
              <w:rPr>
                <w:rFonts w:ascii="Cambria Math" w:hAnsi="Cambria Math"/>
              </w:rPr>
            </m:ctrlPr>
          </m:e>
          <m:sub>
            <m:r>
              <m:rPr/>
              <w:rPr>
                <w:rFonts w:ascii="Cambria Math" w:hAnsi="Cambria Math"/>
              </w:rPr>
              <m:t>0.5</m:t>
            </m:r>
            <m:ctrlPr>
              <w:rPr>
                <w:rFonts w:ascii="Cambria Math" w:hAnsi="Cambria Math"/>
              </w:rPr>
            </m:ctrlPr>
          </m:sub>
        </m:sSub>
        <m:sSub>
          <m:sSubPr>
            <m:ctrlPr>
              <w:rPr>
                <w:rFonts w:ascii="Cambria Math" w:hAnsi="Cambria Math"/>
              </w:rPr>
            </m:ctrlPr>
          </m:sSubPr>
          <m:e>
            <m:r>
              <m:rPr>
                <m:nor/>
                <m:sty m:val="p"/>
              </m:rPr>
              <w:rPr>
                <w:b w:val="0"/>
                <w:i w:val="0"/>
              </w:rPr>
              <m:t>Mn</m:t>
            </m:r>
            <m:ctrlPr>
              <w:rPr>
                <w:rFonts w:ascii="Cambria Math" w:hAnsi="Cambria Math"/>
              </w:rPr>
            </m:ctrlPr>
          </m:e>
          <m:sub>
            <m:r>
              <m:rPr/>
              <w:rPr>
                <w:rFonts w:ascii="Cambria Math" w:hAnsi="Cambria Math"/>
              </w:rPr>
              <m:t>1.5</m:t>
            </m:r>
            <m:ctrlPr>
              <w:rPr>
                <w:rFonts w:ascii="Cambria Math" w:hAnsi="Cambria Math"/>
              </w:rPr>
            </m:ctrlPr>
          </m:sub>
        </m:sSub>
        <m:sSub>
          <m:sSubPr>
            <m:ctrlPr>
              <w:rPr>
                <w:rFonts w:ascii="Cambria Math" w:hAnsi="Cambria Math"/>
              </w:rPr>
            </m:ctrlPr>
          </m:sSubPr>
          <m:e>
            <m:r>
              <m:rPr>
                <m:nor/>
                <m:sty m:val="p"/>
              </m:rPr>
              <w:rPr>
                <w:b w:val="0"/>
                <w:i w:val="0"/>
              </w:rPr>
              <m:t>O</m:t>
            </m:r>
            <m:ctrlPr>
              <w:rPr>
                <w:rFonts w:ascii="Cambria Math" w:hAnsi="Cambria Math"/>
              </w:rPr>
            </m:ctrlPr>
          </m:e>
          <m:sub>
            <m:r>
              <m:rPr/>
              <w:rPr>
                <w:rFonts w:ascii="Cambria Math" w:hAnsi="Cambria Math"/>
              </w:rPr>
              <m:t>4</m:t>
            </m:r>
            <m:ctrlPr>
              <w:rPr>
                <w:rFonts w:ascii="Cambria Math" w:hAnsi="Cambria Math"/>
              </w:rPr>
            </m:ctrlPr>
          </m:sub>
        </m:sSub>
      </m:oMath>
      <w:r>
        <w:rPr>
          <w:rFonts w:hint="eastAsia"/>
        </w:rPr>
        <w:t>（LNMO）因具备约</w:t>
      </w:r>
      <w:r>
        <w:t xml:space="preserve"> 4.7 V </w:t>
      </w:r>
      <w:r>
        <w:rPr>
          <w:rFonts w:hint="eastAsia"/>
        </w:rPr>
        <w:t>的高电压平台、147</w:t>
      </w:r>
      <w:r>
        <w:t xml:space="preserve"> mAh/g </w:t>
      </w:r>
      <w:r>
        <w:rPr>
          <w:rFonts w:hint="eastAsia"/>
        </w:rPr>
        <w:t>的理论比容量和无钴化组成，被认为是面向高比能锂离子电池的重要候选正极材料。与层状高镍三元材料相比，LNMO</w:t>
      </w:r>
      <w:r>
        <w:t xml:space="preserve"> </w:t>
      </w:r>
      <w:r>
        <w:rPr>
          <w:rFonts w:hint="eastAsia"/>
        </w:rPr>
        <w:t>的资源约束较小，三维锂离子扩散通道也有利于倍率性能发挥；但其高电压工作条件会加速电解液氧化分解、界面膜增厚、过渡金属溶出和颗粒微裂纹扩展，导致循环容量保持率和全电池寿命下降。本文以文献综述为主体，围绕</w:t>
      </w:r>
      <w:r>
        <w:t xml:space="preserve"> LNMO </w:t>
      </w:r>
      <w:r>
        <w:rPr>
          <w:rFonts w:hint="eastAsia"/>
        </w:rPr>
        <w:t>的晶体结构、制备工艺、失效机理和改性策略展开分析，重点讨论有序/无序相调控、颗粒形貌设计、体相掺杂、表面包覆和电解液协同优化对电化学性能的影响。综述表明，单一改性策略难以同时解决结构稳定性、界面稳定性和离子/电子传输问题，未来更可行的方向是将前驱体均匀化制备、晶界工程、适度元素掺杂和高压电解液成膜策略进行协同设计。</w:t>
      </w:r>
    </w:p>
    <w:bookmarkEnd w:id="1"/>
    <w:p w14:paraId="447E1D5F">
      <w:pPr>
        <w:pStyle w:val="2"/>
        <w:spacing w:before="200" w:after="120"/>
      </w:pPr>
      <w:bookmarkStart w:id="2" w:name="_Toc233753508"/>
      <w:bookmarkStart w:id="3" w:name="引言"/>
    </w:p>
    <w:p w14:paraId="7BA627D3">
      <w:pPr>
        <w:pStyle w:val="2"/>
        <w:spacing w:before="200" w:after="120"/>
      </w:pPr>
      <w:r>
        <w:t xml:space="preserve">1. </w:t>
      </w:r>
      <w:r>
        <w:rPr>
          <w:rFonts w:hint="eastAsia"/>
        </w:rPr>
        <w:t>引言</w:t>
      </w:r>
      <w:bookmarkEnd w:id="2"/>
    </w:p>
    <w:p w14:paraId="3052C67C">
      <w:pPr>
        <w:pStyle w:val="25"/>
        <w:numPr>
          <w:ilvl w:val="0"/>
          <w:numId w:val="0"/>
        </w:numPr>
        <w:ind w:leftChars="0" w:firstLine="480" w:firstLineChars="200"/>
      </w:pPr>
      <w:r>
        <w:rPr>
          <w:rFonts w:hint="eastAsia"/>
        </w:rPr>
        <w:t>动力电池和规模储能对高能量密度、低成本和高安全性的需求推动了无钴正极材料的发展。LNMO</w:t>
      </w:r>
      <w:r>
        <w:t xml:space="preserve"> </w:t>
      </w:r>
      <w:r>
        <w:rPr>
          <w:rFonts w:hint="eastAsia"/>
        </w:rPr>
        <w:t>属于</w:t>
      </w:r>
      <w:r>
        <w:t xml:space="preserve"> 5 V </w:t>
      </w:r>
      <w:r>
        <w:rPr>
          <w:rFonts w:hint="eastAsia"/>
        </w:rPr>
        <w:t>级尖晶石正极，其主要容量来自</w:t>
      </w:r>
      <w:r>
        <w:t xml:space="preserve"> </w:t>
      </w:r>
      <m:oMath>
        <m:sSup>
          <m:sSupPr>
            <m:ctrlPr>
              <w:rPr>
                <w:rFonts w:ascii="Cambria Math" w:hAnsi="Cambria Math"/>
              </w:rPr>
            </m:ctrlPr>
          </m:sSupPr>
          <m:e>
            <m:r>
              <m:rPr>
                <m:nor/>
                <m:sty m:val="p"/>
              </m:rPr>
              <w:rPr>
                <w:b w:val="0"/>
                <w:i w:val="0"/>
              </w:rPr>
              <m:t>Ni</m:t>
            </m:r>
            <m:ctrlPr>
              <w:rPr>
                <w:rFonts w:ascii="Cambria Math" w:hAnsi="Cambria Math"/>
              </w:rPr>
            </m:ctrlPr>
          </m:e>
          <m:sup>
            <m:r>
              <m:rPr/>
              <w:rPr>
                <w:rFonts w:ascii="Cambria Math" w:hAnsi="Cambria Math"/>
              </w:rPr>
              <m:t>2</m:t>
            </m:r>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nor/>
                <m:sty m:val="p"/>
              </m:rPr>
              <w:rPr>
                <w:b w:val="0"/>
                <w:i w:val="0"/>
              </w:rPr>
              <m:t>Ni</m:t>
            </m:r>
            <m:ctrlPr>
              <w:rPr>
                <w:rFonts w:ascii="Cambria Math" w:hAnsi="Cambria Math"/>
              </w:rPr>
            </m:ctrlPr>
          </m:e>
          <m:sup>
            <m:r>
              <m:rPr/>
              <w:rPr>
                <w:rFonts w:ascii="Cambria Math" w:hAnsi="Cambria Math"/>
              </w:rPr>
              <m:t>4</m:t>
            </m:r>
            <m:r>
              <m:rPr>
                <m:sty m:val="p"/>
              </m:rPr>
              <w:rPr>
                <w:rFonts w:ascii="Cambria Math" w:hAnsi="Cambria Math"/>
              </w:rPr>
              <m:t>+</m:t>
            </m:r>
            <m:ctrlPr>
              <w:rPr>
                <w:rFonts w:ascii="Cambria Math" w:hAnsi="Cambria Math"/>
              </w:rPr>
            </m:ctrlPr>
          </m:sup>
        </m:sSup>
      </m:oMath>
      <w:r>
        <w:t xml:space="preserve"> </w:t>
      </w:r>
      <w:r>
        <w:rPr>
          <w:rFonts w:hint="eastAsia"/>
        </w:rPr>
        <w:t>氧化还原反应，工作电压明显高于常规</w:t>
      </w:r>
      <w:r>
        <w:t xml:space="preserve"> </w:t>
      </w:r>
      <m:oMath>
        <m:sSub>
          <m:sSubPr>
            <m:ctrlPr>
              <w:rPr>
                <w:rFonts w:ascii="Cambria Math" w:hAnsi="Cambria Math"/>
              </w:rPr>
            </m:ctrlPr>
          </m:sSubPr>
          <m:e>
            <m:r>
              <m:rPr>
                <m:nor/>
                <m:sty m:val="p"/>
              </m:rPr>
              <w:rPr>
                <w:b w:val="0"/>
                <w:i w:val="0"/>
              </w:rPr>
              <m:t>LiFePO</m:t>
            </m:r>
            <m:ctrlPr>
              <w:rPr>
                <w:rFonts w:ascii="Cambria Math" w:hAnsi="Cambria Math"/>
              </w:rPr>
            </m:ctrlPr>
          </m:e>
          <m:sub>
            <m:r>
              <m:rPr/>
              <w:rPr>
                <w:rFonts w:ascii="Cambria Math" w:hAnsi="Cambria Math"/>
              </w:rPr>
              <m:t>4</m:t>
            </m:r>
            <m:ctrlPr>
              <w:rPr>
                <w:rFonts w:ascii="Cambria Math" w:hAnsi="Cambria Math"/>
              </w:rPr>
            </m:ctrlPr>
          </m:sub>
        </m:sSub>
      </m:oMath>
      <w:r>
        <w:t xml:space="preserve"> </w:t>
      </w:r>
      <w:r>
        <w:rPr>
          <w:rFonts w:hint="eastAsia"/>
        </w:rPr>
        <w:t>和多数层状氧化物正极，因此能够在相近容量条件下提高材料级能量输出</w:t>
      </w:r>
      <w:r>
        <w:rPr>
          <w:rFonts w:hint="eastAsia"/>
          <w:vertAlign w:val="superscript"/>
        </w:rPr>
        <w:t>[1]</w:t>
      </w:r>
      <w:r>
        <w:rPr>
          <w:rFonts w:hint="eastAsia"/>
        </w:rPr>
        <w:t>。同时，LNMO</w:t>
      </w:r>
      <w:r>
        <w:t xml:space="preserve"> </w:t>
      </w:r>
      <w:r>
        <w:rPr>
          <w:rFonts w:hint="eastAsia"/>
        </w:rPr>
        <w:t>不含钴，镍和锰的资源可得性较好，这使其在成本与供应链稳定性方面具有吸引力</w:t>
      </w:r>
      <w:r>
        <w:rPr>
          <w:rFonts w:hint="eastAsia"/>
          <w:vertAlign w:val="superscript"/>
        </w:rPr>
        <w:t>[1,2]</w:t>
      </w:r>
      <w:r>
        <w:rPr>
          <w:rFonts w:hint="eastAsia"/>
        </w:rPr>
        <w:t>。</w:t>
      </w:r>
    </w:p>
    <w:p w14:paraId="72954E32">
      <w:pPr>
        <w:pStyle w:val="3"/>
        <w:ind w:firstLine="480"/>
      </w:pPr>
      <w:r>
        <w:rPr>
          <w:rFonts w:hint="eastAsia"/>
        </w:rPr>
        <w:t>然而，LNMO</w:t>
      </w:r>
      <w:r>
        <w:t xml:space="preserve"> </w:t>
      </w:r>
      <w:r>
        <w:rPr>
          <w:rFonts w:hint="eastAsia"/>
        </w:rPr>
        <w:t>的优势与问题都来自其高电压特征。4.7</w:t>
      </w:r>
      <w:r>
        <w:t xml:space="preserve"> V </w:t>
      </w:r>
      <w:r>
        <w:rPr>
          <w:rFonts w:hint="eastAsia"/>
        </w:rPr>
        <w:t>左右的正极电位接近甚至超过常规碳酸酯电解液的稳定范围，电解液氧化、盐分解、酸性副产物生成和正极-电解液界面膜持续增厚会在循环过程中共同发生</w:t>
      </w:r>
      <w:r>
        <w:rPr>
          <w:rFonts w:hint="eastAsia"/>
          <w:vertAlign w:val="superscript"/>
        </w:rPr>
        <w:t>[2,12]</w:t>
      </w:r>
      <w:r>
        <w:rPr>
          <w:rFonts w:hint="eastAsia"/>
        </w:rPr>
        <w:t>。此外，材料中的</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t xml:space="preserve"> </w:t>
      </w:r>
      <w:r>
        <w:rPr>
          <w:rFonts w:hint="eastAsia"/>
        </w:rPr>
        <w:t>虽可改善电子传导，但也会诱发</w:t>
      </w:r>
      <w:r>
        <w:t xml:space="preserve"> Jahn-Teller </w:t>
      </w:r>
      <w:r>
        <w:rPr>
          <w:rFonts w:hint="eastAsia"/>
        </w:rPr>
        <w:t>畸变和锰歧化溶解，进而破坏正极颗粒和负极</w:t>
      </w:r>
      <w:r>
        <w:t xml:space="preserve"> SEI </w:t>
      </w:r>
      <w:r>
        <w:rPr>
          <w:rFonts w:hint="eastAsia"/>
        </w:rPr>
        <w:t>膜</w:t>
      </w:r>
      <w:r>
        <w:rPr>
          <w:rFonts w:hint="eastAsia"/>
          <w:vertAlign w:val="superscript"/>
        </w:rPr>
        <w:t>[1,2]</w:t>
      </w:r>
      <w:r>
        <w:rPr>
          <w:rFonts w:hint="eastAsia"/>
        </w:rPr>
        <w:t>。因此，不能只讨论</w:t>
      </w:r>
      <w:r>
        <w:rPr>
          <w:rFonts w:hint="eastAsia"/>
          <w:lang w:eastAsia="zh-CN"/>
        </w:rPr>
        <w:t>其</w:t>
      </w:r>
      <w:r>
        <w:rPr>
          <w:rFonts w:hint="eastAsia"/>
        </w:rPr>
        <w:t>材料组成，还必须把制备过程、晶体结构、颗粒形貌和界面化学联系起来分析。</w:t>
      </w:r>
    </w:p>
    <w:bookmarkEnd w:id="3"/>
    <w:p w14:paraId="64E5DB7C">
      <w:pPr>
        <w:pStyle w:val="2"/>
        <w:spacing w:before="200" w:after="120"/>
      </w:pPr>
      <w:bookmarkStart w:id="4" w:name="_Toc233753509"/>
      <w:bookmarkStart w:id="5" w:name="晶体结构与制备调控"/>
      <w:r>
        <w:t xml:space="preserve">2. </w:t>
      </w:r>
      <w:r>
        <w:rPr>
          <w:rFonts w:hint="eastAsia"/>
        </w:rPr>
        <w:t>晶体结构与制备调控</w:t>
      </w:r>
      <w:bookmarkEnd w:id="4"/>
    </w:p>
    <w:p w14:paraId="6121FFAF">
      <w:pPr>
        <w:pStyle w:val="4"/>
        <w:spacing w:before="200" w:after="120"/>
      </w:pPr>
      <w:bookmarkStart w:id="6" w:name="_Toc233753510"/>
      <w:bookmarkStart w:id="7" w:name="有序相与无序相"/>
      <w:r>
        <w:t xml:space="preserve">2.1 </w:t>
      </w:r>
      <w:r>
        <w:rPr>
          <w:rFonts w:hint="eastAsia"/>
        </w:rPr>
        <w:t>有序相与无序相</w:t>
      </w:r>
      <w:bookmarkEnd w:id="6"/>
    </w:p>
    <w:p w14:paraId="705ABC08">
      <w:pPr>
        <w:pStyle w:val="25"/>
        <w:ind w:firstLine="480"/>
      </w:pPr>
      <w:r>
        <w:t xml:space="preserve">LNMO </w:t>
      </w:r>
      <w:r>
        <w:rPr>
          <w:rFonts w:hint="eastAsia"/>
        </w:rPr>
        <w:t>通常存在</w:t>
      </w:r>
      <w:r>
        <w:t xml:space="preserve"> </w:t>
      </w:r>
      <m:oMath>
        <m:r>
          <m:rPr/>
          <w:rPr>
            <w:rFonts w:ascii="Cambria Math" w:hAnsi="Cambria Math"/>
          </w:rPr>
          <m:t>P</m:t>
        </m:r>
        <m:sSub>
          <m:sSubPr>
            <m:ctrlPr>
              <w:rPr>
                <w:rFonts w:ascii="Cambria Math" w:hAnsi="Cambria Math"/>
              </w:rPr>
            </m:ctrlPr>
          </m:sSubPr>
          <m:e>
            <m:r>
              <m:rPr/>
              <w:rPr>
                <w:rFonts w:ascii="Cambria Math" w:hAnsi="Cambria Math"/>
              </w:rPr>
              <m:t>4</m:t>
            </m:r>
            <m:ctrlPr>
              <w:rPr>
                <w:rFonts w:ascii="Cambria Math" w:hAnsi="Cambria Math"/>
              </w:rPr>
            </m:ctrlPr>
          </m:e>
          <m:sub>
            <m:r>
              <m:rPr/>
              <w:rPr>
                <w:rFonts w:ascii="Cambria Math" w:hAnsi="Cambria Math"/>
              </w:rPr>
              <m:t>332</m:t>
            </m:r>
            <m:ctrlPr>
              <w:rPr>
                <w:rFonts w:ascii="Cambria Math" w:hAnsi="Cambria Math"/>
              </w:rPr>
            </m:ctrlPr>
          </m:sub>
        </m:sSub>
      </m:oMath>
      <w:r>
        <w:t xml:space="preserve"> </w:t>
      </w:r>
      <w:r>
        <w:rPr>
          <w:rFonts w:hint="eastAsia"/>
        </w:rPr>
        <w:t>有序相和</w:t>
      </w:r>
      <w:r>
        <w:t xml:space="preserve"> </w:t>
      </w:r>
      <m:oMath>
        <m:r>
          <m:rPr/>
          <w:rPr>
            <w:rFonts w:ascii="Cambria Math" w:hAnsi="Cambria Math"/>
          </w:rPr>
          <m:t>Fd</m:t>
        </m:r>
        <m:acc>
          <m:accPr>
            <m:chr m:val="‾"/>
            <m:ctrlPr>
              <w:rPr>
                <w:rFonts w:ascii="Cambria Math" w:hAnsi="Cambria Math"/>
              </w:rPr>
            </m:ctrlPr>
          </m:accPr>
          <m:e>
            <m:r>
              <m:rPr/>
              <w:rPr>
                <w:rFonts w:ascii="Cambria Math" w:hAnsi="Cambria Math"/>
              </w:rPr>
              <m:t>3</m:t>
            </m:r>
            <m:ctrlPr>
              <w:rPr>
                <w:rFonts w:ascii="Cambria Math" w:hAnsi="Cambria Math"/>
              </w:rPr>
            </m:ctrlPr>
          </m:e>
        </m:acc>
        <m:r>
          <m:rPr/>
          <w:rPr>
            <w:rFonts w:ascii="Cambria Math" w:hAnsi="Cambria Math"/>
          </w:rPr>
          <m:t>m</m:t>
        </m:r>
      </m:oMath>
      <w:r>
        <w:t xml:space="preserve"> </w:t>
      </w:r>
      <w:r>
        <w:rPr>
          <w:rFonts w:hint="eastAsia"/>
        </w:rPr>
        <w:t>无序相两种结构类型。有序相中</w:t>
      </w:r>
      <w:r>
        <w:t xml:space="preserve"> Ni/Mn </w:t>
      </w:r>
      <w:r>
        <w:rPr>
          <w:rFonts w:hint="eastAsia"/>
        </w:rPr>
        <w:t>在</w:t>
      </w:r>
      <w:r>
        <w:t xml:space="preserve"> 16d </w:t>
      </w:r>
      <w:r>
        <w:rPr>
          <w:rFonts w:hint="eastAsia"/>
        </w:rPr>
        <w:t>位点呈较规则排列，氧空位和</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t xml:space="preserve"> </w:t>
      </w:r>
      <w:r>
        <w:rPr>
          <w:rFonts w:hint="eastAsia"/>
        </w:rPr>
        <w:t>含量较低，结构稳定性较好，但电子电导率和倍率性能往往受限</w:t>
      </w:r>
      <w:r>
        <w:rPr>
          <w:rFonts w:hint="eastAsia"/>
          <w:vertAlign w:val="superscript"/>
        </w:rPr>
        <w:t>[1,2]</w:t>
      </w:r>
      <w:r>
        <w:rPr>
          <w:rFonts w:hint="eastAsia"/>
        </w:rPr>
        <w:t>。无序相中</w:t>
      </w:r>
      <w:r>
        <w:t xml:space="preserve"> Ni/Mn </w:t>
      </w:r>
      <w:r>
        <w:rPr>
          <w:rFonts w:hint="eastAsia"/>
        </w:rPr>
        <w:t>混排程度提高，部分</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4</m:t>
            </m:r>
            <m:r>
              <m:rPr>
                <m:sty m:val="p"/>
              </m:rPr>
              <w:rPr>
                <w:rFonts w:ascii="Cambria Math" w:hAnsi="Cambria Math"/>
              </w:rPr>
              <m:t>+</m:t>
            </m:r>
            <m:ctrlPr>
              <w:rPr>
                <w:rFonts w:ascii="Cambria Math" w:hAnsi="Cambria Math"/>
              </w:rPr>
            </m:ctrlPr>
          </m:sup>
        </m:sSup>
      </m:oMath>
      <w:r>
        <w:t xml:space="preserve"> </w:t>
      </w:r>
      <w:r>
        <w:rPr>
          <w:rFonts w:hint="eastAsia"/>
        </w:rPr>
        <w:t>被还原为</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rPr>
          <w:rFonts w:hint="eastAsia"/>
        </w:rPr>
        <w:t>，电子传导和锂离子扩散动力学有所改善，但过量</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t xml:space="preserve"> </w:t>
      </w:r>
      <w:r>
        <w:rPr>
          <w:rFonts w:hint="eastAsia"/>
        </w:rPr>
        <w:t>又会提高</w:t>
      </w:r>
      <w:r>
        <w:t xml:space="preserve"> Jahn-Teller </w:t>
      </w:r>
      <w:r>
        <w:rPr>
          <w:rFonts w:hint="eastAsia"/>
        </w:rPr>
        <w:t>畸变和锰溶出的风险</w:t>
      </w:r>
      <w:r>
        <w:rPr>
          <w:rFonts w:hint="eastAsia"/>
          <w:vertAlign w:val="superscript"/>
        </w:rPr>
        <w:t>[1,3]</w:t>
      </w:r>
      <w:r>
        <w:rPr>
          <w:rFonts w:hint="eastAsia"/>
        </w:rPr>
        <w:t>。</w:t>
      </w:r>
    </w:p>
    <w:p w14:paraId="63EC687A">
      <w:pPr>
        <w:pStyle w:val="3"/>
        <w:ind w:firstLine="480"/>
      </w:pPr>
      <w:r>
        <w:rPr>
          <w:rFonts w:hint="eastAsia"/>
        </w:rPr>
        <w:t>这说明</w:t>
      </w:r>
      <w:r>
        <w:t xml:space="preserve"> LNMO </w:t>
      </w:r>
      <w:r>
        <w:rPr>
          <w:rFonts w:hint="eastAsia"/>
        </w:rPr>
        <w:t>的制备目标并不是简单追求完全有序或完全无序，而是需要根据应用场景调控结构平衡。对于高倍率应用，适度无序化有利于降低传输阻抗；对于长寿命高温循环，过多氧空位和</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t xml:space="preserve"> </w:t>
      </w:r>
      <w:r>
        <w:rPr>
          <w:rFonts w:hint="eastAsia"/>
        </w:rPr>
        <w:t>会放大界面副反应和结构应力。烧结温度、保温时间、冷却速率和氧分压是影响有序/无序比例的关键工艺变量</w:t>
      </w:r>
      <w:r>
        <w:rPr>
          <w:rFonts w:hint="eastAsia"/>
          <w:vertAlign w:val="superscript"/>
        </w:rPr>
        <w:t>[1,2]</w:t>
      </w:r>
      <w:r>
        <w:rPr>
          <w:rFonts w:hint="eastAsia"/>
        </w:rPr>
        <w:t>。</w:t>
      </w:r>
    </w:p>
    <w:bookmarkEnd w:id="7"/>
    <w:p w14:paraId="7F710DF9">
      <w:pPr>
        <w:pStyle w:val="4"/>
        <w:spacing w:before="200" w:after="120"/>
      </w:pPr>
      <w:bookmarkStart w:id="8" w:name="_Toc233753511"/>
      <w:bookmarkStart w:id="9" w:name="制备路线对颗粒与界面的影响"/>
      <w:r>
        <w:t xml:space="preserve">2.2 </w:t>
      </w:r>
      <w:r>
        <w:rPr>
          <w:rFonts w:hint="eastAsia"/>
        </w:rPr>
        <w:t>制备路线对颗粒与界面的影响</w:t>
      </w:r>
      <w:bookmarkEnd w:id="8"/>
    </w:p>
    <w:p w14:paraId="2F31FAC0">
      <w:pPr>
        <w:pStyle w:val="25"/>
        <w:ind w:firstLine="480"/>
      </w:pPr>
      <w:r>
        <w:t xml:space="preserve">LNMO </w:t>
      </w:r>
      <w:r>
        <w:rPr>
          <w:rFonts w:hint="eastAsia"/>
        </w:rPr>
        <w:t>常见制备路线包括高温固相法、溶胶-凝胶法、喷雾干燥法、水热/溶剂热法和共沉淀前驱体法。固相法工艺简单、成本较低，适合规模化探索，但混合均匀性和颗粒形貌控制相对不足。溶胶-凝胶法和喷雾干燥法有利于提高元素分散均匀性，可制备粒径更小、反应活性更高的前驱体，但干燥、热解和后处理过程会增加工艺复杂度</w:t>
      </w:r>
      <w:r>
        <w:rPr>
          <w:rFonts w:hint="eastAsia"/>
          <w:vertAlign w:val="superscript"/>
        </w:rPr>
        <w:t>[1]</w:t>
      </w:r>
      <w:r>
        <w:rPr>
          <w:rFonts w:hint="eastAsia"/>
        </w:rPr>
        <w:t>。共沉淀路线能够从前驱体阶段调控</w:t>
      </w:r>
      <w:r>
        <w:t xml:space="preserve"> Ni/Mn </w:t>
      </w:r>
      <w:r>
        <w:rPr>
          <w:rFonts w:hint="eastAsia"/>
        </w:rPr>
        <w:t>分布和二次颗粒形貌，近年来也被用于掺杂型</w:t>
      </w:r>
      <w:r>
        <w:t xml:space="preserve"> LNMO </w:t>
      </w:r>
      <w:r>
        <w:rPr>
          <w:rFonts w:hint="eastAsia"/>
        </w:rPr>
        <w:t>的放大制备研究</w:t>
      </w:r>
      <w:r>
        <w:rPr>
          <w:rFonts w:hint="eastAsia"/>
          <w:vertAlign w:val="superscript"/>
        </w:rPr>
        <w:t>[8]</w:t>
      </w:r>
      <w:r>
        <w:rPr>
          <w:rFonts w:hint="eastAsia"/>
        </w:rPr>
        <w:t>。</w:t>
      </w:r>
    </w:p>
    <w:p w14:paraId="2B6D63CE">
      <w:pPr>
        <w:pStyle w:val="3"/>
        <w:ind w:firstLine="480"/>
      </w:pPr>
      <w:r>
        <w:rPr>
          <w:rFonts w:hint="eastAsia"/>
        </w:rPr>
        <w:t>颗粒形貌和晶面暴露会直接影响高电压界面稳定性。研究表明，颗粒尺寸、表面取向和形貌演变会改变电解液接触面积、锂离子扩散路径和循环中的应力集中位置</w:t>
      </w:r>
      <w:r>
        <w:rPr>
          <w:rFonts w:hint="eastAsia"/>
          <w:vertAlign w:val="superscript"/>
        </w:rPr>
        <w:t>[5]</w:t>
      </w:r>
      <w:r>
        <w:rPr>
          <w:rFonts w:hint="eastAsia"/>
        </w:rPr>
        <w:t>。2024</w:t>
      </w:r>
      <w:r>
        <w:t xml:space="preserve"> </w:t>
      </w:r>
      <w:r>
        <w:rPr>
          <w:rFonts w:hint="eastAsia"/>
        </w:rPr>
        <w:t>年关于无钴</w:t>
      </w:r>
      <w:r>
        <w:t xml:space="preserve"> LNMO </w:t>
      </w:r>
      <w:r>
        <w:rPr>
          <w:rFonts w:hint="eastAsia"/>
        </w:rPr>
        <w:t>的粒子设计与晶界工程研究进一步强调，颗粒内部晶界和表面缺陷不仅影响初始容量，也决定长期循环中裂纹扩展和界面副反应累积速度</w:t>
      </w:r>
      <w:r>
        <w:rPr>
          <w:rFonts w:hint="eastAsia"/>
          <w:vertAlign w:val="superscript"/>
        </w:rPr>
        <w:t>[1]</w:t>
      </w:r>
      <w:r>
        <w:rPr>
          <w:rFonts w:hint="eastAsia"/>
        </w:rPr>
        <w:t>。因此，在材料制备课程设计中，前驱体均匀性、烧结制度和颗粒结构应作为与电化学性能同等重要的评价对象。</w:t>
      </w:r>
    </w:p>
    <w:bookmarkEnd w:id="5"/>
    <w:bookmarkEnd w:id="9"/>
    <w:p w14:paraId="1E9A9753">
      <w:pPr>
        <w:pStyle w:val="2"/>
        <w:spacing w:before="200" w:after="120"/>
      </w:pPr>
      <w:bookmarkStart w:id="10" w:name="_Toc233753512"/>
      <w:bookmarkStart w:id="11" w:name="失效机理"/>
      <w:r>
        <w:t xml:space="preserve">3. </w:t>
      </w:r>
      <w:r>
        <w:rPr>
          <w:rFonts w:hint="eastAsia"/>
        </w:rPr>
        <w:t>失效机理</w:t>
      </w:r>
      <w:bookmarkEnd w:id="10"/>
    </w:p>
    <w:p w14:paraId="2BAC1B8D">
      <w:pPr>
        <w:pStyle w:val="4"/>
        <w:spacing w:before="200" w:after="120"/>
      </w:pPr>
      <w:bookmarkStart w:id="12" w:name="_Toc233753513"/>
      <w:bookmarkStart w:id="13" w:name="高压电解液氧化与-cei-增厚"/>
      <w:r>
        <w:t xml:space="preserve">3.1 </w:t>
      </w:r>
      <w:r>
        <w:rPr>
          <w:rFonts w:hint="eastAsia"/>
        </w:rPr>
        <w:t>高压电解液氧化与</w:t>
      </w:r>
      <w:r>
        <w:t xml:space="preserve"> CEI </w:t>
      </w:r>
      <w:r>
        <w:rPr>
          <w:rFonts w:hint="eastAsia"/>
        </w:rPr>
        <w:t>增厚</w:t>
      </w:r>
      <w:bookmarkEnd w:id="12"/>
    </w:p>
    <w:p w14:paraId="04A9C63F">
      <w:pPr>
        <w:pStyle w:val="25"/>
        <w:ind w:firstLine="480"/>
      </w:pPr>
      <w:r>
        <w:t xml:space="preserve">LNMO </w:t>
      </w:r>
      <w:r>
        <w:rPr>
          <w:rFonts w:hint="eastAsia"/>
        </w:rPr>
        <w:t>的高电压平台会促进碳酸酯电解液和锂盐在正极表面的氧化分解。分解产物在正极表面形成正极电解质界面膜（CEI），适度</w:t>
      </w:r>
      <w:r>
        <w:t xml:space="preserve"> CEI </w:t>
      </w:r>
      <w:r>
        <w:rPr>
          <w:rFonts w:hint="eastAsia"/>
        </w:rPr>
        <w:t>可隔离部分副反应，但持续增厚会提高界面电荷转移阻抗，并消耗活性锂和电解液</w:t>
      </w:r>
      <w:r>
        <w:rPr>
          <w:rFonts w:hint="eastAsia"/>
          <w:vertAlign w:val="superscript"/>
        </w:rPr>
        <w:t>[2,12]</w:t>
      </w:r>
      <w:r>
        <w:rPr>
          <w:rFonts w:hint="eastAsia"/>
        </w:rPr>
        <w:t>。当电池在高温或高截止电压下循环时，界面膜的无机组分和有机分解产物会更加复杂，气体生成和内阻增长也会加剧</w:t>
      </w:r>
      <w:r>
        <w:rPr>
          <w:rFonts w:hint="eastAsia"/>
          <w:vertAlign w:val="superscript"/>
        </w:rPr>
        <w:t>[2]</w:t>
      </w:r>
      <w:r>
        <w:rPr>
          <w:rFonts w:hint="eastAsia"/>
        </w:rPr>
        <w:t>。</w:t>
      </w:r>
    </w:p>
    <w:bookmarkEnd w:id="13"/>
    <w:p w14:paraId="00270016">
      <w:pPr>
        <w:pStyle w:val="4"/>
        <w:spacing w:before="200" w:after="120"/>
      </w:pPr>
      <w:bookmarkStart w:id="14" w:name="_Toc233753514"/>
      <w:bookmarkStart w:id="15" w:name="锰溶出与负极副反应"/>
      <w:r>
        <w:t xml:space="preserve">3.2 </w:t>
      </w:r>
      <w:r>
        <w:rPr>
          <w:rFonts w:hint="eastAsia"/>
        </w:rPr>
        <w:t>锰溶出与负极副反应</w:t>
      </w:r>
      <w:bookmarkEnd w:id="14"/>
    </w:p>
    <w:p w14:paraId="733AEB02">
      <w:pPr>
        <w:pStyle w:val="25"/>
        <w:ind w:firstLine="480"/>
      </w:pPr>
      <w:r>
        <w:t xml:space="preserve">LNMO </w:t>
      </w:r>
      <w:r>
        <w:rPr>
          <w:rFonts w:hint="eastAsia"/>
        </w:rPr>
        <w:t>中的</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t xml:space="preserve"> </w:t>
      </w:r>
      <w:r>
        <w:rPr>
          <w:rFonts w:hint="eastAsia"/>
        </w:rPr>
        <w:t>可发生歧化反应：</w:t>
      </w:r>
    </w:p>
    <w:p w14:paraId="3656B393">
      <w:pPr>
        <w:pStyle w:val="3"/>
      </w:pPr>
      <m:oMathPara>
        <m:oMathParaPr>
          <m:jc m:val="center"/>
        </m:oMathParaPr>
        <m:oMath>
          <m:r>
            <m:rPr/>
            <w:rPr>
              <w:rFonts w:ascii="Cambria Math" w:hAnsi="Cambria Math"/>
            </w:rPr>
            <m:t>2</m:t>
          </m:r>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4</m:t>
              </m:r>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2</m:t>
              </m:r>
              <m:r>
                <m:rPr>
                  <m:sty m:val="p"/>
                </m:rPr>
                <w:rPr>
                  <w:rFonts w:ascii="Cambria Math" w:hAnsi="Cambria Math"/>
                </w:rPr>
                <m:t>+</m:t>
              </m:r>
              <m:ctrlPr>
                <w:rPr>
                  <w:rFonts w:ascii="Cambria Math" w:hAnsi="Cambria Math"/>
                </w:rPr>
              </m:ctrlPr>
            </m:sup>
          </m:sSup>
        </m:oMath>
      </m:oMathPara>
    </w:p>
    <w:p w14:paraId="3733DC67">
      <w:pPr>
        <w:pStyle w:val="25"/>
        <w:ind w:firstLine="480"/>
      </w:pPr>
      <w:r>
        <w:rPr>
          <w:rFonts w:hint="eastAsia"/>
        </w:rPr>
        <w:t>生成的</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2</m:t>
            </m:r>
            <m:r>
              <m:rPr>
                <m:sty m:val="p"/>
              </m:rPr>
              <w:rPr>
                <w:rFonts w:ascii="Cambria Math" w:hAnsi="Cambria Math"/>
              </w:rPr>
              <m:t>+</m:t>
            </m:r>
            <m:ctrlPr>
              <w:rPr>
                <w:rFonts w:ascii="Cambria Math" w:hAnsi="Cambria Math"/>
              </w:rPr>
            </m:ctrlPr>
          </m:sup>
        </m:sSup>
      </m:oMath>
      <w:r>
        <w:t xml:space="preserve"> </w:t>
      </w:r>
      <w:r>
        <w:rPr>
          <w:rFonts w:hint="eastAsia"/>
        </w:rPr>
        <w:t>更容易溶入电解液，并迁移到石墨负极表面。过渡金属沉积会催化负极</w:t>
      </w:r>
      <w:r>
        <w:t xml:space="preserve"> SEI </w:t>
      </w:r>
      <w:r>
        <w:rPr>
          <w:rFonts w:hint="eastAsia"/>
        </w:rPr>
        <w:t>膜分解和再生，导致活性锂持续损失，最终表现为全电池容量衰减和库伦效率下降</w:t>
      </w:r>
      <w:r>
        <w:rPr>
          <w:rFonts w:hint="eastAsia"/>
          <w:vertAlign w:val="superscript"/>
        </w:rPr>
        <w:t>[1,2]</w:t>
      </w:r>
      <w:r>
        <w:rPr>
          <w:rFonts w:hint="eastAsia"/>
        </w:rPr>
        <w:t>。这一过程说明，LNMO</w:t>
      </w:r>
      <w:r>
        <w:t xml:space="preserve"> </w:t>
      </w:r>
      <w:r>
        <w:rPr>
          <w:rFonts w:hint="eastAsia"/>
        </w:rPr>
        <w:t>正极失效并不局限于正极本身，而是会通过电解液介质传递到负极界面。</w:t>
      </w:r>
    </w:p>
    <w:bookmarkEnd w:id="15"/>
    <w:p w14:paraId="5B9B38A1">
      <w:pPr>
        <w:pStyle w:val="4"/>
        <w:spacing w:before="200" w:after="120"/>
      </w:pPr>
      <w:bookmarkStart w:id="16" w:name="_Toc233753515"/>
      <w:bookmarkStart w:id="17" w:name="机械应力微裂纹与新鲜界面暴露"/>
      <w:r>
        <w:t xml:space="preserve">3.3 </w:t>
      </w:r>
      <w:r>
        <w:rPr>
          <w:rFonts w:hint="eastAsia"/>
        </w:rPr>
        <w:t>机械应力、微裂纹与新鲜界面暴露</w:t>
      </w:r>
      <w:bookmarkEnd w:id="16"/>
    </w:p>
    <w:p w14:paraId="6CD850D4">
      <w:pPr>
        <w:pStyle w:val="25"/>
        <w:ind w:firstLine="480"/>
      </w:pPr>
      <w:r>
        <w:rPr>
          <w:rFonts w:hint="eastAsia"/>
        </w:rPr>
        <w:t>在深度充放电和高倍率循环条件下，颗粒内部的锂浓度梯度、局部</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t xml:space="preserve"> </w:t>
      </w:r>
      <w:r>
        <w:rPr>
          <w:rFonts w:hint="eastAsia"/>
        </w:rPr>
        <w:t>富集和晶格参数变化会形成机械应力。颗粒发生微裂纹后，新鲜表面继续暴露于高电压电解液中，进一步促进</w:t>
      </w:r>
      <w:r>
        <w:t xml:space="preserve"> CEI </w:t>
      </w:r>
      <w:r>
        <w:rPr>
          <w:rFonts w:hint="eastAsia"/>
        </w:rPr>
        <w:t>增厚和锰溶出</w:t>
      </w:r>
      <w:r>
        <w:rPr>
          <w:rFonts w:hint="eastAsia"/>
          <w:vertAlign w:val="superscript"/>
        </w:rPr>
        <w:t>[5]</w:t>
      </w:r>
      <w:r>
        <w:rPr>
          <w:rFonts w:hint="eastAsia"/>
        </w:rPr>
        <w:t>。这类“结构损伤-界面副反应-再损伤”的循环是</w:t>
      </w:r>
      <w:r>
        <w:t xml:space="preserve"> LNMO </w:t>
      </w:r>
      <w:r>
        <w:rPr>
          <w:rFonts w:hint="eastAsia"/>
        </w:rPr>
        <w:t>长寿命设计中必须重点抑制的失效链条。</w:t>
      </w:r>
    </w:p>
    <w:bookmarkEnd w:id="11"/>
    <w:bookmarkEnd w:id="17"/>
    <w:p w14:paraId="04C5404D">
      <w:pPr>
        <w:pStyle w:val="2"/>
        <w:spacing w:before="200" w:after="120"/>
      </w:pPr>
      <w:bookmarkStart w:id="18" w:name="_Toc233753516"/>
      <w:bookmarkStart w:id="19" w:name="改性策略研究进展"/>
    </w:p>
    <w:p w14:paraId="41A1B4C6">
      <w:pPr>
        <w:pStyle w:val="2"/>
        <w:spacing w:before="200" w:after="120"/>
      </w:pPr>
      <w:r>
        <w:t xml:space="preserve">4. </w:t>
      </w:r>
      <w:r>
        <w:rPr>
          <w:rFonts w:hint="eastAsia"/>
        </w:rPr>
        <w:t>改性策略研究进展</w:t>
      </w:r>
      <w:bookmarkEnd w:id="18"/>
    </w:p>
    <w:p w14:paraId="73A0EF29">
      <w:pPr>
        <w:pStyle w:val="4"/>
        <w:spacing w:before="200" w:after="120"/>
      </w:pPr>
      <w:bookmarkStart w:id="20" w:name="_Toc233753517"/>
      <w:bookmarkStart w:id="21" w:name="体相掺杂"/>
      <w:r>
        <w:t xml:space="preserve">4.1 </w:t>
      </w:r>
      <w:r>
        <w:rPr>
          <w:rFonts w:hint="eastAsia"/>
        </w:rPr>
        <w:t>体相掺杂</w:t>
      </w:r>
      <w:bookmarkEnd w:id="20"/>
    </w:p>
    <w:p w14:paraId="0003F2EE">
      <w:pPr>
        <w:pStyle w:val="25"/>
        <w:ind w:firstLine="480"/>
      </w:pPr>
      <w:r>
        <w:rPr>
          <w:rFonts w:hint="eastAsia"/>
        </w:rPr>
        <w:t>体相掺杂的目标是通过稳定晶格骨架、调控氧空位和减少有害</w:t>
      </w:r>
      <w:r>
        <w:t xml:space="preserve"> </w:t>
      </w:r>
      <m:oMath>
        <m:sSup>
          <m:sSupPr>
            <m:ctrlPr>
              <w:rPr>
                <w:rFonts w:ascii="Cambria Math" w:hAnsi="Cambria Math"/>
              </w:rPr>
            </m:ctrlPr>
          </m:sSupPr>
          <m:e>
            <m:r>
              <m:rPr>
                <m:nor/>
                <m:sty m:val="p"/>
              </m:rPr>
              <w:rPr>
                <w:b w:val="0"/>
                <w:i w:val="0"/>
              </w:rPr>
              <m:t>Mn</m:t>
            </m:r>
            <m:ctrlPr>
              <w:rPr>
                <w:rFonts w:ascii="Cambria Math" w:hAnsi="Cambria Math"/>
              </w:rPr>
            </m:ctrlPr>
          </m:e>
          <m:sup>
            <m:r>
              <m:rPr/>
              <w:rPr>
                <w:rFonts w:ascii="Cambria Math" w:hAnsi="Cambria Math"/>
              </w:rPr>
              <m:t>3</m:t>
            </m:r>
            <m:r>
              <m:rPr>
                <m:sty m:val="p"/>
              </m:rPr>
              <w:rPr>
                <w:rFonts w:ascii="Cambria Math" w:hAnsi="Cambria Math"/>
              </w:rPr>
              <m:t>+</m:t>
            </m:r>
            <m:ctrlPr>
              <w:rPr>
                <w:rFonts w:ascii="Cambria Math" w:hAnsi="Cambria Math"/>
              </w:rPr>
            </m:ctrlPr>
          </m:sup>
        </m:sSup>
      </m:oMath>
      <w:r>
        <w:t xml:space="preserve"> </w:t>
      </w:r>
      <w:r>
        <w:rPr>
          <w:rFonts w:hint="eastAsia"/>
        </w:rPr>
        <w:t>来提高循环稳定性。阳离子掺杂常采用</w:t>
      </w:r>
      <w:r>
        <w:t xml:space="preserve"> Ti、Zr、Mg、Al </w:t>
      </w:r>
      <w:r>
        <w:rPr>
          <w:rFonts w:hint="eastAsia"/>
        </w:rPr>
        <w:t>等元素，其中高价或强键合元素可增强过渡金属-氧框架稳定性，降低高温循环下的结构退化</w:t>
      </w:r>
      <w:r>
        <w:rPr>
          <w:rFonts w:hint="eastAsia"/>
          <w:vertAlign w:val="superscript"/>
        </w:rPr>
        <w:t>[6,8]</w:t>
      </w:r>
      <w:r>
        <w:rPr>
          <w:rFonts w:hint="eastAsia"/>
        </w:rPr>
        <w:t>。例如</w:t>
      </w:r>
      <w:r>
        <w:t xml:space="preserve"> Zr </w:t>
      </w:r>
      <w:r>
        <w:rPr>
          <w:rFonts w:hint="eastAsia"/>
        </w:rPr>
        <w:t>掺杂共沉淀</w:t>
      </w:r>
      <w:r>
        <w:t xml:space="preserve"> LNMO </w:t>
      </w:r>
      <w:r>
        <w:rPr>
          <w:rFonts w:hint="eastAsia"/>
        </w:rPr>
        <w:t>的研究表明，掺杂可以结合可放大的制造路线改善高电压尖晶石材料的结构和电化学表现</w:t>
      </w:r>
      <w:r>
        <w:rPr>
          <w:rFonts w:hint="eastAsia"/>
          <w:vertAlign w:val="superscript"/>
        </w:rPr>
        <w:t>[8]</w:t>
      </w:r>
      <w:r>
        <w:rPr>
          <w:rFonts w:hint="eastAsia"/>
        </w:rPr>
        <w:t>。</w:t>
      </w:r>
    </w:p>
    <w:p w14:paraId="328B51D4">
      <w:pPr>
        <w:pStyle w:val="3"/>
        <w:ind w:firstLine="480"/>
      </w:pPr>
      <w:r>
        <w:rPr>
          <w:rFonts w:hint="eastAsia"/>
        </w:rPr>
        <w:t>阴离子或阴阳离子协同掺杂则侧重于稳定阴离子框架。Mg/F</w:t>
      </w:r>
      <w:r>
        <w:t xml:space="preserve"> </w:t>
      </w:r>
      <w:r>
        <w:rPr>
          <w:rFonts w:hint="eastAsia"/>
        </w:rPr>
        <w:t>共掺杂研究显示，F</w:t>
      </w:r>
      <w:r>
        <w:t xml:space="preserve"> </w:t>
      </w:r>
      <w:r>
        <w:rPr>
          <w:rFonts w:hint="eastAsia"/>
        </w:rPr>
        <w:t>的引入有助于调节金属-阴离子键合环境，Mg</w:t>
      </w:r>
      <w:r>
        <w:t xml:space="preserve"> </w:t>
      </w:r>
      <w:r>
        <w:rPr>
          <w:rFonts w:hint="eastAsia"/>
        </w:rPr>
        <w:t>则可影响晶格参数和缺陷结构，从而改善</w:t>
      </w:r>
      <w:r>
        <w:t xml:space="preserve"> 5 V LNMO </w:t>
      </w:r>
      <w:r>
        <w:rPr>
          <w:rFonts w:hint="eastAsia"/>
        </w:rPr>
        <w:t>的循环性能</w:t>
      </w:r>
      <w:r>
        <w:rPr>
          <w:rFonts w:hint="eastAsia"/>
          <w:vertAlign w:val="superscript"/>
        </w:rPr>
        <w:t>[7]</w:t>
      </w:r>
      <w:r>
        <w:rPr>
          <w:rFonts w:hint="eastAsia"/>
        </w:rPr>
        <w:t>。但掺杂并非越多越好。掺杂量过高可能引入非活性相或阻塞锂离子迁移通道，造成初始容量下降；因此，掺杂设计需要在结构稳定性和可逆容量之间取得平衡</w:t>
      </w:r>
      <w:r>
        <w:rPr>
          <w:rFonts w:hint="eastAsia"/>
          <w:vertAlign w:val="superscript"/>
        </w:rPr>
        <w:t>[6]</w:t>
      </w:r>
      <w:r>
        <w:rPr>
          <w:rFonts w:hint="eastAsia"/>
        </w:rPr>
        <w:t>。</w:t>
      </w:r>
    </w:p>
    <w:bookmarkEnd w:id="21"/>
    <w:p w14:paraId="25CF02CB">
      <w:pPr>
        <w:pStyle w:val="4"/>
        <w:spacing w:before="200" w:after="120"/>
      </w:pPr>
      <w:bookmarkStart w:id="22" w:name="_Toc233753518"/>
      <w:bookmarkStart w:id="23" w:name="表面包覆与界面工程"/>
      <w:r>
        <w:t xml:space="preserve">4.2 </w:t>
      </w:r>
      <w:r>
        <w:rPr>
          <w:rFonts w:hint="eastAsia"/>
        </w:rPr>
        <w:t>表面包覆与界面工程</w:t>
      </w:r>
      <w:bookmarkEnd w:id="22"/>
    </w:p>
    <w:p w14:paraId="11AADFB5">
      <w:pPr>
        <w:pStyle w:val="25"/>
        <w:ind w:firstLine="480"/>
      </w:pPr>
      <w:r>
        <w:rPr>
          <w:rFonts w:hint="eastAsia"/>
        </w:rPr>
        <w:t>表面包覆是缓解高压电解液氧化和过渡金属溶出的直接策略。常见包覆层包括</w:t>
      </w:r>
      <w:r>
        <w:t xml:space="preserve"> </w:t>
      </w:r>
      <m:oMath>
        <m:sSub>
          <m:sSubPr>
            <m:ctrlPr>
              <w:rPr>
                <w:rFonts w:ascii="Cambria Math" w:hAnsi="Cambria Math"/>
              </w:rPr>
            </m:ctrlPr>
          </m:sSubPr>
          <m:e>
            <m:r>
              <m:rPr>
                <m:nor/>
                <m:sty m:val="p"/>
              </m:rPr>
              <w:rPr>
                <w:b w:val="0"/>
                <w:i w:val="0"/>
              </w:rPr>
              <m:t>Al</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m:nor/>
                <m:sty m:val="p"/>
              </m:rPr>
              <w:rPr>
                <w:b w:val="0"/>
                <w:i w:val="0"/>
              </w:rPr>
              <m:t>O</m:t>
            </m:r>
            <m:ctrlPr>
              <w:rPr>
                <w:rFonts w:ascii="Cambria Math" w:hAnsi="Cambria Math"/>
              </w:rPr>
            </m:ctrlPr>
          </m:e>
          <m:sub>
            <m:r>
              <m:rPr/>
              <w:rPr>
                <w:rFonts w:ascii="Cambria Math" w:hAnsi="Cambria Math"/>
              </w:rPr>
              <m:t>3</m:t>
            </m:r>
            <m:ctrlPr>
              <w:rPr>
                <w:rFonts w:ascii="Cambria Math" w:hAnsi="Cambria Math"/>
              </w:rPr>
            </m:ctrlPr>
          </m:sub>
        </m:sSub>
      </m:oMath>
      <w:r>
        <w:t>、</w:t>
      </w:r>
      <m:oMath>
        <m:sSub>
          <m:sSubPr>
            <m:ctrlPr>
              <w:rPr>
                <w:rFonts w:ascii="Cambria Math" w:hAnsi="Cambria Math"/>
              </w:rPr>
            </m:ctrlPr>
          </m:sSubPr>
          <m:e>
            <m:r>
              <m:rPr>
                <m:nor/>
                <m:sty m:val="p"/>
              </m:rPr>
              <w:rPr>
                <w:b w:val="0"/>
                <w:i w:val="0"/>
              </w:rPr>
              <m:t>TiO</m:t>
            </m:r>
            <m:ctrlPr>
              <w:rPr>
                <w:rFonts w:ascii="Cambria Math" w:hAnsi="Cambria Math"/>
              </w:rPr>
            </m:ctrlPr>
          </m:e>
          <m:sub>
            <m:r>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m:nor/>
                <m:sty m:val="p"/>
              </m:rPr>
              <w:rPr>
                <w:b w:val="0"/>
                <w:i w:val="0"/>
              </w:rPr>
              <m:t>ZrO</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、磷酸盐、硼酸盐和含锂离子导体相等。包覆层能够降低正极活性表面与电解液的直接接触，减缓</w:t>
      </w:r>
      <w:r>
        <w:t xml:space="preserve"> HF </w:t>
      </w:r>
      <w:r>
        <w:rPr>
          <w:rFonts w:hint="eastAsia"/>
        </w:rPr>
        <w:t>腐蚀和</w:t>
      </w:r>
      <w:r>
        <w:t xml:space="preserve"> CEI </w:t>
      </w:r>
      <w:r>
        <w:rPr>
          <w:rFonts w:hint="eastAsia"/>
        </w:rPr>
        <w:t>无序生长</w:t>
      </w:r>
      <w:r>
        <w:rPr>
          <w:rFonts w:hint="eastAsia"/>
          <w:vertAlign w:val="superscript"/>
        </w:rPr>
        <w:t>[4,9]</w:t>
      </w:r>
      <w:r>
        <w:rPr>
          <w:rFonts w:hint="eastAsia"/>
        </w:rPr>
        <w:t>。其中氧化铝包覆研究较多，但超薄</w:t>
      </w:r>
      <w:r>
        <w:t xml:space="preserve"> </w:t>
      </w:r>
      <m:oMath>
        <m:sSub>
          <m:sSubPr>
            <m:ctrlPr>
              <w:rPr>
                <w:rFonts w:ascii="Cambria Math" w:hAnsi="Cambria Math"/>
              </w:rPr>
            </m:ctrlPr>
          </m:sSubPr>
          <m:e>
            <m:r>
              <m:rPr>
                <m:nor/>
                <m:sty m:val="p"/>
              </m:rPr>
              <w:rPr>
                <w:b w:val="0"/>
                <w:i w:val="0"/>
              </w:rPr>
              <m:t>Al</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m:nor/>
                <m:sty m:val="p"/>
              </m:rPr>
              <w:rPr>
                <w:b w:val="0"/>
                <w:i w:val="0"/>
              </w:rPr>
              <m:t>O</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包覆并不必然带来持续改善；包覆层厚度、完整性、后退火条件和与</w:t>
      </w:r>
      <w:r>
        <w:t xml:space="preserve"> LNMO </w:t>
      </w:r>
      <w:r>
        <w:rPr>
          <w:rFonts w:hint="eastAsia"/>
        </w:rPr>
        <w:t>表面的化学反应都会影响最终效果</w:t>
      </w:r>
      <w:r>
        <w:rPr>
          <w:rFonts w:hint="eastAsia"/>
          <w:vertAlign w:val="superscript"/>
        </w:rPr>
        <w:t>[10,11]</w:t>
      </w:r>
      <w:r>
        <w:rPr>
          <w:rFonts w:hint="eastAsia"/>
        </w:rPr>
        <w:t>。</w:t>
      </w:r>
    </w:p>
    <w:p w14:paraId="6354D631">
      <w:pPr>
        <w:pStyle w:val="3"/>
        <w:ind w:firstLine="480"/>
      </w:pPr>
      <w:r>
        <w:rPr>
          <w:rFonts w:hint="eastAsia"/>
        </w:rPr>
        <w:t>因此，更合理的界面工程应避免把包覆层仅视作惰性屏障。理想包覆层需要同时满足三点：第一，阻隔电解液直接氧化；第二，允许锂离子快速穿过；第三，在高电压和高温下保持化学稳定。对于绝缘氧化物包覆，过厚会增加界面电荷转移阻抗；对于含锂导体或反应型包覆，关键则是控制相组成和热处理条件，避免形成新的非活性界面相</w:t>
      </w:r>
      <w:r>
        <w:rPr>
          <w:rFonts w:hint="eastAsia"/>
          <w:vertAlign w:val="superscript"/>
        </w:rPr>
        <w:t>[9,11]</w:t>
      </w:r>
      <w:r>
        <w:rPr>
          <w:rFonts w:hint="eastAsia"/>
        </w:rPr>
        <w:t>。</w:t>
      </w:r>
    </w:p>
    <w:bookmarkEnd w:id="23"/>
    <w:p w14:paraId="48A9F72B">
      <w:pPr>
        <w:pStyle w:val="4"/>
        <w:spacing w:before="200" w:after="120"/>
      </w:pPr>
      <w:bookmarkStart w:id="24" w:name="_Toc233753519"/>
      <w:bookmarkStart w:id="25" w:name="电解液协同优化"/>
      <w:r>
        <w:t xml:space="preserve">4.3 </w:t>
      </w:r>
      <w:r>
        <w:rPr>
          <w:rFonts w:hint="eastAsia"/>
        </w:rPr>
        <w:t>电解液协同优化</w:t>
      </w:r>
      <w:bookmarkEnd w:id="24"/>
    </w:p>
    <w:p w14:paraId="3B7C1B37">
      <w:pPr>
        <w:pStyle w:val="25"/>
        <w:ind w:firstLine="480"/>
      </w:pPr>
      <w:r>
        <w:rPr>
          <w:rFonts w:hint="eastAsia"/>
        </w:rPr>
        <w:t>仅从正极材料端改性难以完全解决</w:t>
      </w:r>
      <w:r>
        <w:t xml:space="preserve"> LNMO </w:t>
      </w:r>
      <w:r>
        <w:rPr>
          <w:rFonts w:hint="eastAsia"/>
        </w:rPr>
        <w:t>的高压界面问题。近年来的研究开始重视电解液添加剂与正极表面协同成膜。例如，高压</w:t>
      </w:r>
      <w:r>
        <w:t xml:space="preserve"> LNMO </w:t>
      </w:r>
      <w:r>
        <w:rPr>
          <w:rFonts w:hint="eastAsia"/>
        </w:rPr>
        <w:t>电解液添加剂研究表明，合适添加剂可以改变</w:t>
      </w:r>
      <w:r>
        <w:t xml:space="preserve"> CEI </w:t>
      </w:r>
      <w:r>
        <w:rPr>
          <w:rFonts w:hint="eastAsia"/>
        </w:rPr>
        <w:t>的组成和稳定性，从而改善高电压循环表现</w:t>
      </w:r>
      <w:r>
        <w:rPr>
          <w:rFonts w:hint="eastAsia"/>
          <w:vertAlign w:val="superscript"/>
        </w:rPr>
        <w:t>[12]</w:t>
      </w:r>
      <w:r>
        <w:rPr>
          <w:rFonts w:hint="eastAsia"/>
        </w:rPr>
        <w:t>。这类策略的核心不是单纯扩大电解液氧化窗口，而是在高电压下形成薄而稳定、离子可导、电子绝缘的界面层。</w:t>
      </w:r>
    </w:p>
    <w:p w14:paraId="232CEAB8">
      <w:pPr>
        <w:pStyle w:val="3"/>
        <w:ind w:firstLine="480"/>
      </w:pPr>
      <w:r>
        <w:rPr>
          <w:rFonts w:hint="eastAsia"/>
        </w:rPr>
        <w:t>从工程角度看，材料制备与电解液设计应同步推进。若正极颗粒存在大量裂纹或表面缺陷，电解液添加剂会被持续消耗；若包覆层过厚或不均匀，即使电解液稳定性提高，也可能出现倍率性能下降。因此，LNMO</w:t>
      </w:r>
      <w:r>
        <w:t xml:space="preserve"> </w:t>
      </w:r>
      <w:r>
        <w:rPr>
          <w:rFonts w:hint="eastAsia"/>
        </w:rPr>
        <w:t>的产业化更可能依赖“前驱体均匀化-晶粒/晶界调控-适度掺杂-表面成膜-高压电解液”的</w:t>
      </w:r>
      <w:bookmarkStart w:id="34" w:name="_GoBack"/>
      <w:bookmarkEnd w:id="34"/>
      <w:r>
        <w:rPr>
          <w:rFonts w:hint="eastAsia"/>
        </w:rPr>
        <w:t>组合方案。</w:t>
      </w:r>
    </w:p>
    <w:bookmarkEnd w:id="25"/>
    <w:p w14:paraId="0D35513D">
      <w:pPr>
        <w:pStyle w:val="4"/>
        <w:spacing w:before="200" w:after="120"/>
      </w:pPr>
      <w:bookmarkStart w:id="26" w:name="_Toc233753520"/>
      <w:bookmarkStart w:id="27" w:name="主要改性策略对比"/>
      <w:r>
        <w:t xml:space="preserve">4.4 </w:t>
      </w:r>
      <w:r>
        <w:rPr>
          <w:rFonts w:hint="eastAsia"/>
        </w:rPr>
        <w:t>主要改性策略对比</w:t>
      </w:r>
      <w:bookmarkEnd w:id="26"/>
    </w:p>
    <w:tbl>
      <w:tblPr>
        <w:tblStyle w:val="4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800"/>
        <w:gridCol w:w="1801"/>
        <w:gridCol w:w="1801"/>
        <w:gridCol w:w="1801"/>
      </w:tblGrid>
      <w:tr w14:paraId="6209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tcBorders>
              <w:insideH w:val="single" w:sz="0" w:space="0"/>
              <w:tl2br w:val="nil"/>
              <w:tr2bl w:val="nil"/>
            </w:tcBorders>
            <w:vAlign w:val="bottom"/>
          </w:tcPr>
          <w:p w14:paraId="517A5412">
            <w:pPr>
              <w:pStyle w:val="26"/>
            </w:pPr>
            <w:r>
              <w:rPr>
                <w:rFonts w:hint="eastAsia"/>
              </w:rPr>
              <w:t>改性方向</w:t>
            </w:r>
          </w:p>
        </w:tc>
        <w:tc>
          <w:tcPr>
            <w:tcW w:w="1584" w:type="dxa"/>
            <w:tcBorders>
              <w:insideH w:val="single" w:sz="0" w:space="0"/>
              <w:tl2br w:val="nil"/>
              <w:tr2bl w:val="nil"/>
            </w:tcBorders>
            <w:vAlign w:val="bottom"/>
          </w:tcPr>
          <w:p w14:paraId="5CF8183E">
            <w:pPr>
              <w:pStyle w:val="26"/>
            </w:pPr>
            <w:r>
              <w:rPr>
                <w:rFonts w:hint="eastAsia"/>
              </w:rPr>
              <w:t>代表方法</w:t>
            </w:r>
          </w:p>
        </w:tc>
        <w:tc>
          <w:tcPr>
            <w:tcW w:w="1584" w:type="dxa"/>
            <w:tcBorders>
              <w:insideH w:val="single" w:sz="0" w:space="0"/>
              <w:tl2br w:val="nil"/>
              <w:tr2bl w:val="nil"/>
            </w:tcBorders>
            <w:vAlign w:val="bottom"/>
          </w:tcPr>
          <w:p w14:paraId="34C6FD55">
            <w:pPr>
              <w:pStyle w:val="26"/>
            </w:pPr>
            <w:r>
              <w:rPr>
                <w:rFonts w:hint="eastAsia"/>
              </w:rPr>
              <w:t>主要作用</w:t>
            </w:r>
          </w:p>
        </w:tc>
        <w:tc>
          <w:tcPr>
            <w:tcW w:w="1584" w:type="dxa"/>
            <w:tcBorders>
              <w:insideH w:val="single" w:sz="0" w:space="0"/>
              <w:tl2br w:val="nil"/>
              <w:tr2bl w:val="nil"/>
            </w:tcBorders>
            <w:vAlign w:val="bottom"/>
          </w:tcPr>
          <w:p w14:paraId="50F1748E">
            <w:pPr>
              <w:pStyle w:val="26"/>
            </w:pPr>
            <w:r>
              <w:rPr>
                <w:rFonts w:hint="eastAsia"/>
              </w:rPr>
              <w:t>优势</w:t>
            </w:r>
          </w:p>
        </w:tc>
        <w:tc>
          <w:tcPr>
            <w:tcW w:w="1584" w:type="dxa"/>
            <w:tcBorders>
              <w:insideH w:val="single" w:sz="0" w:space="0"/>
              <w:tl2br w:val="nil"/>
              <w:tr2bl w:val="nil"/>
            </w:tcBorders>
            <w:vAlign w:val="bottom"/>
          </w:tcPr>
          <w:p w14:paraId="5A113AC9">
            <w:pPr>
              <w:pStyle w:val="26"/>
            </w:pPr>
            <w:r>
              <w:rPr>
                <w:rFonts w:hint="eastAsia"/>
              </w:rPr>
              <w:t>局限性</w:t>
            </w:r>
          </w:p>
        </w:tc>
      </w:tr>
      <w:tr w14:paraId="1A95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l2br w:val="nil"/>
              <w:tr2bl w:val="nil"/>
            </w:tcBorders>
          </w:tcPr>
          <w:p w14:paraId="0FE9CBFC">
            <w:pPr>
              <w:pStyle w:val="26"/>
            </w:pPr>
            <w:r>
              <w:rPr>
                <w:rFonts w:hint="eastAsia"/>
              </w:rPr>
              <w:t>结构有序度调控</w:t>
            </w:r>
          </w:p>
        </w:tc>
        <w:tc>
          <w:tcPr>
            <w:tcW w:w="1584" w:type="dxa"/>
            <w:tcBorders>
              <w:tl2br w:val="nil"/>
              <w:tr2bl w:val="nil"/>
            </w:tcBorders>
          </w:tcPr>
          <w:p w14:paraId="174341F0">
            <w:pPr>
              <w:pStyle w:val="26"/>
            </w:pPr>
            <w:r>
              <w:rPr>
                <w:rFonts w:hint="eastAsia"/>
              </w:rPr>
              <w:t>烧结温度、氧分压、冷却速率调节</w:t>
            </w:r>
          </w:p>
        </w:tc>
        <w:tc>
          <w:tcPr>
            <w:tcW w:w="1584" w:type="dxa"/>
            <w:tcBorders>
              <w:tl2br w:val="nil"/>
              <w:tr2bl w:val="nil"/>
            </w:tcBorders>
          </w:tcPr>
          <w:p w14:paraId="0A45614B">
            <w:pPr>
              <w:pStyle w:val="26"/>
            </w:pPr>
            <w:r>
              <w:rPr>
                <w:rFonts w:hint="eastAsia"/>
              </w:rPr>
              <w:t>平衡电子传导与结构稳定性</w:t>
            </w:r>
          </w:p>
        </w:tc>
        <w:tc>
          <w:tcPr>
            <w:tcW w:w="1584" w:type="dxa"/>
            <w:tcBorders>
              <w:tl2br w:val="nil"/>
              <w:tr2bl w:val="nil"/>
            </w:tcBorders>
          </w:tcPr>
          <w:p w14:paraId="22B22A34">
            <w:pPr>
              <w:pStyle w:val="26"/>
            </w:pPr>
            <w:r>
              <w:rPr>
                <w:rFonts w:hint="eastAsia"/>
              </w:rPr>
              <w:t>工艺直接，可与现有烧结流程兼容</w:t>
            </w:r>
          </w:p>
        </w:tc>
        <w:tc>
          <w:tcPr>
            <w:tcW w:w="1584" w:type="dxa"/>
            <w:tcBorders>
              <w:tl2br w:val="nil"/>
              <w:tr2bl w:val="nil"/>
            </w:tcBorders>
          </w:tcPr>
          <w:p w14:paraId="2809C9F5">
            <w:pPr>
              <w:pStyle w:val="26"/>
            </w:pPr>
            <w:r>
              <w:rPr>
                <w:rFonts w:hint="eastAsia"/>
              </w:rPr>
              <w:t>窗口较窄，批次稳定性要求高</w:t>
            </w:r>
          </w:p>
        </w:tc>
      </w:tr>
      <w:tr w14:paraId="69F0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l2br w:val="nil"/>
              <w:tr2bl w:val="nil"/>
            </w:tcBorders>
          </w:tcPr>
          <w:p w14:paraId="77D8EEAE">
            <w:pPr>
              <w:pStyle w:val="26"/>
            </w:pPr>
            <w:r>
              <w:rPr>
                <w:rFonts w:hint="eastAsia"/>
              </w:rPr>
              <w:t>颗粒与晶界工程</w:t>
            </w:r>
          </w:p>
        </w:tc>
        <w:tc>
          <w:tcPr>
            <w:tcW w:w="1584" w:type="dxa"/>
            <w:tcBorders>
              <w:tl2br w:val="nil"/>
              <w:tr2bl w:val="nil"/>
            </w:tcBorders>
          </w:tcPr>
          <w:p w14:paraId="58498764">
            <w:pPr>
              <w:pStyle w:val="26"/>
            </w:pPr>
            <w:r>
              <w:rPr>
                <w:rFonts w:hint="eastAsia"/>
              </w:rPr>
              <w:t>前驱体均匀化、粒径控制、晶界优化</w:t>
            </w:r>
          </w:p>
        </w:tc>
        <w:tc>
          <w:tcPr>
            <w:tcW w:w="1584" w:type="dxa"/>
            <w:tcBorders>
              <w:tl2br w:val="nil"/>
              <w:tr2bl w:val="nil"/>
            </w:tcBorders>
          </w:tcPr>
          <w:p w14:paraId="17DBDCAD">
            <w:pPr>
              <w:pStyle w:val="26"/>
            </w:pPr>
            <w:r>
              <w:rPr>
                <w:rFonts w:hint="eastAsia"/>
              </w:rPr>
              <w:t>降低微裂纹和新鲜界面暴露</w:t>
            </w:r>
          </w:p>
        </w:tc>
        <w:tc>
          <w:tcPr>
            <w:tcW w:w="1584" w:type="dxa"/>
            <w:tcBorders>
              <w:tl2br w:val="nil"/>
              <w:tr2bl w:val="nil"/>
            </w:tcBorders>
          </w:tcPr>
          <w:p w14:paraId="68AD880D">
            <w:pPr>
              <w:pStyle w:val="26"/>
            </w:pPr>
            <w:r>
              <w:rPr>
                <w:rFonts w:hint="eastAsia"/>
              </w:rPr>
              <w:t>能同时影响倍率和寿命</w:t>
            </w:r>
          </w:p>
        </w:tc>
        <w:tc>
          <w:tcPr>
            <w:tcW w:w="1584" w:type="dxa"/>
            <w:tcBorders>
              <w:tl2br w:val="nil"/>
              <w:tr2bl w:val="nil"/>
            </w:tcBorders>
          </w:tcPr>
          <w:p w14:paraId="64494532">
            <w:pPr>
              <w:pStyle w:val="26"/>
            </w:pPr>
            <w:r>
              <w:rPr>
                <w:rFonts w:hint="eastAsia"/>
              </w:rPr>
              <w:t>制备过程复杂，表征与质量控制难度高</w:t>
            </w:r>
          </w:p>
        </w:tc>
      </w:tr>
      <w:tr w14:paraId="0908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tcBorders>
              <w:tl2br w:val="nil"/>
              <w:tr2bl w:val="nil"/>
            </w:tcBorders>
          </w:tcPr>
          <w:p w14:paraId="479CF5AA">
            <w:pPr>
              <w:pStyle w:val="26"/>
            </w:pPr>
            <w:r>
              <w:rPr>
                <w:rFonts w:hint="eastAsia"/>
              </w:rPr>
              <w:t>阳离子掺杂</w:t>
            </w:r>
          </w:p>
        </w:tc>
        <w:tc>
          <w:tcPr>
            <w:tcW w:w="1584" w:type="dxa"/>
            <w:tcBorders>
              <w:tl2br w:val="nil"/>
              <w:tr2bl w:val="nil"/>
            </w:tcBorders>
          </w:tcPr>
          <w:p w14:paraId="6B894F6D">
            <w:pPr>
              <w:pStyle w:val="26"/>
            </w:pPr>
            <w:r>
              <w:t xml:space="preserve">Ti、Zr、Mg、Al </w:t>
            </w:r>
            <w:r>
              <w:rPr>
                <w:rFonts w:hint="eastAsia"/>
              </w:rPr>
              <w:t>等</w:t>
            </w:r>
          </w:p>
        </w:tc>
        <w:tc>
          <w:tcPr>
            <w:tcW w:w="1584" w:type="dxa"/>
            <w:tcBorders>
              <w:tl2br w:val="nil"/>
              <w:tr2bl w:val="nil"/>
            </w:tcBorders>
          </w:tcPr>
          <w:p w14:paraId="0DB8EC2E">
            <w:pPr>
              <w:pStyle w:val="26"/>
            </w:pPr>
            <w:r>
              <w:rPr>
                <w:rFonts w:hint="eastAsia"/>
              </w:rPr>
              <w:t>稳定过渡金属-氧骨架，抑制结构退化</w:t>
            </w:r>
          </w:p>
        </w:tc>
        <w:tc>
          <w:tcPr>
            <w:tcW w:w="1584" w:type="dxa"/>
            <w:tcBorders>
              <w:tl2br w:val="nil"/>
              <w:tr2bl w:val="nil"/>
            </w:tcBorders>
          </w:tcPr>
          <w:p w14:paraId="0A4963A0">
            <w:pPr>
              <w:pStyle w:val="26"/>
            </w:pPr>
            <w:r>
              <w:rPr>
                <w:rFonts w:hint="eastAsia"/>
              </w:rPr>
              <w:t>对高温循环和结构稳定性有利</w:t>
            </w:r>
          </w:p>
        </w:tc>
        <w:tc>
          <w:tcPr>
            <w:tcW w:w="1584" w:type="dxa"/>
            <w:tcBorders>
              <w:tl2br w:val="nil"/>
              <w:tr2bl w:val="nil"/>
            </w:tcBorders>
          </w:tcPr>
          <w:p w14:paraId="3C7FAC78">
            <w:pPr>
              <w:pStyle w:val="26"/>
            </w:pPr>
            <w:r>
              <w:rPr>
                <w:rFonts w:hint="eastAsia"/>
              </w:rPr>
              <w:t>过量掺杂会牺牲容量</w:t>
            </w:r>
          </w:p>
        </w:tc>
      </w:tr>
      <w:tr w14:paraId="74A2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l2br w:val="nil"/>
              <w:tr2bl w:val="nil"/>
            </w:tcBorders>
          </w:tcPr>
          <w:p w14:paraId="1E59EA4F">
            <w:pPr>
              <w:pStyle w:val="26"/>
            </w:pPr>
            <w:r>
              <w:rPr>
                <w:rFonts w:hint="eastAsia"/>
              </w:rPr>
              <w:t>阴离子/协同掺杂</w:t>
            </w:r>
          </w:p>
        </w:tc>
        <w:tc>
          <w:tcPr>
            <w:tcW w:w="1584" w:type="dxa"/>
            <w:tcBorders>
              <w:tl2br w:val="nil"/>
              <w:tr2bl w:val="nil"/>
            </w:tcBorders>
          </w:tcPr>
          <w:p w14:paraId="7A7EA7E5">
            <w:pPr>
              <w:pStyle w:val="26"/>
            </w:pPr>
            <w:r>
              <w:t xml:space="preserve">F </w:t>
            </w:r>
            <w:r>
              <w:rPr>
                <w:rFonts w:hint="eastAsia"/>
              </w:rPr>
              <w:t>掺杂、Mg/F</w:t>
            </w:r>
            <w:r>
              <w:t xml:space="preserve"> </w:t>
            </w:r>
            <w:r>
              <w:rPr>
                <w:rFonts w:hint="eastAsia"/>
              </w:rPr>
              <w:t>共掺杂</w:t>
            </w:r>
          </w:p>
        </w:tc>
        <w:tc>
          <w:tcPr>
            <w:tcW w:w="1584" w:type="dxa"/>
            <w:tcBorders>
              <w:tl2br w:val="nil"/>
              <w:tr2bl w:val="nil"/>
            </w:tcBorders>
          </w:tcPr>
          <w:p w14:paraId="67FBFC2B">
            <w:pPr>
              <w:pStyle w:val="26"/>
            </w:pPr>
            <w:r>
              <w:rPr>
                <w:rFonts w:hint="eastAsia"/>
              </w:rPr>
              <w:t>稳定阴离子框架并调节缺陷</w:t>
            </w:r>
          </w:p>
        </w:tc>
        <w:tc>
          <w:tcPr>
            <w:tcW w:w="1584" w:type="dxa"/>
            <w:tcBorders>
              <w:tl2br w:val="nil"/>
              <w:tr2bl w:val="nil"/>
            </w:tcBorders>
          </w:tcPr>
          <w:p w14:paraId="4905E0C0">
            <w:pPr>
              <w:pStyle w:val="26"/>
            </w:pPr>
            <w:r>
              <w:rPr>
                <w:rFonts w:hint="eastAsia"/>
              </w:rPr>
              <w:t>可改善高压循环稳定性</w:t>
            </w:r>
          </w:p>
        </w:tc>
        <w:tc>
          <w:tcPr>
            <w:tcW w:w="1584" w:type="dxa"/>
            <w:tcBorders>
              <w:tl2br w:val="nil"/>
              <w:tr2bl w:val="nil"/>
            </w:tcBorders>
          </w:tcPr>
          <w:p w14:paraId="018C0B82">
            <w:pPr>
              <w:pStyle w:val="26"/>
            </w:pPr>
            <w:r>
              <w:rPr>
                <w:rFonts w:hint="eastAsia"/>
              </w:rPr>
              <w:t>掺杂均匀性和副相控制困难</w:t>
            </w:r>
          </w:p>
        </w:tc>
      </w:tr>
      <w:tr w14:paraId="4449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l2br w:val="nil"/>
              <w:tr2bl w:val="nil"/>
            </w:tcBorders>
          </w:tcPr>
          <w:p w14:paraId="0AD77A0D">
            <w:pPr>
              <w:pStyle w:val="26"/>
            </w:pPr>
            <w:r>
              <w:rPr>
                <w:rFonts w:hint="eastAsia"/>
              </w:rPr>
              <w:t>表面包覆</w:t>
            </w:r>
          </w:p>
        </w:tc>
        <w:tc>
          <w:tcPr>
            <w:tcW w:w="1584" w:type="dxa"/>
            <w:tcBorders>
              <w:tl2br w:val="nil"/>
              <w:tr2bl w:val="nil"/>
            </w:tcBorders>
          </w:tcPr>
          <w:p w14:paraId="07720D55">
            <w:pPr>
              <w:pStyle w:val="26"/>
            </w:pPr>
            <w:r>
              <w:rPr>
                <w:rFonts w:hint="eastAsia"/>
              </w:rPr>
              <w:t>氧化物、磷酸盐、硼酸盐、含锂导体层</w:t>
            </w:r>
          </w:p>
        </w:tc>
        <w:tc>
          <w:tcPr>
            <w:tcW w:w="1584" w:type="dxa"/>
            <w:tcBorders>
              <w:tl2br w:val="nil"/>
              <w:tr2bl w:val="nil"/>
            </w:tcBorders>
          </w:tcPr>
          <w:p w14:paraId="3D7629BB">
            <w:pPr>
              <w:pStyle w:val="26"/>
            </w:pPr>
            <w:r>
              <w:rPr>
                <w:rFonts w:hint="eastAsia"/>
              </w:rPr>
              <w:t>隔离电解液并调控</w:t>
            </w:r>
            <w:r>
              <w:t xml:space="preserve"> CEI</w:t>
            </w:r>
          </w:p>
        </w:tc>
        <w:tc>
          <w:tcPr>
            <w:tcW w:w="1584" w:type="dxa"/>
            <w:tcBorders>
              <w:tl2br w:val="nil"/>
              <w:tr2bl w:val="nil"/>
            </w:tcBorders>
          </w:tcPr>
          <w:p w14:paraId="792BB915">
            <w:pPr>
              <w:pStyle w:val="26"/>
            </w:pPr>
            <w:r>
              <w:rPr>
                <w:rFonts w:hint="eastAsia"/>
              </w:rPr>
              <w:t>直接缓解界面副反应</w:t>
            </w:r>
          </w:p>
        </w:tc>
        <w:tc>
          <w:tcPr>
            <w:tcW w:w="1584" w:type="dxa"/>
            <w:tcBorders>
              <w:tl2br w:val="nil"/>
              <w:tr2bl w:val="nil"/>
            </w:tcBorders>
          </w:tcPr>
          <w:p w14:paraId="1D6845C7">
            <w:pPr>
              <w:pStyle w:val="26"/>
            </w:pPr>
            <w:r>
              <w:rPr>
                <w:rFonts w:hint="eastAsia"/>
              </w:rPr>
              <w:t>包覆过厚会增加阻抗</w:t>
            </w:r>
          </w:p>
        </w:tc>
      </w:tr>
      <w:tr w14:paraId="10FC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l2br w:val="nil"/>
              <w:tr2bl w:val="nil"/>
            </w:tcBorders>
          </w:tcPr>
          <w:p w14:paraId="5A79A393">
            <w:pPr>
              <w:pStyle w:val="26"/>
            </w:pPr>
            <w:r>
              <w:rPr>
                <w:rFonts w:hint="eastAsia"/>
              </w:rPr>
              <w:t>电解液添加剂</w:t>
            </w:r>
          </w:p>
        </w:tc>
        <w:tc>
          <w:tcPr>
            <w:tcW w:w="1584" w:type="dxa"/>
            <w:tcBorders>
              <w:tl2br w:val="nil"/>
              <w:tr2bl w:val="nil"/>
            </w:tcBorders>
          </w:tcPr>
          <w:p w14:paraId="07853491">
            <w:pPr>
              <w:pStyle w:val="26"/>
            </w:pPr>
            <w:r>
              <w:rPr>
                <w:rFonts w:hint="eastAsia"/>
              </w:rPr>
              <w:t>高压成膜添加剂</w:t>
            </w:r>
          </w:p>
        </w:tc>
        <w:tc>
          <w:tcPr>
            <w:tcW w:w="1584" w:type="dxa"/>
            <w:tcBorders>
              <w:tl2br w:val="nil"/>
              <w:tr2bl w:val="nil"/>
            </w:tcBorders>
          </w:tcPr>
          <w:p w14:paraId="1C3E6350">
            <w:pPr>
              <w:pStyle w:val="26"/>
            </w:pPr>
            <w:r>
              <w:rPr>
                <w:rFonts w:hint="eastAsia"/>
              </w:rPr>
              <w:t>形成更稳定</w:t>
            </w:r>
            <w:r>
              <w:t xml:space="preserve"> CEI</w:t>
            </w:r>
          </w:p>
        </w:tc>
        <w:tc>
          <w:tcPr>
            <w:tcW w:w="1584" w:type="dxa"/>
            <w:tcBorders>
              <w:tl2br w:val="nil"/>
              <w:tr2bl w:val="nil"/>
            </w:tcBorders>
          </w:tcPr>
          <w:p w14:paraId="2074B63A">
            <w:pPr>
              <w:pStyle w:val="26"/>
            </w:pPr>
            <w:r>
              <w:rPr>
                <w:rFonts w:hint="eastAsia"/>
              </w:rPr>
              <w:t>可与材料改性协同</w:t>
            </w:r>
          </w:p>
        </w:tc>
        <w:tc>
          <w:tcPr>
            <w:tcW w:w="1584" w:type="dxa"/>
            <w:tcBorders>
              <w:tl2br w:val="nil"/>
              <w:tr2bl w:val="nil"/>
            </w:tcBorders>
          </w:tcPr>
          <w:p w14:paraId="387F9175">
            <w:pPr>
              <w:pStyle w:val="26"/>
            </w:pPr>
            <w:r>
              <w:rPr>
                <w:rFonts w:hint="eastAsia"/>
              </w:rPr>
              <w:t>添加剂消耗和全电池兼容性需验证</w:t>
            </w:r>
          </w:p>
        </w:tc>
      </w:tr>
      <w:bookmarkEnd w:id="19"/>
      <w:bookmarkEnd w:id="27"/>
    </w:tbl>
    <w:p w14:paraId="3083B90A">
      <w:pPr>
        <w:pStyle w:val="2"/>
        <w:spacing w:before="200" w:after="120"/>
      </w:pPr>
      <w:bookmarkStart w:id="28" w:name="_Toc233753521"/>
      <w:bookmarkStart w:id="29" w:name="工程化展望"/>
      <w:r>
        <w:t xml:space="preserve">5. </w:t>
      </w:r>
      <w:r>
        <w:rPr>
          <w:rFonts w:hint="eastAsia"/>
        </w:rPr>
        <w:t>工程化展望</w:t>
      </w:r>
      <w:bookmarkEnd w:id="28"/>
    </w:p>
    <w:p w14:paraId="485E80AF">
      <w:pPr>
        <w:pStyle w:val="25"/>
        <w:ind w:firstLine="480"/>
      </w:pPr>
      <w:r>
        <w:t xml:space="preserve">LNMO </w:t>
      </w:r>
      <w:r>
        <w:rPr>
          <w:rFonts w:hint="eastAsia"/>
        </w:rPr>
        <w:t>的工程化关键不在于某一种单点改性，而在于建立可放大的制备-结构-性能闭环。前驱体阶段应重点控制</w:t>
      </w:r>
      <w:r>
        <w:t xml:space="preserve"> Ni/Mn </w:t>
      </w:r>
      <w:r>
        <w:rPr>
          <w:rFonts w:hint="eastAsia"/>
        </w:rPr>
        <w:t>化学计量比、元素分布均匀性、二次颗粒强度和杂质含量；烧结阶段应控制温度、氧气气氛和冷却速率，以获得适度无序且缺陷不过量的尖晶石结构</w:t>
      </w:r>
      <w:r>
        <w:rPr>
          <w:rFonts w:hint="eastAsia"/>
          <w:vertAlign w:val="superscript"/>
        </w:rPr>
        <w:t>[1,8]</w:t>
      </w:r>
      <w:r>
        <w:rPr>
          <w:rFonts w:hint="eastAsia"/>
        </w:rPr>
        <w:t>。后处理阶段则需要结合包覆和掺杂，避免包覆层不连续、过厚或在退火过程中转化为不利界面相</w:t>
      </w:r>
      <w:r>
        <w:rPr>
          <w:rFonts w:hint="eastAsia"/>
          <w:vertAlign w:val="superscript"/>
        </w:rPr>
        <w:t>[9-11]</w:t>
      </w:r>
      <w:r>
        <w:rPr>
          <w:rFonts w:hint="eastAsia"/>
        </w:rPr>
        <w:t>。</w:t>
      </w:r>
    </w:p>
    <w:p w14:paraId="6C7BA16C">
      <w:pPr>
        <w:pStyle w:val="3"/>
        <w:ind w:firstLine="480"/>
      </w:pPr>
      <w:r>
        <w:rPr>
          <w:rFonts w:hint="eastAsia"/>
        </w:rPr>
        <w:t>在全电池层面，LNMO</w:t>
      </w:r>
      <w:r>
        <w:t xml:space="preserve"> </w:t>
      </w:r>
      <w:r>
        <w:rPr>
          <w:rFonts w:hint="eastAsia"/>
        </w:rPr>
        <w:t>还需要与高压电解液、负极和隔膜进行匹配。由于过渡金属溶出会影响石墨负极</w:t>
      </w:r>
      <w:r>
        <w:t xml:space="preserve"> </w:t>
      </w:r>
      <w:r>
        <w:rPr>
          <w:rFonts w:hint="eastAsia"/>
        </w:rPr>
        <w:t>SEI，单独测试半电池往往不能完整反映材料的实际寿命。后续研究应更多采用</w:t>
      </w:r>
      <w:r>
        <w:t xml:space="preserve"> </w:t>
      </w:r>
      <w:r>
        <w:rPr>
          <w:rFonts w:hint="eastAsia"/>
        </w:rPr>
        <w:t>LNMO/石墨全电池、较高面容量电极和接近实际工况的温度与倍率条件进行评价。只有当材料制备、界面稳定和全电池兼容性同时满足要求，LNMO</w:t>
      </w:r>
      <w:r>
        <w:t xml:space="preserve"> </w:t>
      </w:r>
      <w:r>
        <w:rPr>
          <w:rFonts w:hint="eastAsia"/>
        </w:rPr>
        <w:t>才可能从实验室高性能样品走向稳定量产。</w:t>
      </w:r>
    </w:p>
    <w:bookmarkEnd w:id="29"/>
    <w:p w14:paraId="5DECA2FF">
      <w:pPr>
        <w:pStyle w:val="2"/>
        <w:spacing w:before="200" w:after="120"/>
      </w:pPr>
      <w:bookmarkStart w:id="30" w:name="_Toc233753522"/>
      <w:bookmarkStart w:id="31" w:name="结论"/>
      <w:r>
        <w:t xml:space="preserve">6. </w:t>
      </w:r>
      <w:r>
        <w:rPr>
          <w:rFonts w:hint="eastAsia"/>
        </w:rPr>
        <w:t>结论</w:t>
      </w:r>
      <w:bookmarkEnd w:id="30"/>
    </w:p>
    <w:p w14:paraId="5A35E6BA">
      <w:pPr>
        <w:pStyle w:val="25"/>
        <w:ind w:firstLine="480"/>
      </w:pPr>
      <w:r>
        <w:t xml:space="preserve">LNMO </w:t>
      </w:r>
      <w:r>
        <w:rPr>
          <w:rFonts w:hint="eastAsia"/>
        </w:rPr>
        <w:t>是兼具高电压、无钴化和三维扩散通道优势的下一代正极材料，但其高电压工作环境也带来了电解液氧化、CEI</w:t>
      </w:r>
      <w:r>
        <w:t xml:space="preserve"> </w:t>
      </w:r>
      <w:r>
        <w:rPr>
          <w:rFonts w:hint="eastAsia"/>
        </w:rPr>
        <w:t>增厚、锰溶出和颗粒机械损伤等耦合失效问题。文献综述表明，适度结构无序化有利于改善动力学，颗粒与晶界工程有利于抑制裂纹扩展，体相掺杂可增强晶格稳定性，表面包覆和电解液添加剂则主要改善界面化学稳定性。面向课程设计和后续实验方案，建议将</w:t>
      </w:r>
      <w:r>
        <w:t xml:space="preserve"> LNMO </w:t>
      </w:r>
      <w:r>
        <w:rPr>
          <w:rFonts w:hint="eastAsia"/>
        </w:rPr>
        <w:t>的研究重点放在可放大的前驱体制备、烧结气氛控制、低剂量复合掺杂、均匀薄层包覆和全电池验证上，以形成更接近工程应用的综合评价体系。</w:t>
      </w:r>
    </w:p>
    <w:bookmarkEnd w:id="31"/>
    <w:p w14:paraId="60E16275">
      <w:pPr>
        <w:pStyle w:val="2"/>
        <w:spacing w:before="200" w:after="120"/>
      </w:pPr>
      <w:bookmarkStart w:id="32" w:name="_Toc233753523"/>
      <w:bookmarkStart w:id="33" w:name="参考文献"/>
      <w:r>
        <w:t xml:space="preserve">7. </w:t>
      </w:r>
      <w:r>
        <w:rPr>
          <w:rFonts w:hint="eastAsia"/>
        </w:rPr>
        <w:t>参考文献</w:t>
      </w:r>
      <w:bookmarkEnd w:id="32"/>
    </w:p>
    <w:p w14:paraId="418B0A21">
      <w:pPr>
        <w:pStyle w:val="25"/>
        <w:numPr>
          <w:ilvl w:val="0"/>
          <w:numId w:val="1"/>
        </w:numPr>
        <w:ind w:left="425" w:leftChars="0" w:hanging="425" w:firstLineChars="0"/>
      </w:pPr>
      <w:r>
        <w:t xml:space="preserve">Nisar U, Reichel B, Mundszinger M, et al. Tailoring Co-free LiNi0.5Mn1.5O4 material for high-voltage lithium-ion batteries: particle design &amp; grain boundary engineering. </w:t>
      </w:r>
      <w:r>
        <w:rPr>
          <w:i/>
          <w:iCs/>
        </w:rPr>
        <w:t>Advanced Energy Materials</w:t>
      </w:r>
      <w:r>
        <w:t>, 2024, 14(43): 2403024. https://doi.org/10.1002/aenm.202403024</w:t>
      </w:r>
    </w:p>
    <w:p w14:paraId="0E1075D9">
      <w:pPr>
        <w:pStyle w:val="3"/>
        <w:numPr>
          <w:ilvl w:val="0"/>
          <w:numId w:val="1"/>
        </w:numPr>
        <w:ind w:left="425" w:leftChars="0" w:hanging="425" w:firstLineChars="0"/>
      </w:pPr>
      <w:r>
        <w:t xml:space="preserve">Ma J, Hu P, Cui G, et al. Surface and interface issues in spinel LiNi0.5Mn1.5O4: insights into a potential cathode material for high energy density lithium ion batteries. </w:t>
      </w:r>
      <w:r>
        <w:rPr>
          <w:i/>
          <w:iCs/>
        </w:rPr>
        <w:t>Chemistry of Materials</w:t>
      </w:r>
      <w:r>
        <w:t>, 2016, 28(11): 3578-3606. https://doi.org/10.1021/acs.chemmater.6b00948</w:t>
      </w:r>
    </w:p>
    <w:p w14:paraId="2885C1DA">
      <w:pPr>
        <w:pStyle w:val="3"/>
        <w:numPr>
          <w:ilvl w:val="0"/>
          <w:numId w:val="1"/>
        </w:numPr>
        <w:ind w:left="425" w:leftChars="0" w:hanging="425" w:firstLineChars="0"/>
      </w:pPr>
      <w:r>
        <w:t xml:space="preserve">Kunduraci M, Al-Sharab J F, Amatucci G G. High-power nanostructured LiMn2-xNixO4 high-voltage lithium-ion battery electrode materials: electrochemical impact of electronic conductivity and morphology. </w:t>
      </w:r>
      <w:r>
        <w:rPr>
          <w:i/>
          <w:iCs/>
        </w:rPr>
        <w:t>Chemistry of Materials</w:t>
      </w:r>
      <w:r>
        <w:t>, 2006, 18(15): 3585-3592. https://doi.org/10.1021/cm060729s</w:t>
      </w:r>
    </w:p>
    <w:p w14:paraId="2E6A8EA1">
      <w:pPr>
        <w:pStyle w:val="3"/>
        <w:numPr>
          <w:ilvl w:val="0"/>
          <w:numId w:val="1"/>
        </w:numPr>
        <w:ind w:left="425" w:leftChars="0" w:hanging="425" w:firstLineChars="0"/>
      </w:pPr>
      <w:r>
        <w:t xml:space="preserve">Zhu R, Zhang S, Guo Q, et al. More than just a protection layer: inducing chemical interaction between Li3BO3 and LiNi0.5Mn1.5O4 to achieve stable high-rate cycling cathode materials. </w:t>
      </w:r>
      <w:r>
        <w:rPr>
          <w:i/>
          <w:iCs/>
        </w:rPr>
        <w:t>Electrochimica Acta</w:t>
      </w:r>
      <w:r>
        <w:t>, 2020, 342: 136074. https://doi.org/10.1016/j.electacta.2020.136074</w:t>
      </w:r>
    </w:p>
    <w:p w14:paraId="48EE8670">
      <w:pPr>
        <w:pStyle w:val="3"/>
        <w:numPr>
          <w:ilvl w:val="0"/>
          <w:numId w:val="1"/>
        </w:numPr>
        <w:ind w:left="425" w:leftChars="0" w:hanging="425" w:firstLineChars="0"/>
      </w:pPr>
      <w:r>
        <w:t xml:space="preserve">Liu H, Wang J, Zhang X, et al. Morphological evolution of high-voltage spinel LiNi0.5Mn1.5O4 cathode materials for lithium-ion batteries: the critical effects of surface orientations and particle size. </w:t>
      </w:r>
      <w:r>
        <w:rPr>
          <w:i/>
          <w:iCs/>
        </w:rPr>
        <w:t>ACS Applied Materials &amp; Interfaces</w:t>
      </w:r>
      <w:r>
        <w:t>, 2016, 8(7): 4661-4675. https://doi.org/10.1021/acsami.5b11389</w:t>
      </w:r>
    </w:p>
    <w:p w14:paraId="01A84943">
      <w:pPr>
        <w:pStyle w:val="3"/>
        <w:numPr>
          <w:ilvl w:val="0"/>
          <w:numId w:val="1"/>
        </w:numPr>
        <w:ind w:left="425" w:leftChars="0" w:hanging="425" w:firstLineChars="0"/>
      </w:pPr>
      <w:r>
        <w:t xml:space="preserve">Kocak T, Wu L, Ugur A, et al. Effect of doping amount on capacity retention and electrolyte decomposition of LiNi0.5Mn1.5O4-based cathode at high temperature. </w:t>
      </w:r>
      <w:r>
        <w:rPr>
          <w:i/>
          <w:iCs/>
        </w:rPr>
        <w:t>Journal of Solid State Chemistry</w:t>
      </w:r>
      <w:r>
        <w:t>, 2022, 310: 123006. https://doi.org/10.1016/j.jssc.2022.123006</w:t>
      </w:r>
    </w:p>
    <w:p w14:paraId="300F4943">
      <w:pPr>
        <w:pStyle w:val="3"/>
        <w:numPr>
          <w:ilvl w:val="0"/>
          <w:numId w:val="1"/>
        </w:numPr>
        <w:ind w:left="425" w:leftChars="0" w:hanging="425" w:firstLineChars="0"/>
      </w:pPr>
      <w:r>
        <w:t xml:space="preserve">Wei A, Li W, Chang Q, et al. Effect of Mg2+/F- co-doping on electrochemical performance of LiNi0.5Mn1.5O4 for 5 V lithium-ion batteries. </w:t>
      </w:r>
      <w:r>
        <w:rPr>
          <w:i/>
          <w:iCs/>
        </w:rPr>
        <w:t>Electrochimica Acta</w:t>
      </w:r>
      <w:r>
        <w:t>, 2019, 323: 134692. https://doi.org/10.1016/j.electacta.2019.134692</w:t>
      </w:r>
    </w:p>
    <w:p w14:paraId="557A527A">
      <w:pPr>
        <w:pStyle w:val="3"/>
        <w:numPr>
          <w:ilvl w:val="0"/>
          <w:numId w:val="1"/>
        </w:numPr>
        <w:ind w:left="425" w:leftChars="0" w:hanging="425" w:firstLineChars="0"/>
      </w:pPr>
      <w:r>
        <w:t xml:space="preserve">Song Y W, Lee J, Jung Y, et al. Zr-doped high-voltage spinel LiNi0.5Mn1.5O4 manufactured via the coprecipitation method. </w:t>
      </w:r>
      <w:r>
        <w:rPr>
          <w:i/>
          <w:iCs/>
        </w:rPr>
        <w:t>Langmuir</w:t>
      </w:r>
      <w:r>
        <w:t>, 2024, 40(43): 22803-22811. https://doi.org/10.1021/acs.langmuir.4c02846</w:t>
      </w:r>
    </w:p>
    <w:p w14:paraId="50BAEE12">
      <w:pPr>
        <w:pStyle w:val="3"/>
        <w:numPr>
          <w:ilvl w:val="0"/>
          <w:numId w:val="1"/>
        </w:numPr>
        <w:ind w:left="425" w:leftChars="0" w:hanging="425" w:firstLineChars="0"/>
      </w:pPr>
      <w:r>
        <w:t xml:space="preserve">Qureshi Z A, Tariq H A, Shakoor R A, et al. Impact of coatings on the electrochemical performance of LiNi0.5Mn1.5O4 cathode materials: a focused review. </w:t>
      </w:r>
      <w:r>
        <w:rPr>
          <w:i/>
          <w:iCs/>
        </w:rPr>
        <w:t>Ceramics International</w:t>
      </w:r>
      <w:r>
        <w:t>, 2022, 48(6): 7374-7392. https://doi.org/10.1016/j.ceramint.2021.12.118</w:t>
      </w:r>
    </w:p>
    <w:p w14:paraId="2E4BFF4F">
      <w:pPr>
        <w:pStyle w:val="3"/>
        <w:numPr>
          <w:ilvl w:val="0"/>
          <w:numId w:val="1"/>
        </w:numPr>
        <w:ind w:left="425" w:leftChars="0" w:hanging="425" w:firstLineChars="0"/>
      </w:pPr>
      <w:r>
        <w:t xml:space="preserve">Østli E R, Tesfamhret Y, Wenner S, et al. Limitations of ultrathin Al2O3 coatings on LNMO cathodes. </w:t>
      </w:r>
      <w:r>
        <w:rPr>
          <w:i/>
          <w:iCs/>
        </w:rPr>
        <w:t>ACS Omega</w:t>
      </w:r>
      <w:r>
        <w:t>, 2021, 6(45): 30644-30655. https://doi.org/10.1021/acsomega.1c04457</w:t>
      </w:r>
    </w:p>
    <w:p w14:paraId="348E3A37">
      <w:pPr>
        <w:pStyle w:val="3"/>
        <w:numPr>
          <w:ilvl w:val="0"/>
          <w:numId w:val="1"/>
        </w:numPr>
        <w:ind w:left="425" w:leftChars="0" w:hanging="425" w:firstLineChars="0"/>
      </w:pPr>
      <w:r>
        <w:t xml:space="preserve">Yan S, Sun X, Zhang Y, et al. From coating to doping: effect of post-annealing temperature on the alumina coating of LiNi0.5Mn1.5O4 cathode material. </w:t>
      </w:r>
      <w:r>
        <w:rPr>
          <w:i/>
          <w:iCs/>
        </w:rPr>
        <w:t>Journal of Solid State Chemistry</w:t>
      </w:r>
      <w:r>
        <w:t>, 2022, 306: 122765. https://doi.org/10.1016/j.jssc.2021.122765</w:t>
      </w:r>
    </w:p>
    <w:p w14:paraId="4F5C1284">
      <w:pPr>
        <w:pStyle w:val="3"/>
        <w:numPr>
          <w:ilvl w:val="0"/>
          <w:numId w:val="1"/>
        </w:numPr>
        <w:ind w:left="425" w:leftChars="0" w:hanging="425" w:firstLineChars="0"/>
      </w:pPr>
      <w:r>
        <w:t xml:space="preserve">Mu J, Wei A, Li X, et al. Exploring the impact of synergistic dual-additive electrolytes on 5 V-class LiNi0.5Mn1.5O4 cathodes. </w:t>
      </w:r>
      <w:r>
        <w:rPr>
          <w:i/>
          <w:iCs/>
        </w:rPr>
        <w:t>Journal of Power Sources</w:t>
      </w:r>
      <w:r>
        <w:t>, 2024, 611: 234707. https://doi.org/10.1016/j.jpowsour.2024.234707</w:t>
      </w:r>
      <w:bookmarkEnd w:id="33"/>
    </w:p>
    <w:sectPr>
      <w:footerReference r:id="rId5" w:type="default"/>
      <w:footnotePr>
        <w:numRestart w:val="eachSect"/>
      </w:footnotePr>
      <w:pgSz w:w="11906" w:h="16838"/>
      <w:pgMar w:top="1701" w:right="1417" w:bottom="1417" w:left="1701" w:header="850" w:footer="850" w:gutter="0"/>
      <w:pgBorders>
        <w:top w:val="none" w:sz="0" w:space="0"/>
        <w:left w:val="none" w:sz="0" w:space="0"/>
        <w:bottom w:val="none" w:sz="0" w:space="0"/>
        <w:right w:val="none" w:sz="0" w:space="0"/>
      </w:pgBorders>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Aptos">
    <w:panose1 w:val="020B0004020202090204"/>
    <w:charset w:val="00"/>
    <w:family w:val="swiss"/>
    <w:pitch w:val="default"/>
    <w:sig w:usb0="20000287" w:usb1="00000003" w:usb2="00000000" w:usb3="00000000" w:csb0="2000019F" w:csb1="00000000"/>
  </w:font>
  <w:font w:name="等线">
    <w:panose1 w:val="02010600030101010101"/>
    <w:charset w:val="86"/>
    <w:family w:val="auto"/>
    <w:pitch w:val="default"/>
    <w:sig w:usb0="800002BF" w:usb1="38CF7CFA" w:usb2="00000016" w:usb3="00000000" w:csb0="00040001" w:csb1="00000000"/>
  </w:font>
  <w:font w:name="Aptos Display">
    <w:panose1 w:val="020B0004020202090204"/>
    <w:charset w:val="00"/>
    <w:family w:val="swiss"/>
    <w:pitch w:val="default"/>
    <w:sig w:usb0="20000287" w:usb1="00000003" w:usb2="00000000" w:usb3="00000000" w:csb0="2000019F" w:csb1="00000000"/>
  </w:font>
  <w:font w:name="等线 Light">
    <w:panose1 w:val="02010600030101010101"/>
    <w:charset w:val="86"/>
    <w:family w:val="auto"/>
    <w:pitch w:val="default"/>
    <w:sig w:usb0="800002BF" w:usb1="38CF7CFA" w:usb2="00000016" w:usb3="00000000" w:csb0="00040001" w:csb1="00000000"/>
  </w:font>
  <w:font w:name="Consolas">
    <w:panose1 w:val="020B0609020204030204"/>
    <w:charset w:val="00"/>
    <w:family w:val="roman"/>
    <w:pitch w:val="default"/>
    <w:sig w:usb0="A00002EF" w:usb1="4000204B" w:usb2="00000000" w:usb3="00000000" w:csb0="2000009F"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5AAE7">
    <w:pPr>
      <w:jc w:val="center"/>
    </w:pPr>
    <w:r>
      <w:rPr>
        <w:rFonts w:ascii="Times New Roman" w:hAnsi="Times New Roman" w:eastAsia="宋体"/>
        <w:sz w:val="20"/>
      </w:rPr>
      <w:t xml:space="preserve">第 </w:t>
    </w:r>
    <w:r>
      <w:rPr>
        <w:rFonts w:ascii="Times New Roman" w:hAnsi="Times New Roman" w:eastAsia="宋体"/>
        <w:sz w:val="20"/>
      </w:rPr>
      <w:fldChar w:fldCharType="begin"/>
    </w:r>
    <w:r>
      <w:rPr>
        <w:rFonts w:ascii="Times New Roman" w:hAnsi="Times New Roman" w:eastAsia="宋体"/>
        <w:sz w:val="20"/>
      </w:rPr>
      <w:instrText xml:space="preserve">PAGE</w:instrText>
    </w:r>
    <w:r>
      <w:rPr>
        <w:rFonts w:ascii="Times New Roman" w:hAnsi="Times New Roman" w:eastAsia="宋体"/>
        <w:sz w:val="20"/>
      </w:rPr>
      <w:fldChar w:fldCharType="separate"/>
    </w:r>
    <w:r>
      <w:rPr>
        <w:rFonts w:ascii="Times New Roman" w:hAnsi="Times New Roman" w:eastAsia="宋体"/>
        <w:sz w:val="20"/>
      </w:rPr>
      <w:t>2</w:t>
    </w:r>
    <w:r>
      <w:rPr>
        <w:rFonts w:ascii="Times New Roman" w:hAnsi="Times New Roman" w:eastAsia="宋体"/>
        <w:sz w:val="20"/>
      </w:rPr>
      <w:fldChar w:fldCharType="end"/>
    </w:r>
    <w:r>
      <w:rPr>
        <w:rFonts w:ascii="Times New Roman" w:hAnsi="Times New Roman" w:eastAsia="宋体"/>
        <w:sz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DBC3C"/>
    <w:multiLevelType w:val="singleLevel"/>
    <w:tmpl w:val="FF3DBC3C"/>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6E3681"/>
    <w:rsid w:val="006A0657"/>
    <w:rsid w:val="006E3681"/>
    <w:rsid w:val="00AC0DBC"/>
    <w:rsid w:val="00F63C7E"/>
    <w:rsid w:val="1CFFB4DC"/>
    <w:rsid w:val="3C7AAAEF"/>
    <w:rsid w:val="3FE96584"/>
    <w:rsid w:val="49D7D19D"/>
    <w:rsid w:val="5ABF8FDE"/>
    <w:rsid w:val="5D77EE88"/>
    <w:rsid w:val="5FD3E0B6"/>
    <w:rsid w:val="6BDF82F4"/>
    <w:rsid w:val="6FDFA5C1"/>
    <w:rsid w:val="76EF1022"/>
    <w:rsid w:val="7BAA6D56"/>
    <w:rsid w:val="9F7B15F4"/>
    <w:rsid w:val="BFFFAC31"/>
    <w:rsid w:val="DF6F7C11"/>
    <w:rsid w:val="DFD46D8F"/>
    <w:rsid w:val="DFFFE152"/>
    <w:rsid w:val="F16F66A7"/>
    <w:rsid w:val="FAF315FC"/>
    <w:rsid w:val="FCBB75E2"/>
    <w:rsid w:val="FD89074F"/>
    <w:rsid w:val="FF273527"/>
    <w:rsid w:val="FFDEE6A1"/>
    <w:rsid w:val="FFEDA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b/>
      <w:color w:val="0F4761" w:themeColor="accent1" w:themeShade="BF"/>
      <w:sz w:val="32"/>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b/>
      <w:color w:val="0F4761" w:themeColor="accent1" w:themeShade="BF"/>
      <w:sz w:val="28"/>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line="360" w:lineRule="auto"/>
      <w:ind w:firstLine="480"/>
    </w:pPr>
    <w:rPr>
      <w:rFonts w:eastAsia="宋体"/>
      <w:sz w:val="24"/>
    </w:rPr>
  </w:style>
  <w:style w:type="paragraph" w:styleId="12">
    <w:name w:val="caption"/>
    <w:basedOn w:val="1"/>
    <w:link w:val="23"/>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contextualSpacing/>
      <w:jc w:val="center"/>
    </w:pPr>
    <w:rPr>
      <w:rFonts w:asciiTheme="majorHAnsi" w:hAnsiTheme="majorHAnsi" w:eastAsiaTheme="majorEastAsia" w:cstheme="majorBidi"/>
      <w:b/>
      <w:sz w:val="36"/>
      <w:szCs w:val="56"/>
    </w:rPr>
  </w:style>
  <w:style w:type="paragraph" w:styleId="16">
    <w:name w:val="toc 1"/>
    <w:basedOn w:val="1"/>
    <w:next w:val="1"/>
    <w:autoRedefine/>
    <w:qFormat/>
    <w:uiPriority w:val="39"/>
  </w:style>
  <w:style w:type="paragraph" w:styleId="17">
    <w:name w:val="Subtitle"/>
    <w:basedOn w:val="15"/>
    <w:next w:val="3"/>
    <w:link w:val="28"/>
    <w:qFormat/>
    <w:uiPriority w:val="11"/>
    <w:pPr>
      <w:jc w:val="center"/>
    </w:pPr>
    <w:rPr>
      <w:rFonts w:ascii="宋体" w:hAnsi="宋体" w:eastAsia="宋体"/>
      <w:b w:val="0"/>
      <w:spacing w:val="15"/>
      <w:sz w:val="28"/>
      <w:szCs w:val="28"/>
    </w:rPr>
  </w:style>
  <w:style w:type="paragraph" w:styleId="18">
    <w:name w:val="footnote text"/>
    <w:basedOn w:val="1"/>
    <w:unhideWhenUsed/>
    <w:qFormat/>
    <w:uiPriority w:val="9"/>
  </w:style>
  <w:style w:type="paragraph" w:styleId="19">
    <w:name w:val="toc 2"/>
    <w:basedOn w:val="1"/>
    <w:next w:val="1"/>
    <w:autoRedefine/>
    <w:qFormat/>
    <w:uiPriority w:val="39"/>
    <w:pPr>
      <w:ind w:left="420" w:leftChars="200"/>
    </w:pPr>
  </w:style>
  <w:style w:type="character" w:styleId="22">
    <w:name w:val="Hyperlink"/>
    <w:basedOn w:val="23"/>
    <w:qFormat/>
    <w:uiPriority w:val="99"/>
    <w:rPr>
      <w:color w:val="156082" w:themeColor="accent1"/>
    </w:rPr>
  </w:style>
  <w:style w:type="character" w:customStyle="1" w:styleId="23">
    <w:name w:val="Caption Char"/>
    <w:basedOn w:val="21"/>
    <w:link w:val="12"/>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5"/>
    <w:qFormat/>
    <w:uiPriority w:val="10"/>
    <w:rPr>
      <w:rFonts w:asciiTheme="majorHAnsi" w:hAnsiTheme="majorHAnsi" w:eastAsiaTheme="majorEastAsia" w:cstheme="majorBidi"/>
      <w:sz w:val="56"/>
      <w:szCs w:val="56"/>
    </w:rPr>
  </w:style>
  <w:style w:type="character" w:customStyle="1" w:styleId="28">
    <w:name w:val="Subtitle Char"/>
    <w:basedOn w:val="21"/>
    <w:link w:val="17"/>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8"/>
      <w:szCs w:val="20"/>
    </w:rPr>
  </w:style>
  <w:style w:type="paragraph" w:customStyle="1" w:styleId="31">
    <w:name w:val="Abstract"/>
    <w:basedOn w:val="1"/>
    <w:next w:val="3"/>
    <w:qFormat/>
    <w:uiPriority w:val="0"/>
    <w:pPr>
      <w:keepNext/>
      <w:keepLines/>
      <w:spacing w:before="100" w:after="300" w:line="360" w:lineRule="auto"/>
    </w:pPr>
    <w:rPr>
      <w:sz w:val="24"/>
      <w:szCs w:val="20"/>
    </w:rPr>
  </w:style>
  <w:style w:type="paragraph" w:customStyle="1" w:styleId="32">
    <w:name w:val="Bibliography"/>
    <w:basedOn w:val="1"/>
    <w:qFormat/>
    <w:uiPriority w:val="0"/>
  </w:style>
  <w:style w:type="character" w:customStyle="1" w:styleId="33">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21"/>
    <w:link w:val="6"/>
    <w:semiHidden/>
    <w:qFormat/>
    <w:uiPriority w:val="9"/>
    <w:rPr>
      <w:rFonts w:eastAsiaTheme="majorEastAsia" w:cstheme="majorBidi"/>
      <w:i/>
      <w:iCs/>
      <w:color w:val="0F4761" w:themeColor="accent1" w:themeShade="BF"/>
    </w:rPr>
  </w:style>
  <w:style w:type="character" w:customStyle="1" w:styleId="37">
    <w:name w:val="Heading 5 Char"/>
    <w:basedOn w:val="21"/>
    <w:link w:val="7"/>
    <w:semiHidden/>
    <w:qFormat/>
    <w:uiPriority w:val="9"/>
    <w:rPr>
      <w:rFonts w:eastAsiaTheme="majorEastAsia" w:cstheme="majorBidi"/>
      <w:color w:val="0F4761" w:themeColor="accent1" w:themeShade="BF"/>
    </w:rPr>
  </w:style>
  <w:style w:type="character" w:customStyle="1" w:styleId="38">
    <w:name w:val="Heading 6 Char"/>
    <w:basedOn w:val="21"/>
    <w:link w:val="8"/>
    <w:semiHidden/>
    <w:qFormat/>
    <w:uiPriority w:val="9"/>
    <w:rPr>
      <w:rFonts w:eastAsiaTheme="majorEastAsia" w:cstheme="majorBidi"/>
      <w:i/>
      <w:iCs/>
      <w:color w:val="585858" w:themeColor="text1" w:themeTint="A6"/>
    </w:rPr>
  </w:style>
  <w:style w:type="character" w:customStyle="1" w:styleId="39">
    <w:name w:val="Heading 7 Char"/>
    <w:basedOn w:val="21"/>
    <w:link w:val="9"/>
    <w:semiHidden/>
    <w:qFormat/>
    <w:uiPriority w:val="9"/>
    <w:rPr>
      <w:rFonts w:eastAsiaTheme="majorEastAsia" w:cstheme="majorBidi"/>
      <w:color w:val="585858" w:themeColor="text1" w:themeTint="A6"/>
    </w:rPr>
  </w:style>
  <w:style w:type="character" w:customStyle="1" w:styleId="40">
    <w:name w:val="Heading 8 Char"/>
    <w:basedOn w:val="21"/>
    <w:link w:val="10"/>
    <w:semiHidden/>
    <w:qFormat/>
    <w:uiPriority w:val="9"/>
    <w:rPr>
      <w:rFonts w:eastAsiaTheme="majorEastAsia" w:cstheme="majorBidi"/>
      <w:i/>
      <w:iCs/>
      <w:color w:val="262626" w:themeColor="text1" w:themeTint="D8"/>
    </w:rPr>
  </w:style>
  <w:style w:type="character" w:customStyle="1" w:styleId="41">
    <w:name w:val="Heading 9 Char"/>
    <w:basedOn w:val="21"/>
    <w:link w:val="11"/>
    <w:semiHidden/>
    <w:qFormat/>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sz w:val="32"/>
    </w:rPr>
  </w:style>
  <w:style w:type="character" w:customStyle="1" w:styleId="54">
    <w:name w:val="KeywordTok"/>
    <w:basedOn w:val="50"/>
    <w:uiPriority w:val="0"/>
    <w:rPr>
      <w:rFonts w:ascii="Consolas" w:hAnsi="Consolas"/>
      <w:b/>
      <w:color w:val="007020"/>
      <w:sz w:val="22"/>
    </w:rPr>
  </w:style>
  <w:style w:type="character" w:customStyle="1" w:styleId="55">
    <w:name w:val="DataTypeTok"/>
    <w:basedOn w:val="50"/>
    <w:uiPriority w:val="0"/>
    <w:rPr>
      <w:rFonts w:ascii="Consolas" w:hAnsi="Consolas"/>
      <w:color w:val="902000"/>
      <w:sz w:val="22"/>
    </w:rPr>
  </w:style>
  <w:style w:type="character" w:customStyle="1" w:styleId="56">
    <w:name w:val="DecValTok"/>
    <w:basedOn w:val="50"/>
    <w:uiPriority w:val="0"/>
    <w:rPr>
      <w:rFonts w:ascii="Consolas" w:hAnsi="Consolas"/>
      <w:color w:val="40A070"/>
      <w:sz w:val="22"/>
    </w:rPr>
  </w:style>
  <w:style w:type="character" w:customStyle="1" w:styleId="57">
    <w:name w:val="BaseNTok"/>
    <w:basedOn w:val="50"/>
    <w:uiPriority w:val="0"/>
    <w:rPr>
      <w:rFonts w:ascii="Consolas" w:hAnsi="Consolas"/>
      <w:color w:val="40A070"/>
      <w:sz w:val="22"/>
    </w:rPr>
  </w:style>
  <w:style w:type="character" w:customStyle="1" w:styleId="58">
    <w:name w:val="FloatTok"/>
    <w:basedOn w:val="50"/>
    <w:uiPriority w:val="0"/>
    <w:rPr>
      <w:rFonts w:ascii="Consolas" w:hAnsi="Consolas"/>
      <w:color w:val="40A070"/>
      <w:sz w:val="22"/>
    </w:rPr>
  </w:style>
  <w:style w:type="character" w:customStyle="1" w:styleId="59">
    <w:name w:val="ConstantTok"/>
    <w:basedOn w:val="50"/>
    <w:uiPriority w:val="0"/>
    <w:rPr>
      <w:rFonts w:ascii="Consolas" w:hAnsi="Consolas"/>
      <w:color w:val="880000"/>
      <w:sz w:val="22"/>
    </w:rPr>
  </w:style>
  <w:style w:type="character" w:customStyle="1" w:styleId="60">
    <w:name w:val="CharTok"/>
    <w:basedOn w:val="50"/>
    <w:uiPriority w:val="0"/>
    <w:rPr>
      <w:rFonts w:ascii="Consolas" w:hAnsi="Consolas"/>
      <w:color w:val="4070A0"/>
      <w:sz w:val="22"/>
    </w:rPr>
  </w:style>
  <w:style w:type="character" w:customStyle="1" w:styleId="61">
    <w:name w:val="SpecialCharTok"/>
    <w:basedOn w:val="50"/>
    <w:uiPriority w:val="0"/>
    <w:rPr>
      <w:rFonts w:ascii="Consolas" w:hAnsi="Consolas"/>
      <w:color w:val="4070A0"/>
      <w:sz w:val="22"/>
    </w:rPr>
  </w:style>
  <w:style w:type="character" w:customStyle="1" w:styleId="62">
    <w:name w:val="StringTok"/>
    <w:basedOn w:val="50"/>
    <w:uiPriority w:val="0"/>
    <w:rPr>
      <w:rFonts w:ascii="Consolas" w:hAnsi="Consolas"/>
      <w:color w:val="4070A0"/>
      <w:sz w:val="22"/>
    </w:rPr>
  </w:style>
  <w:style w:type="character" w:customStyle="1" w:styleId="63">
    <w:name w:val="VerbatimStringTok"/>
    <w:basedOn w:val="50"/>
    <w:uiPriority w:val="0"/>
    <w:rPr>
      <w:rFonts w:ascii="Consolas" w:hAnsi="Consolas"/>
      <w:color w:val="4070A0"/>
      <w:sz w:val="22"/>
    </w:rPr>
  </w:style>
  <w:style w:type="character" w:customStyle="1" w:styleId="64">
    <w:name w:val="SpecialStringTok"/>
    <w:basedOn w:val="50"/>
    <w:uiPriority w:val="0"/>
    <w:rPr>
      <w:rFonts w:ascii="Consolas" w:hAnsi="Consolas"/>
      <w:color w:val="BB6688"/>
      <w:sz w:val="22"/>
    </w:rPr>
  </w:style>
  <w:style w:type="character" w:customStyle="1" w:styleId="65">
    <w:name w:val="ImportTok"/>
    <w:basedOn w:val="50"/>
    <w:uiPriority w:val="0"/>
    <w:rPr>
      <w:rFonts w:ascii="Consolas" w:hAnsi="Consolas"/>
      <w:b/>
      <w:color w:val="008000"/>
      <w:sz w:val="22"/>
    </w:rPr>
  </w:style>
  <w:style w:type="character" w:customStyle="1" w:styleId="66">
    <w:name w:val="CommentTok"/>
    <w:basedOn w:val="50"/>
    <w:uiPriority w:val="0"/>
    <w:rPr>
      <w:rFonts w:ascii="Consolas" w:hAnsi="Consolas"/>
      <w:i/>
      <w:color w:val="60A0B0"/>
      <w:sz w:val="22"/>
    </w:rPr>
  </w:style>
  <w:style w:type="character" w:customStyle="1" w:styleId="67">
    <w:name w:val="DocumentationTok"/>
    <w:basedOn w:val="50"/>
    <w:uiPriority w:val="0"/>
    <w:rPr>
      <w:rFonts w:ascii="Consolas" w:hAnsi="Consolas"/>
      <w:i/>
      <w:color w:val="BA2121"/>
      <w:sz w:val="22"/>
    </w:rPr>
  </w:style>
  <w:style w:type="character" w:customStyle="1" w:styleId="68">
    <w:name w:val="AnnotationTok"/>
    <w:basedOn w:val="50"/>
    <w:uiPriority w:val="0"/>
    <w:rPr>
      <w:rFonts w:ascii="Consolas" w:hAnsi="Consolas"/>
      <w:b/>
      <w:i/>
      <w:color w:val="60A0B0"/>
      <w:sz w:val="22"/>
    </w:rPr>
  </w:style>
  <w:style w:type="character" w:customStyle="1" w:styleId="69">
    <w:name w:val="CommentVarTok"/>
    <w:basedOn w:val="50"/>
    <w:uiPriority w:val="0"/>
    <w:rPr>
      <w:rFonts w:ascii="Consolas" w:hAnsi="Consolas"/>
      <w:b/>
      <w:i/>
      <w:color w:val="60A0B0"/>
      <w:sz w:val="22"/>
    </w:rPr>
  </w:style>
  <w:style w:type="character" w:customStyle="1" w:styleId="70">
    <w:name w:val="OtherTok"/>
    <w:basedOn w:val="50"/>
    <w:uiPriority w:val="0"/>
    <w:rPr>
      <w:rFonts w:ascii="Consolas" w:hAnsi="Consolas"/>
      <w:color w:val="007020"/>
      <w:sz w:val="22"/>
    </w:rPr>
  </w:style>
  <w:style w:type="character" w:customStyle="1" w:styleId="71">
    <w:name w:val="FunctionTok"/>
    <w:basedOn w:val="50"/>
    <w:uiPriority w:val="0"/>
    <w:rPr>
      <w:rFonts w:ascii="Consolas" w:hAnsi="Consolas"/>
      <w:color w:val="06287E"/>
      <w:sz w:val="22"/>
    </w:rPr>
  </w:style>
  <w:style w:type="character" w:customStyle="1" w:styleId="72">
    <w:name w:val="VariableTok"/>
    <w:basedOn w:val="50"/>
    <w:uiPriority w:val="0"/>
    <w:rPr>
      <w:rFonts w:ascii="Consolas" w:hAnsi="Consolas"/>
      <w:color w:val="19177C"/>
      <w:sz w:val="22"/>
    </w:rPr>
  </w:style>
  <w:style w:type="character" w:customStyle="1" w:styleId="73">
    <w:name w:val="ControlFlowTok"/>
    <w:basedOn w:val="50"/>
    <w:uiPriority w:val="0"/>
    <w:rPr>
      <w:rFonts w:ascii="Consolas" w:hAnsi="Consolas"/>
      <w:b/>
      <w:color w:val="007020"/>
      <w:sz w:val="22"/>
    </w:rPr>
  </w:style>
  <w:style w:type="character" w:customStyle="1" w:styleId="74">
    <w:name w:val="OperatorTok"/>
    <w:basedOn w:val="50"/>
    <w:uiPriority w:val="0"/>
    <w:rPr>
      <w:rFonts w:ascii="Consolas" w:hAnsi="Consolas"/>
      <w:color w:val="666666"/>
      <w:sz w:val="22"/>
    </w:rPr>
  </w:style>
  <w:style w:type="character" w:customStyle="1" w:styleId="75">
    <w:name w:val="BuiltInTok"/>
    <w:basedOn w:val="50"/>
    <w:uiPriority w:val="0"/>
    <w:rPr>
      <w:rFonts w:ascii="Consolas" w:hAnsi="Consolas"/>
      <w:color w:val="008000"/>
      <w:sz w:val="22"/>
    </w:rPr>
  </w:style>
  <w:style w:type="character" w:customStyle="1" w:styleId="76">
    <w:name w:val="ExtensionTok"/>
    <w:basedOn w:val="50"/>
    <w:uiPriority w:val="0"/>
    <w:rPr>
      <w:rFonts w:ascii="Consolas" w:hAnsi="Consolas"/>
      <w:sz w:val="22"/>
    </w:rPr>
  </w:style>
  <w:style w:type="character" w:customStyle="1" w:styleId="77">
    <w:name w:val="PreprocessorTok"/>
    <w:basedOn w:val="50"/>
    <w:uiPriority w:val="0"/>
    <w:rPr>
      <w:rFonts w:ascii="Consolas" w:hAnsi="Consolas"/>
      <w:color w:val="BC7A00"/>
      <w:sz w:val="22"/>
    </w:rPr>
  </w:style>
  <w:style w:type="character" w:customStyle="1" w:styleId="78">
    <w:name w:val="AttributeTok"/>
    <w:basedOn w:val="50"/>
    <w:uiPriority w:val="0"/>
    <w:rPr>
      <w:rFonts w:ascii="Consolas" w:hAnsi="Consolas"/>
      <w:color w:val="7D9029"/>
      <w:sz w:val="22"/>
    </w:rPr>
  </w:style>
  <w:style w:type="character" w:customStyle="1" w:styleId="79">
    <w:name w:val="RegionMarkerTok"/>
    <w:basedOn w:val="50"/>
    <w:uiPriority w:val="0"/>
    <w:rPr>
      <w:rFonts w:ascii="Consolas" w:hAnsi="Consolas"/>
      <w:sz w:val="22"/>
    </w:rPr>
  </w:style>
  <w:style w:type="character" w:customStyle="1" w:styleId="80">
    <w:name w:val="InformationTok"/>
    <w:basedOn w:val="50"/>
    <w:uiPriority w:val="0"/>
    <w:rPr>
      <w:rFonts w:ascii="Consolas" w:hAnsi="Consolas"/>
      <w:b/>
      <w:i/>
      <w:color w:val="60A0B0"/>
      <w:sz w:val="22"/>
    </w:rPr>
  </w:style>
  <w:style w:type="character" w:customStyle="1" w:styleId="81">
    <w:name w:val="WarningTok"/>
    <w:basedOn w:val="50"/>
    <w:uiPriority w:val="0"/>
    <w:rPr>
      <w:rFonts w:ascii="Consolas" w:hAnsi="Consolas"/>
      <w:b/>
      <w:i/>
      <w:color w:val="60A0B0"/>
      <w:sz w:val="22"/>
    </w:rPr>
  </w:style>
  <w:style w:type="character" w:customStyle="1" w:styleId="82">
    <w:name w:val="AlertTok"/>
    <w:basedOn w:val="50"/>
    <w:uiPriority w:val="0"/>
    <w:rPr>
      <w:rFonts w:ascii="Consolas" w:hAnsi="Consolas"/>
      <w:b/>
      <w:color w:val="FF0000"/>
      <w:sz w:val="22"/>
    </w:rPr>
  </w:style>
  <w:style w:type="character" w:customStyle="1" w:styleId="83">
    <w:name w:val="ErrorTok"/>
    <w:basedOn w:val="50"/>
    <w:uiPriority w:val="0"/>
    <w:rPr>
      <w:rFonts w:ascii="Consolas" w:hAnsi="Consolas"/>
      <w:b/>
      <w:color w:val="FF0000"/>
      <w:sz w:val="22"/>
    </w:rPr>
  </w:style>
  <w:style w:type="character" w:customStyle="1" w:styleId="84">
    <w:name w:val="NormalTok"/>
    <w:basedOn w:val="50"/>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3357</Words>
  <Characters>5440</Characters>
  <Lines>217</Lines>
  <Paragraphs>135</Paragraphs>
  <TotalTime>21</TotalTime>
  <ScaleCrop>false</ScaleCrop>
  <LinksUpToDate>false</LinksUpToDate>
  <CharactersWithSpaces>8662</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2026-07-01T15:09:00Z</dcterms:created>
  <dc:creator>文献综述</dc:creator>
  <cp:lastModifiedBy>金玲利</cp:lastModifiedBy>
  <dcterms:modified xsi:type="dcterms:W3CDTF">2026-07-02T11:41:27Z</dcterms:modified>
  <dc:title>新能源材料制备课程设计</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2026年6月</vt:lpwstr>
  </property>
  <property fmtid="{D5CDD505-2E9C-101B-9397-08002B2CF9AE}" pid="3" name="subtitle">
    <vt:lpwstr>锂离子电池高电压尖晶石镍锰酸锂（\text{LiNi}_{0.5}\text{Mn}_{1.5}\text{O}_4）正极材料的制备调控与改性研究进展</vt:lpwstr>
  </property>
  <property fmtid="{D5CDD505-2E9C-101B-9397-08002B2CF9AE}" pid="4" name="toc-title">
    <vt:lpwstr>目录</vt:lpwstr>
  </property>
  <property fmtid="{D5CDD505-2E9C-101B-9397-08002B2CF9AE}" pid="5" name="OfficeCLI.Version">
    <vt:lpwstr>1.0.126</vt:lpwstr>
  </property>
  <property fmtid="{D5CDD505-2E9C-101B-9397-08002B2CF9AE}" pid="6" name="OfficeCLI.LastModified">
    <vt:lpwstr>2026-07-01T13:53:57Z</vt:lpwstr>
  </property>
  <property fmtid="{D5CDD505-2E9C-101B-9397-08002B2CF9AE}" pid="7" name="KSOProductBuildVer">
    <vt:lpwstr>2052-12.1.2.26885</vt:lpwstr>
  </property>
  <property fmtid="{D5CDD505-2E9C-101B-9397-08002B2CF9AE}" pid="8" name="ICV">
    <vt:lpwstr>23C9C61612CA7E1AE21C456A6EB23842_42</vt:lpwstr>
  </property>
</Properties>
</file>