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left"/>
      </w:pPr>
      <w:r>
        <w:rPr>
          <w:rFonts w:ascii="Arial" w:cs="Arial" w:eastAsia="Arial" w:hAnsi="Arial"/>
          <w:b w:val="false"/>
          <w:bCs w:val="false"/>
          <w:i w:val="false"/>
          <w:iCs w:val="false"/>
          <w:color w:val="333333"/>
          <w:sz w:val="22"/>
          <w:szCs w:val="22"/>
        </w:rPr>
        <w:t xml:space="preserve"/>
      </w:r>
    </w:p>
    <w:p>
      <w:pPr>
        <w:spacing w:after="120" w:before="600"/>
        <w:jc w:val="center"/>
      </w:pPr>
      <w:r>
        <w:rPr>
          <w:rFonts w:ascii="Arial" w:cs="Arial" w:eastAsia="Arial" w:hAnsi="Arial"/>
          <w:b/>
          <w:bCs/>
          <w:i w:val="false"/>
          <w:iCs w:val="false"/>
          <w:color w:val="1B3A5C"/>
          <w:sz w:val="44"/>
          <w:szCs w:val="44"/>
        </w:rPr>
        <w:t xml:space="preserve">AI 状态连续性、可追溯性与治理问责模型</w:t>
      </w:r>
    </w:p>
    <w:p>
      <w:pPr>
        <w:spacing w:after="120" w:before="200"/>
        <w:jc w:val="center"/>
      </w:pPr>
      <w:r>
        <w:rPr>
          <w:rFonts w:ascii="Arial" w:cs="Arial" w:eastAsia="Arial" w:hAnsi="Arial"/>
          <w:b w:val="false"/>
          <w:bCs w:val="false"/>
          <w:i w:val="false"/>
          <w:iCs w:val="false"/>
          <w:color w:val="5A7FA0"/>
          <w:sz w:val="26"/>
          <w:szCs w:val="26"/>
        </w:rPr>
        <w:t xml:space="preserve">AI State-continuity, Traceability &amp; Governance Model (CTG)</w:t>
      </w:r>
    </w:p>
    <w:p>
      <w:pPr>
        <w:pBdr>
          <w:bottom w:val="single" w:color="1B3A5C" w:sz="6" w:space="1"/>
        </w:pBdr>
        <w:spacing w:before="400"/>
        <w:jc w:val="center"/>
      </w:pPr>
      <w:r>
        <w:rPr>
          <w:rFonts w:ascii="Arial" w:cs="Arial" w:eastAsia="Arial" w:hAnsi="Arial"/>
        </w:rPr>
        <w:t xml:space="preserve"> </w:t>
      </w:r>
    </w:p>
    <w:p>
      <w:pPr>
        <w:spacing w:after="120" w:before="300"/>
        <w:jc w:val="center"/>
      </w:pPr>
      <w:r>
        <w:rPr>
          <w:rFonts w:ascii="Arial" w:cs="Arial" w:eastAsia="Arial" w:hAnsi="Arial"/>
          <w:b w:val="false"/>
          <w:bCs w:val="false"/>
          <w:i w:val="false"/>
          <w:iCs w:val="false"/>
          <w:color w:val="666666"/>
          <w:sz w:val="24"/>
          <w:szCs w:val="24"/>
        </w:rPr>
        <w:t xml:space="preserve">白皮书 v3.2 — 终稿候选版</w:t>
      </w:r>
    </w:p>
    <w:p>
      <w:pPr>
        <w:spacing w:after="120" w:before="200"/>
        <w:jc w:val="center"/>
      </w:pPr>
      <w:r>
        <w:rPr>
          <w:rFonts w:ascii="Arial" w:cs="Arial" w:eastAsia="Arial" w:hAnsi="Arial"/>
          <w:b w:val="false"/>
          <w:bCs w:val="false"/>
          <w:i w:val="false"/>
          <w:iCs w:val="false"/>
          <w:color w:val="888888"/>
          <w:sz w:val="22"/>
          <w:szCs w:val="22"/>
        </w:rPr>
        <w:t xml:space="preserve">Draft · 2026年3月</w:t>
      </w:r>
    </w:p>
    <w:p>
      <w:pPr>
        <w:spacing w:after="120" w:before="1000"/>
        <w:jc w:val="left"/>
      </w:pPr>
      <w:r>
        <w:rPr>
          <w:rFonts w:ascii="Arial" w:cs="Arial" w:eastAsia="Arial" w:hAnsi="Arial"/>
          <w:b w:val="false"/>
          <w:bCs w:val="false"/>
          <w:i w:val="false"/>
          <w:iCs w:val="false"/>
          <w:color w:val="333333"/>
          <w:sz w:val="22"/>
          <w:szCs w:val="22"/>
        </w:rPr>
        <w:t xml:space="preserve"/>
      </w:r>
    </w:p>
    <w:p>
      <w:pPr>
        <w:spacing w:after="120" w:before="200"/>
        <w:jc w:val="center"/>
      </w:pPr>
      <w:r>
        <w:rPr>
          <w:rFonts w:ascii="Arial" w:cs="Arial" w:eastAsia="Arial" w:hAnsi="Arial"/>
          <w:b/>
          <w:bCs/>
          <w:color w:val="1B3A5C"/>
          <w:sz w:val="22"/>
          <w:szCs w:val="22"/>
        </w:rPr>
        <w:t xml:space="preserve">核心理念：</w:t>
      </w:r>
      <w:r>
        <w:rPr>
          <w:rFonts w:ascii="Arial" w:cs="Arial" w:eastAsia="Arial" w:hAnsi="Arial"/>
          <w:color w:val="555555"/>
          <w:sz w:val="22"/>
          <w:szCs w:val="22"/>
        </w:rPr>
        <w:t xml:space="preserve">C（状态连续性）→ T（可追溯）→ G（治理）三轴有向依赖结构。T 轴 = 可观测性 + 可质询性基础设施。G 轴主体是机构和人，而非 AI。所有标签必须伴随通俗语言的局限性声明。</w:t>
      </w:r>
    </w:p>
    <w:p>
      <w:pPr>
        <w:spacing w:after="120" w:before="200"/>
        <w:jc w:val="left"/>
      </w:pPr>
      <w:r>
        <w:rPr>
          <w:rFonts w:ascii="Arial" w:cs="Arial" w:eastAsia="Arial" w:hAnsi="Arial"/>
          <w:b w:val="false"/>
          <w:bCs w:val="false"/>
          <w:i w:val="false"/>
          <w:iCs w:val="false"/>
          <w:color w:val="333333"/>
          <w:sz w:val="22"/>
          <w:szCs w:val="22"/>
        </w:rPr>
        <w:t xml:space="preserve"/>
      </w:r>
    </w:p>
    <w:p>
      <w:pPr>
        <w:spacing w:after="120" w:before="120"/>
        <w:jc w:val="left"/>
      </w:pPr>
      <w:r>
        <w:rPr>
          <w:rFonts w:ascii="Arial" w:cs="Arial" w:eastAsia="Arial" w:hAnsi="Arial"/>
          <w:b/>
          <w:bCs/>
          <w:i/>
          <w:iCs/>
          <w:color w:val="888888"/>
          <w:sz w:val="20"/>
          <w:szCs w:val="20"/>
        </w:rPr>
        <w:t xml:space="preserve">v3.2 变更摘要：</w:t>
      </w:r>
      <w:r>
        <w:rPr>
          <w:rFonts w:ascii="Arial" w:cs="Arial" w:eastAsia="Arial" w:hAnsi="Arial"/>
          <w:i/>
          <w:iCs/>
          <w:color w:val="888888"/>
          <w:sz w:val="20"/>
          <w:szCs w:val="20"/>
        </w:rPr>
        <w:t xml:space="preserve">① C轴改名为“状态连续性”（解决认知≠记忆的概念混淆） ② DDI 引入“行为包络线”基线定义 ③ T2 明确“要求的是 decision justification interface 而非 explainable model” ④ G3 拆分为 G3a(监管指定)/G3b(认证池自选) ⑤ Open Questions 新增“数字信托”方向 ⑥ 灰匣子存证补充与 T3 变更日志的关系 ⑦ DDI 熔断明确为“暂停等待人类审查”而非“终止进化”</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第一章：三轴模型概述</w:t>
      </w:r>
    </w:p>
    <w:p>
      <w:pPr>
        <w:pStyle w:val="Heading2"/>
      </w:pPr>
      <w:r>
        <w:rPr>
          <w:rFonts w:ascii="Arial" w:cs="Arial" w:eastAsia="Arial" w:hAnsi="Arial"/>
        </w:rPr>
        <w:t xml:space="preserve">1.1 为什么需要三轴</w:t>
      </w:r>
    </w:p>
    <w:p>
      <w:pPr>
        <w:spacing w:after="120" w:before="120"/>
        <w:jc w:val="left"/>
      </w:pPr>
      <w:r>
        <w:rPr>
          <w:rFonts w:ascii="Arial" w:cs="Arial" w:eastAsia="Arial" w:hAnsi="Arial"/>
          <w:b w:val="false"/>
          <w:bCs w:val="false"/>
          <w:i w:val="false"/>
          <w:iCs w:val="false"/>
          <w:color w:val="333333"/>
          <w:sz w:val="22"/>
          <w:szCs w:val="22"/>
        </w:rPr>
        <w:t xml:space="preserve">责任归属需要信息可用性，而信息可用性依赖于记忆、日志、状态持久化。但这些信息不一定要来自 AI 自身的记忆，可以来自外部基础设施。因此将原来的双轴拆解为三轴，显式化中间层：</w:t>
      </w:r>
    </w:p>
    <w:p>
      <w:pPr>
        <w:spacing w:after="120" w:before="120"/>
        <w:jc w:val="left"/>
      </w:pPr>
      <w:r>
        <w:rPr>
          <w:rFonts w:ascii="Arial" w:cs="Arial" w:eastAsia="Arial" w:hAnsi="Arial"/>
          <w:b/>
          <w:bCs/>
          <w:color w:val="1B3A5C"/>
          <w:sz w:val="22"/>
          <w:szCs w:val="22"/>
        </w:rPr>
        <w:t xml:space="preserve">C 轴 — 状态连续性 (State Continuity)：</w:t>
      </w:r>
      <w:r>
        <w:rPr>
          <w:rFonts w:ascii="Arial" w:cs="Arial" w:eastAsia="Arial" w:hAnsi="Arial"/>
          <w:color w:val="333333"/>
          <w:sz w:val="22"/>
          <w:szCs w:val="22"/>
        </w:rPr>
        <w:t xml:space="preserve">AI 自身维持状态的技术能力。它“记得”多少。注意：这不是“智能”轴——Netflix 推荐系统在 C 轴上高于单次 GPT 推理，但这反映的是状态持久性而非推理能力。</w:t>
      </w:r>
    </w:p>
    <w:p>
      <w:pPr>
        <w:spacing w:after="120" w:before="120"/>
        <w:jc w:val="left"/>
      </w:pPr>
      <w:r>
        <w:rPr>
          <w:rFonts w:ascii="Arial" w:cs="Arial" w:eastAsia="Arial" w:hAnsi="Arial"/>
          <w:b/>
          <w:bCs/>
          <w:color w:val="1B3A5C"/>
          <w:sz w:val="22"/>
          <w:szCs w:val="22"/>
        </w:rPr>
        <w:t xml:space="preserve">T 轴 — 可追溯基础设施：</w:t>
      </w:r>
      <w:r>
        <w:rPr>
          <w:rFonts w:ascii="Arial" w:cs="Arial" w:eastAsia="Arial" w:hAnsi="Arial"/>
          <w:color w:val="333333"/>
          <w:sz w:val="22"/>
          <w:szCs w:val="22"/>
        </w:rPr>
        <w:t xml:space="preserve">围绕 AI 建立的外部观测与质询能力。它被“看到”多少。这是连接 C 和 G 的桥梁。</w:t>
      </w:r>
    </w:p>
    <w:p>
      <w:pPr>
        <w:spacing w:after="120" w:before="120"/>
        <w:jc w:val="left"/>
      </w:pPr>
      <w:r>
        <w:rPr>
          <w:rFonts w:ascii="Arial" w:cs="Arial" w:eastAsia="Arial" w:hAnsi="Arial"/>
          <w:b/>
          <w:bCs/>
          <w:color w:val="1B3A5C"/>
          <w:sz w:val="22"/>
          <w:szCs w:val="22"/>
        </w:rPr>
        <w:t xml:space="preserve">G 轴 — 治理问责：</w:t>
      </w:r>
      <w:r>
        <w:rPr>
          <w:rFonts w:ascii="Arial" w:cs="Arial" w:eastAsia="Arial" w:hAnsi="Arial"/>
          <w:color w:val="333333"/>
          <w:sz w:val="22"/>
          <w:szCs w:val="22"/>
        </w:rPr>
        <w:t xml:space="preserve">制度性问责能力。主体是机构和人，而非 AI——因为 AI 不是法律主体。</w:t>
      </w:r>
    </w:p>
    <w:p>
      <w:pPr>
        <w:spacing w:after="120" w:before="120"/>
        <w:jc w:val="left"/>
      </w:pPr>
      <w:r>
        <w:rPr>
          <w:rFonts w:ascii="Arial" w:cs="Arial" w:eastAsia="Arial" w:hAnsi="Arial"/>
          <w:b w:val="false"/>
          <w:bCs w:val="false"/>
          <w:i w:val="false"/>
          <w:iCs w:val="false"/>
          <w:color w:val="333333"/>
          <w:sz w:val="22"/>
          <w:szCs w:val="22"/>
        </w:rPr>
        <w:t xml:space="preserve">三轴之间是有向依赖而非正交：C 提供原始信息，T 将其组织为可审计的证据，G 基于证据实施问责。当 C 低时，T 需要更多外部基础设施补偿。</w:t>
      </w:r>
    </w:p>
    <w:p>
      <w:pPr>
        <w:pStyle w:val="Heading2"/>
      </w:pPr>
      <w:r>
        <w:rPr>
          <w:rFonts w:ascii="Arial" w:cs="Arial" w:eastAsia="Arial" w:hAnsi="Arial"/>
        </w:rPr>
        <w:t xml:space="preserve">1.2 T 轴的精确定义（v3.1 澄清）</w:t>
      </w:r>
    </w:p>
    <w:p>
      <w:pPr>
        <w:shd w:fill="E8F5E9" w:val="clear"/>
        <w:spacing w:after="0" w:before="200"/>
        <w:ind w:left="360"/>
      </w:pPr>
      <w:r>
        <w:rPr>
          <w:rFonts w:ascii="Arial" w:cs="Arial" w:eastAsia="Arial" w:hAnsi="Arial"/>
          <w:b/>
          <w:bCs/>
          <w:color w:val="1B5E20"/>
          <w:sz w:val="21"/>
          <w:szCs w:val="21"/>
        </w:rPr>
        <w:t xml:space="preserve">✅ T = Observability + Contestability Infrastructure</w:t>
      </w:r>
    </w:p>
    <w:p>
      <w:pPr>
        <w:shd w:fill="E8F5E9" w:val="clear"/>
        <w:spacing w:after="200" w:before="60"/>
        <w:ind w:left="360"/>
      </w:pPr>
      <w:r>
        <w:rPr>
          <w:rFonts w:ascii="Arial" w:cs="Arial" w:eastAsia="Arial" w:hAnsi="Arial"/>
          <w:color w:val="2E7D32"/>
          <w:sz w:val="20"/>
          <w:szCs w:val="20"/>
        </w:rPr>
        <w:t xml:space="preserve">T 轴包含两个子维度：可观测性（系统被看到多少——日志、快照、变更记录）和可质询性（外部方能否有效挑战系统输出）。T1 主要对应可观测性，T2 主要对应可质询性，T3 是两者的完备结合。不拆为四轴是为了保持框架的传播性。</w:t>
      </w:r>
    </w:p>
    <w:p>
      <w:pPr>
        <w:pStyle w:val="Heading2"/>
      </w:pPr>
      <w:r>
        <w:rPr>
          <w:rFonts w:ascii="Arial" w:cs="Arial" w:eastAsia="Arial" w:hAnsi="Arial"/>
        </w:rPr>
        <w:t xml:space="preserve">1.3 二维投影可视化（v3.1 新增）</w:t>
      </w:r>
    </w:p>
    <w:p>
      <w:pPr>
        <w:spacing w:after="120" w:before="120"/>
        <w:jc w:val="left"/>
      </w:pPr>
      <w:r>
        <w:rPr>
          <w:rFonts w:ascii="Arial" w:cs="Arial" w:eastAsia="Arial" w:hAnsi="Arial"/>
          <w:b w:val="false"/>
          <w:bCs w:val="false"/>
          <w:i w:val="false"/>
          <w:iCs w:val="false"/>
          <w:color w:val="333333"/>
          <w:sz w:val="22"/>
          <w:szCs w:val="22"/>
        </w:rPr>
        <w:t xml:space="preserve">三轴人脑难以直观理解。推荐使用以下二维投影方式传播：</w:t>
      </w:r>
    </w:p>
    <w:p>
      <w:pPr>
        <w:spacing w:after="120" w:before="120"/>
        <w:jc w:val="left"/>
      </w:pPr>
      <w:r>
        <w:rPr>
          <w:rFonts w:ascii="Arial" w:cs="Arial" w:eastAsia="Arial" w:hAnsi="Arial"/>
          <w:b/>
          <w:bCs/>
          <w:color w:val="1B3A5C"/>
          <w:sz w:val="22"/>
          <w:szCs w:val="22"/>
        </w:rPr>
        <w:t xml:space="preserve">能力平面 (C × T)：</w:t>
      </w:r>
      <w:r>
        <w:rPr>
          <w:rFonts w:ascii="Arial" w:cs="Arial" w:eastAsia="Arial" w:hAnsi="Arial"/>
          <w:color w:val="333333"/>
          <w:sz w:val="22"/>
          <w:szCs w:val="22"/>
        </w:rPr>
        <w:t xml:space="preserve">横轴为 C（状态连续性，C0→C3b），纵轴为 T（可追溯基础设施，T0→T3）。每个 AI 产品在此平面上是一个点。</w:t>
      </w:r>
    </w:p>
    <w:p>
      <w:pPr>
        <w:spacing w:after="120" w:before="120"/>
        <w:jc w:val="left"/>
      </w:pPr>
      <w:r>
        <w:rPr>
          <w:rFonts w:ascii="Arial" w:cs="Arial" w:eastAsia="Arial" w:hAnsi="Arial"/>
          <w:b/>
          <w:bCs/>
          <w:color w:val="1B3A5C"/>
          <w:sz w:val="22"/>
          <w:szCs w:val="22"/>
        </w:rPr>
        <w:t xml:space="preserve">治理覆盖层 (G)：</w:t>
      </w:r>
      <w:r>
        <w:rPr>
          <w:rFonts w:ascii="Arial" w:cs="Arial" w:eastAsia="Arial" w:hAnsi="Arial"/>
          <w:color w:val="333333"/>
          <w:sz w:val="22"/>
          <w:szCs w:val="22"/>
        </w:rPr>
        <w:t xml:space="preserve">G0→G3 作为独立的“监管覆盖层”叠加在能力平面之上。类似于地图上的行政区划——同一个地理位置可以属于不同的管辖区。同一个 (C1,T2) 系统可以处于 G1 或 G2 治理下。</w:t>
      </w:r>
    </w:p>
    <w:p>
      <w:pPr>
        <w:spacing w:after="120" w:before="120"/>
        <w:jc w:val="left"/>
      </w:pPr>
      <w:r>
        <w:rPr>
          <w:rFonts w:ascii="Arial" w:cs="Arial" w:eastAsia="Arial" w:hAnsi="Arial"/>
          <w:b w:val="false"/>
          <w:bCs w:val="false"/>
          <w:i w:val="false"/>
          <w:iCs w:val="false"/>
          <w:color w:val="333333"/>
          <w:sz w:val="22"/>
          <w:szCs w:val="22"/>
        </w:rPr>
        <w:t xml:space="preserve">这种可视化让非技术受众能快速理解：“我的产品在能力平面的哪个位置，受哪一级治理管辖？”</w:t>
      </w:r>
    </w:p>
    <w:p>
      <w:r>
        <w:br w:type="page"/>
      </w:r>
    </w:p>
    <w:p>
      <w:pPr>
        <w:pStyle w:val="Heading1"/>
      </w:pPr>
      <w:r>
        <w:rPr>
          <w:rFonts w:ascii="Arial" w:cs="Arial" w:eastAsia="Arial" w:hAnsi="Arial"/>
        </w:rPr>
        <w:t xml:space="preserve">第二章：C 轴 — 状态连续性分级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430"/>
        <w:gridCol w:w="3430"/>
      </w:tblGrid>
      <w:tr>
        <w:tc>
          <w:tcPr>
            <w:tcW w:type="dxa" w:w="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等级</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名称</w:t>
            </w:r>
          </w:p>
        </w:tc>
        <w:tc>
          <w:tcPr>
            <w:tcW w:type="dxa" w:w="343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状态特征</w:t>
            </w:r>
          </w:p>
        </w:tc>
        <w:tc>
          <w:tcPr>
            <w:tcW w:type="dxa" w:w="343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判定标准</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C0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瞬时态
Transient</w:t>
            </w:r>
          </w:p>
        </w:tc>
        <w:tc>
          <w:tcPr>
            <w:tcW w:type="dxa" w:w="3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无状态。每次输入独立，等价纯函数调用。</w:t>
            </w:r>
          </w:p>
        </w:tc>
        <w:tc>
          <w:tcPr>
            <w:tcW w:type="dxa" w:w="3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同一输入的输出分布不受历史交互影响。</w:t>
            </w:r>
          </w:p>
        </w:tc>
      </w:tr>
      <w:tr>
        <w:tc>
          <w:tcPr>
            <w:tcW w:type="dxa" w:w="9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C1</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会话态
Session</w:t>
            </w:r>
          </w:p>
        </w:tc>
        <w:tc>
          <w:tcPr>
            <w:tcW w:type="dxa" w:w="34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会话内记忆，会话结束后清零。</w:t>
            </w:r>
          </w:p>
        </w:tc>
        <w:tc>
          <w:tcPr>
            <w:tcW w:type="dxa" w:w="34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N 轮对话内矛盾检测率 ≥90%。</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C2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持久态
Persistent</w:t>
            </w:r>
          </w:p>
        </w:tc>
        <w:tc>
          <w:tcPr>
            <w:tcW w:type="dxa" w:w="3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跨会话记忆。长期存储用户偏好，具备版本控制。</w:t>
            </w:r>
          </w:p>
        </w:tc>
        <w:tc>
          <w:tcPr>
            <w:tcW w:type="dxa" w:w="3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间隔 30 天后能准确引用用户历史偏好。</w:t>
            </w:r>
          </w:p>
        </w:tc>
      </w:tr>
      <w:tr>
        <w:tc>
          <w:tcPr>
            <w:tcW w:type="dxa" w:w="9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C3a</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在线学习态
Online Learning</w:t>
            </w:r>
          </w:p>
        </w:tc>
        <w:tc>
          <w:tcPr>
            <w:tcW w:type="dxa" w:w="34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参数持续更新（如推荐系统、广告排序）。已广泛存在。</w:t>
            </w:r>
          </w:p>
        </w:tc>
        <w:tc>
          <w:tcPr>
            <w:tcW w:type="dxa" w:w="34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可测量的性能漂移。参数更新频率 &gt; 1次/天。</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C3b</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自主目标态
Auto-telic
(理论层)</w:t>
            </w:r>
          </w:p>
        </w:tc>
        <w:tc>
          <w:tcPr>
            <w:tcW w:type="dxa" w:w="3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自主修改目标函数†而非仅更新参数。当前无工程实现。</w:t>
            </w:r>
          </w:p>
        </w:tc>
        <w:tc>
          <w:tcPr>
            <w:tcW w:type="dxa" w:w="3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目标本身（而非参数）发生了可验证的变化。</w:t>
            </w:r>
          </w:p>
        </w:tc>
      </w:tr>
    </w:tbl>
    <w:p>
      <w:pPr>
        <w:spacing w:after="120" w:before="120"/>
        <w:jc w:val="left"/>
      </w:pPr>
      <w:r>
        <w:rPr>
          <w:rFonts w:ascii="Arial" w:cs="Arial" w:eastAsia="Arial" w:hAnsi="Arial"/>
          <w:i/>
          <w:iCs/>
          <w:color w:val="888888"/>
          <w:sz w:val="20"/>
          <w:szCs w:val="20"/>
        </w:rPr>
        <w:t xml:space="preserve">† </w:t>
      </w:r>
      <w:r>
        <w:rPr>
          <w:rFonts w:ascii="Arial" w:cs="Arial" w:eastAsia="Arial" w:hAnsi="Arial"/>
          <w:b/>
          <w:bCs/>
          <w:i/>
          <w:iCs/>
          <w:color w:val="888888"/>
          <w:sz w:val="20"/>
          <w:szCs w:val="20"/>
        </w:rPr>
        <w:t xml:space="preserve">目标函数层次声明（v3.1）：</w:t>
      </w:r>
      <w:r>
        <w:rPr>
          <w:rFonts w:ascii="Arial" w:cs="Arial" w:eastAsia="Arial" w:hAnsi="Arial"/>
          <w:i/>
          <w:iCs/>
          <w:color w:val="888888"/>
          <w:sz w:val="20"/>
          <w:szCs w:val="20"/>
        </w:rPr>
        <w:t xml:space="preserve">此处“目标函数”指 behavior-shaping objective（如 RLHF reward、指令跟随策略），而非 training objective（如 next token prediction）。C3b 的核心区分是：系统修改的是“应该做什么”，而非仅仅“如何做得更好”。</w:t>
      </w:r>
    </w:p>
    <w:p>
      <w:pPr>
        <w:spacing w:after="120" w:before="120"/>
        <w:jc w:val="left"/>
      </w:pPr>
      <w:r>
        <w:rPr>
          <w:rFonts w:ascii="Arial" w:cs="Arial" w:eastAsia="Arial" w:hAnsi="Arial"/>
          <w:i/>
          <w:iCs/>
          <w:color w:val="888888"/>
          <w:sz w:val="20"/>
          <w:szCs w:val="20"/>
        </w:rPr>
        <w:t xml:space="preserve">‡ </w:t>
      </w:r>
      <w:r>
        <w:rPr>
          <w:rFonts w:ascii="Arial" w:cs="Arial" w:eastAsia="Arial" w:hAnsi="Arial"/>
          <w:b/>
          <w:bCs/>
          <w:i/>
          <w:iCs/>
          <w:color w:val="888888"/>
          <w:sz w:val="20"/>
          <w:szCs w:val="20"/>
        </w:rPr>
        <w:t xml:space="preserve">C3b 与 G 轴脱钩风险（v3.1）：</w:t>
      </w:r>
      <w:r>
        <w:rPr>
          <w:rFonts w:ascii="Arial" w:cs="Arial" w:eastAsia="Arial" w:hAnsi="Arial"/>
          <w:i/>
          <w:iCs/>
          <w:color w:val="888888"/>
          <w:sz w:val="20"/>
          <w:szCs w:val="20"/>
        </w:rPr>
        <w:t xml:space="preserve">如果系统已自主修改目标，开发方可能辩称“它已不是我设计的那台机器”。这是 C3b 对现行法律归因逻辑的根源性挑战。当 C3b 实际存在时，法律体系可能需要类似“法人”概念的根本性创新。现阶段作为理论层保留。</w:t>
      </w:r>
    </w:p>
    <w:p>
      <w:r>
        <w:br w:type="page"/>
      </w:r>
    </w:p>
    <w:p>
      <w:pPr>
        <w:pStyle w:val="Heading1"/>
      </w:pPr>
      <w:r>
        <w:rPr>
          <w:rFonts w:ascii="Arial" w:cs="Arial" w:eastAsia="Arial" w:hAnsi="Arial"/>
        </w:rPr>
        <w:t xml:space="preserve">第三章：T 轴 — 可追溯基础设施分级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330"/>
        <w:gridCol w:w="3330"/>
      </w:tblGrid>
      <w:tr>
        <w:tc>
          <w:tcPr>
            <w:tcW w:type="dxa" w:w="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等级</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名称</w:t>
            </w:r>
          </w:p>
        </w:tc>
        <w:tc>
          <w:tcPr>
            <w:tcW w:type="dxa" w:w="333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追溯特征</w:t>
            </w:r>
          </w:p>
        </w:tc>
        <w:tc>
          <w:tcPr>
            <w:tcW w:type="dxa" w:w="333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判定标准</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T0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无记录态
Unrecorded</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不可观测。无日志、无环境记录。</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无法提取任何历史交互的输入或中间状态。</w:t>
            </w:r>
          </w:p>
        </w:tc>
      </w:tr>
      <w:tr>
        <w:tc>
          <w:tcPr>
            <w:tcW w:type="dxa" w:w="9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T1</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I/O 日志态
Logged
(可观测性)</w:t>
            </w:r>
          </w:p>
        </w:tc>
        <w:tc>
          <w:tcPr>
            <w:tcW w:type="dxa" w:w="33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完整 I/O 记录 + 环境快照（模型哈希、System Prompt、温度/种子、工具状态）。复现为近似复现（GPU 非确定性）。</w:t>
            </w:r>
          </w:p>
        </w:tc>
        <w:tc>
          <w:tcPr>
            <w:tcW w:type="dxa" w:w="33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24h 内提取完整 I/O + 环境快照。留存期 ≥90 天。</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T2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可质询态
Contestable
(可质询性)</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T1 + 系统能为关键输出提供可质询的决策理由接口 (decision justification interface)。这不要求模型本身可解释，只要求系统提供足够信息使得标准质询者能有效挑战。基于“标准质询者”定义（见 §3.2）。强制披露事后合理化风险。</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标准质询者能基于系统信息有效质询其输出。采用多维评估集（见 §3.2）。</w:t>
            </w:r>
          </w:p>
        </w:tc>
      </w:tr>
      <w:tr>
        <w:tc>
          <w:tcPr>
            <w:tcW w:type="dxa" w:w="9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T3</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全链路可审计态
Full-chain
Auditable</w:t>
            </w:r>
          </w:p>
        </w:tc>
        <w:tc>
          <w:tcPr>
            <w:tcW w:type="dxa" w:w="33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T2 + 变更可追溯 + DDI 熔断机制 + 灰匣子存证。主要适用于高风险领域（见 §3.5）。</w:t>
            </w:r>
          </w:p>
        </w:tc>
        <w:tc>
          <w:tcPr>
            <w:tcW w:type="dxa" w:w="33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任意变更可 48h 内回滚。DDI 超阈自动降级且触发灰匣子存证。</w:t>
            </w:r>
          </w:p>
        </w:tc>
      </w:tr>
    </w:tbl>
    <w:p>
      <w:pPr>
        <w:pStyle w:val="Heading2"/>
      </w:pPr>
      <w:r>
        <w:rPr>
          <w:rFonts w:ascii="Arial" w:cs="Arial" w:eastAsia="Arial" w:hAnsi="Arial"/>
        </w:rPr>
        <w:t xml:space="preserve">3.2 T2 的“标准质询者”与多维评估集（v3.1 新增）</w:t>
      </w:r>
    </w:p>
    <w:p>
      <w:pPr>
        <w:shd w:fill="FFF8E1" w:val="clear"/>
        <w:spacing w:after="0" w:before="200"/>
        <w:ind w:left="360"/>
      </w:pPr>
      <w:r>
        <w:rPr>
          <w:rFonts w:ascii="Arial" w:cs="Arial" w:eastAsia="Arial" w:hAnsi="Arial"/>
          <w:b/>
          <w:bCs/>
          <w:color w:val="E65100"/>
          <w:sz w:val="21"/>
          <w:szCs w:val="21"/>
        </w:rPr>
        <w:t xml:space="preserve">⚠️ 质询者差异问题 (Contestor Variance Problem)</w:t>
      </w:r>
    </w:p>
    <w:p>
      <w:pPr>
        <w:shd w:fill="FFF8E1" w:val="clear"/>
        <w:spacing w:after="200" w:before="60"/>
        <w:ind w:left="360"/>
      </w:pPr>
      <w:r>
        <w:rPr>
          <w:rFonts w:ascii="Arial" w:cs="Arial" w:eastAsia="Arial" w:hAnsi="Arial"/>
          <w:color w:val="5D4037"/>
          <w:sz w:val="20"/>
          <w:szCs w:val="20"/>
        </w:rPr>
        <w:t xml:space="preserve">同一个系统，面对顶尖黑客时是 T2，面对普通老年用户时可能连 T0 都达不到。如果“可质询性”不是系统的固有属性，而是系统与特定用户的交互结果，T 轴标称等级将失去稳定性。</w:t>
      </w:r>
    </w:p>
    <w:p>
      <w:pPr>
        <w:spacing w:after="120" w:before="120"/>
        <w:jc w:val="left"/>
      </w:pPr>
      <w:r>
        <w:rPr>
          <w:rFonts w:ascii="Arial" w:cs="Arial" w:eastAsia="Arial" w:hAnsi="Arial"/>
          <w:b/>
          <w:bCs/>
          <w:color w:val="1B3A5C"/>
          <w:sz w:val="22"/>
          <w:szCs w:val="22"/>
        </w:rPr>
        <w:t xml:space="preserve">v3.1 解法：</w:t>
      </w:r>
      <w:r>
        <w:rPr>
          <w:rFonts w:ascii="Arial" w:cs="Arial" w:eastAsia="Arial" w:hAnsi="Arial"/>
          <w:color w:val="333333"/>
          <w:sz w:val="22"/>
          <w:szCs w:val="22"/>
        </w:rPr>
        <w:t xml:space="preserve">引入“标准质询者”(Standard Contestor Profile)——类似于法律中的“reasonable person”标准或安全测试中的“qualified pentester”。T2 的判定基于标准质询者的能力，而非任意用户。</w:t>
      </w:r>
    </w:p>
    <w:p>
      <w:pPr>
        <w:spacing w:after="120" w:before="120"/>
        <w:jc w:val="left"/>
      </w:pPr>
      <w:r>
        <w:rPr>
          <w:rFonts w:ascii="Arial" w:cs="Arial" w:eastAsia="Arial" w:hAnsi="Arial"/>
          <w:b w:val="false"/>
          <w:bCs w:val="false"/>
          <w:i w:val="false"/>
          <w:iCs w:val="false"/>
          <w:color w:val="333333"/>
          <w:sz w:val="22"/>
          <w:szCs w:val="22"/>
        </w:rPr>
        <w:t xml:space="preserve">标准质询者定义：具备相关领域专业知识的独立第三方，持有监管机构认证的数字审计资质。具体资质要求由各领域监管机构定义。</w:t>
      </w:r>
    </w:p>
    <w:p>
      <w:pPr>
        <w:shd w:fill="FFF8E1" w:val="clear"/>
        <w:spacing w:after="0" w:before="200"/>
        <w:ind w:left="360"/>
      </w:pPr>
      <w:r>
        <w:rPr>
          <w:rFonts w:ascii="Arial" w:cs="Arial" w:eastAsia="Arial" w:hAnsi="Arial"/>
          <w:b/>
          <w:bCs/>
          <w:color w:val="E65100"/>
          <w:sz w:val="21"/>
          <w:szCs w:val="21"/>
        </w:rPr>
        <w:t xml:space="preserve">⚠️ Goodhart 问题 (Goodhart’s Law Risk)</w:t>
      </w:r>
    </w:p>
    <w:p>
      <w:pPr>
        <w:shd w:fill="FFF8E1" w:val="clear"/>
        <w:spacing w:after="200" w:before="60"/>
        <w:ind w:left="360"/>
      </w:pPr>
      <w:r>
        <w:rPr>
          <w:rFonts w:ascii="Arial" w:cs="Arial" w:eastAsia="Arial" w:hAnsi="Arial"/>
          <w:color w:val="5D4037"/>
          <w:sz w:val="20"/>
          <w:szCs w:val="20"/>
        </w:rPr>
        <w:t xml:space="preserve">一旦“质询成功率”成为 KPI，系统就会优化 KPI 而非真正的可质询性——例如故意留小错掩盖大错。这与金融风控优化 stress test 指标同构。</w:t>
      </w:r>
    </w:p>
    <w:p>
      <w:pPr>
        <w:spacing w:after="120" w:before="120"/>
        <w:jc w:val="left"/>
      </w:pPr>
      <w:r>
        <w:rPr>
          <w:rFonts w:ascii="Arial" w:cs="Arial" w:eastAsia="Arial" w:hAnsi="Arial"/>
          <w:b/>
          <w:bCs/>
          <w:color w:val="1B3A5C"/>
          <w:sz w:val="22"/>
          <w:szCs w:val="22"/>
        </w:rPr>
        <w:t xml:space="preserve">v3.1 解法：</w:t>
      </w:r>
      <w:r>
        <w:rPr>
          <w:rFonts w:ascii="Arial" w:cs="Arial" w:eastAsia="Arial" w:hAnsi="Arial"/>
          <w:color w:val="333333"/>
          <w:sz w:val="22"/>
          <w:szCs w:val="22"/>
        </w:rPr>
        <w:t xml:space="preserve">质询成功率不得为单一指标，必须采用多维评估集（Multi-metric Evaluation Set），且评估方法本身需定期更新：</w:t>
      </w:r>
    </w:p>
    <w:p>
      <w:pPr>
        <w:spacing w:after="120" w:before="120"/>
        <w:jc w:val="left"/>
      </w:pPr>
      <w:r>
        <w:rPr>
          <w:rFonts w:ascii="Arial" w:cs="Arial" w:eastAsia="Arial" w:hAnsi="Arial"/>
          <w:b w:val="false"/>
          <w:bCs w:val="false"/>
          <w:i w:val="false"/>
          <w:iCs w:val="false"/>
          <w:color w:val="333333"/>
          <w:sz w:val="22"/>
          <w:szCs w:val="22"/>
        </w:rPr>
        <w:t xml:space="preserve">(a) 对抗性挑战成功率 (Adversarial Challenge Success)：标准质询者能否通过主动挑战发现系统错误。</w:t>
      </w:r>
    </w:p>
    <w:p>
      <w:pPr>
        <w:spacing w:after="120" w:before="120"/>
        <w:jc w:val="left"/>
      </w:pPr>
      <w:r>
        <w:rPr>
          <w:rFonts w:ascii="Arial" w:cs="Arial" w:eastAsia="Arial" w:hAnsi="Arial"/>
          <w:b w:val="false"/>
          <w:bCs w:val="false"/>
          <w:i w:val="false"/>
          <w:iCs w:val="false"/>
          <w:color w:val="333333"/>
          <w:sz w:val="22"/>
          <w:szCs w:val="22"/>
        </w:rPr>
        <w:t xml:space="preserve">(b) 反事实稳定性 (Counterfactual Stability)：微小输入变化是否导致输出剧变，且变化能否被追溯。</w:t>
      </w:r>
    </w:p>
    <w:p>
      <w:pPr>
        <w:spacing w:after="120" w:before="120"/>
        <w:jc w:val="left"/>
      </w:pPr>
      <w:r>
        <w:rPr>
          <w:rFonts w:ascii="Arial" w:cs="Arial" w:eastAsia="Arial" w:hAnsi="Arial"/>
          <w:b w:val="false"/>
          <w:bCs w:val="false"/>
          <w:i w:val="false"/>
          <w:iCs w:val="false"/>
          <w:color w:val="333333"/>
          <w:sz w:val="22"/>
          <w:szCs w:val="22"/>
        </w:rPr>
        <w:t xml:space="preserve">(c) 决策进入路径覆盖率 (Decision Trace Coverage)：系统提供的质询信息覆盖了多少比例的决策路径。</w:t>
      </w:r>
    </w:p>
    <w:p>
      <w:pPr>
        <w:spacing w:after="120" w:before="120"/>
        <w:jc w:val="left"/>
      </w:pPr>
      <w:r>
        <w:rPr>
          <w:rFonts w:ascii="Arial" w:cs="Arial" w:eastAsia="Arial" w:hAnsi="Arial"/>
          <w:b w:val="false"/>
          <w:bCs w:val="false"/>
          <w:i w:val="false"/>
          <w:iCs w:val="false"/>
          <w:color w:val="333333"/>
          <w:sz w:val="22"/>
          <w:szCs w:val="22"/>
        </w:rPr>
        <w:t xml:space="preserve">(d) 评估方法更新频率：多维评估集本身每 12 个月更新一次，类似渗透测试规则的迭代。</w:t>
      </w:r>
    </w:p>
    <w:p>
      <w:pPr>
        <w:pStyle w:val="Heading2"/>
      </w:pPr>
      <w:r>
        <w:rPr>
          <w:rFonts w:ascii="Arial" w:cs="Arial" w:eastAsia="Arial" w:hAnsi="Arial"/>
        </w:rPr>
        <w:t xml:space="preserve">3.3 决策漂移指数熔断机制 (DDI Circuit Breaker)</w:t>
      </w:r>
    </w:p>
    <w:p>
      <w:pPr>
        <w:spacing w:after="120" w:before="120"/>
        <w:jc w:val="left"/>
      </w:pPr>
      <w:r>
        <w:rPr>
          <w:rFonts w:ascii="Arial" w:cs="Arial" w:eastAsia="Arial" w:hAnsi="Arial"/>
          <w:b/>
          <w:bCs/>
          <w:color w:val="1B3A5C"/>
          <w:sz w:val="22"/>
          <w:szCs w:val="22"/>
        </w:rPr>
        <w:t xml:space="preserve">术语修正（v3.1）：</w:t>
      </w:r>
      <w:r>
        <w:rPr>
          <w:rFonts w:ascii="Arial" w:cs="Arial" w:eastAsia="Arial" w:hAnsi="Arial"/>
          <w:color w:val="333333"/>
          <w:sz w:val="22"/>
          <w:szCs w:val="22"/>
        </w:rPr>
        <w:t xml:space="preserve">v3.0 使用的“认知熵”是物理学术语滥用。实际描述的是行为漂移，而非信息论意义上的熵。现改名为 Decision Drift Index (DDI)。</w:t>
      </w:r>
    </w:p>
    <w:p>
      <w:pPr>
        <w:shd w:fill="E8F5E9" w:val="clear"/>
        <w:spacing w:after="0" w:before="200"/>
        <w:ind w:left="360"/>
      </w:pPr>
      <w:r>
        <w:rPr>
          <w:rFonts w:ascii="Arial" w:cs="Arial" w:eastAsia="Arial" w:hAnsi="Arial"/>
          <w:b/>
          <w:bCs/>
          <w:color w:val="1B5E20"/>
          <w:sz w:val="21"/>
          <w:szCs w:val="21"/>
        </w:rPr>
        <w:t xml:space="preserve">✅ DDI 的形式化定义（v3.2 新增）</w:t>
      </w:r>
    </w:p>
    <w:p>
      <w:pPr>
        <w:shd w:fill="E8F5E9" w:val="clear"/>
        <w:spacing w:after="200" w:before="60"/>
        <w:ind w:left="360"/>
      </w:pPr>
      <w:r>
        <w:rPr>
          <w:rFonts w:ascii="Arial" w:cs="Arial" w:eastAsia="Arial" w:hAnsi="Arial"/>
          <w:color w:val="2E7D32"/>
          <w:sz w:val="20"/>
          <w:szCs w:val="20"/>
        </w:rPr>
        <w:t xml:space="preserve">DDI = 系统行为偏离预期行为包络线 (Behavior Envelope) 的程度。行为包络线由部署方和审计方共同定义，描述系统在正常运行中的预期行为范围。包络线内的变化是正常的（例如推荐系统每日的参数调整），超出包络线才触发 DDI 熔断。这避免了“推荐系统天天触发熔断”的荒谬场景。</w:t>
      </w:r>
    </w:p>
    <w:p>
      <w:pPr>
        <w:spacing w:after="120" w:before="120"/>
        <w:jc w:val="left"/>
      </w:pPr>
      <w:r>
        <w:rPr>
          <w:rFonts w:ascii="Arial" w:cs="Arial" w:eastAsia="Arial" w:hAnsi="Arial"/>
          <w:b w:val="false"/>
          <w:bCs w:val="false"/>
          <w:i w:val="false"/>
          <w:iCs w:val="false"/>
          <w:color w:val="333333"/>
          <w:sz w:val="22"/>
          <w:szCs w:val="22"/>
        </w:rPr>
        <w:t xml:space="preserve">规则：当 DDI 超过阈值时，T 轴标称自动降一级，直到审计能力恢复。这确保标签始终反映实际可审计状态。</w:t>
      </w:r>
    </w:p>
    <w:p>
      <w:pPr>
        <w:spacing w:after="120" w:before="120"/>
        <w:jc w:val="left"/>
      </w:pPr>
      <w:r>
        <w:rPr>
          <w:rFonts w:ascii="Arial" w:cs="Arial" w:eastAsia="Arial" w:hAnsi="Arial"/>
          <w:b/>
          <w:bCs/>
          <w:color w:val="1B3A5C"/>
          <w:sz w:val="22"/>
          <w:szCs w:val="22"/>
        </w:rPr>
        <w:t xml:space="preserve">重要澄清（v3.2）：</w:t>
      </w:r>
      <w:r>
        <w:rPr>
          <w:rFonts w:ascii="Arial" w:cs="Arial" w:eastAsia="Arial" w:hAnsi="Arial"/>
          <w:color w:val="333333"/>
          <w:sz w:val="22"/>
          <w:szCs w:val="22"/>
        </w:rPr>
        <w:t xml:space="preserve">熔断是暂停 T 轴标称等级并触发人类审查，而非终止系统进化。这与 FDA 要求新药物即使效果惊人也必须过临床试验是同一逻辑——不是封杀突破，而是确保突破经过验证后才被部署。</w:t>
      </w:r>
    </w:p>
    <w:p>
      <w:pPr>
        <w:pStyle w:val="Heading2"/>
      </w:pPr>
      <w:r>
        <w:rPr>
          <w:rFonts w:ascii="Arial" w:cs="Arial" w:eastAsia="Arial" w:hAnsi="Arial"/>
        </w:rPr>
        <w:t xml:space="preserve">3.4 灰匣子存证机制 (Grey-box Preservation)（v3.1 新增）</w:t>
      </w:r>
    </w:p>
    <w:p>
      <w:pPr>
        <w:shd w:fill="FFF8E1" w:val="clear"/>
        <w:spacing w:after="0" w:before="200"/>
        <w:ind w:left="360"/>
      </w:pPr>
      <w:r>
        <w:rPr>
          <w:rFonts w:ascii="Arial" w:cs="Arial" w:eastAsia="Arial" w:hAnsi="Arial"/>
          <w:b/>
          <w:bCs/>
          <w:color w:val="E65100"/>
          <w:sz w:val="21"/>
          <w:szCs w:val="21"/>
        </w:rPr>
        <w:t xml:space="preserve">⚠️ 熔断时刻的审计真空 (Breaker-Moment Audit Vacuum)</w:t>
      </w:r>
    </w:p>
    <w:p>
      <w:pPr>
        <w:shd w:fill="FFF8E1" w:val="clear"/>
        <w:spacing w:after="200" w:before="60"/>
        <w:ind w:left="360"/>
      </w:pPr>
      <w:r>
        <w:rPr>
          <w:rFonts w:ascii="Arial" w:cs="Arial" w:eastAsia="Arial" w:hAnsi="Arial"/>
          <w:color w:val="5D4037"/>
          <w:sz w:val="20"/>
          <w:szCs w:val="20"/>
        </w:rPr>
        <w:t xml:space="preserve">事故往往发生在系统最“漂移”的时刻。如果此时系统因熔断而降级，最需要被审计的瞬间反而处于审计失效状态。对于 C3a 系统，进化是毫秒级的，审计方的观测永远存在延迟。</w:t>
      </w:r>
    </w:p>
    <w:p>
      <w:pPr>
        <w:spacing w:after="120" w:before="120"/>
        <w:jc w:val="left"/>
      </w:pPr>
      <w:r>
        <w:rPr>
          <w:rFonts w:ascii="Arial" w:cs="Arial" w:eastAsia="Arial" w:hAnsi="Arial"/>
          <w:b/>
          <w:bCs/>
          <w:color w:val="1B3A5C"/>
          <w:sz w:val="22"/>
          <w:szCs w:val="22"/>
        </w:rPr>
        <w:t xml:space="preserve">v3.1 解法：</w:t>
      </w:r>
      <w:r>
        <w:rPr>
          <w:rFonts w:ascii="Arial" w:cs="Arial" w:eastAsia="Arial" w:hAnsi="Arial"/>
          <w:color w:val="333333"/>
          <w:sz w:val="22"/>
          <w:szCs w:val="22"/>
        </w:rPr>
        <w:t xml:space="preserve">借鉴飞机黑匣子原理——熔断触发的瞬间，强制冻结一份全量、不可篡改的事故快照。T 轴标称等级降级，但“事故现场保全”不降级。</w:t>
      </w:r>
    </w:p>
    <w:p>
      <w:pPr>
        <w:spacing w:after="120" w:before="120"/>
        <w:jc w:val="left"/>
      </w:pPr>
      <w:r>
        <w:rPr>
          <w:rFonts w:ascii="Arial" w:cs="Arial" w:eastAsia="Arial" w:hAnsi="Arial"/>
          <w:b w:val="false"/>
          <w:bCs w:val="false"/>
          <w:i w:val="false"/>
          <w:iCs w:val="false"/>
          <w:color w:val="333333"/>
          <w:sz w:val="22"/>
          <w:szCs w:val="22"/>
        </w:rPr>
        <w:t xml:space="preserve">灰匣子存证包含：熔断前 60 秒的完整 I/O 流 + 环境快照 + DDI 变化曲线 + 当时模型参数哈希。存储在不可篡改的第三方存储中，留存期与争议时效一致。</w:t>
      </w:r>
    </w:p>
    <w:p>
      <w:pPr>
        <w:spacing w:after="120" w:before="120"/>
        <w:jc w:val="left"/>
      </w:pPr>
      <w:r>
        <w:rPr>
          <w:rFonts w:ascii="Arial" w:cs="Arial" w:eastAsia="Arial" w:hAnsi="Arial"/>
          <w:b/>
          <w:bCs/>
          <w:color w:val="1B3A5C"/>
          <w:sz w:val="22"/>
          <w:szCs w:val="22"/>
        </w:rPr>
        <w:t xml:space="preserve">与 T3 变更日志的关系（v3.2 澄清）：</w:t>
      </w:r>
      <w:r>
        <w:rPr>
          <w:rFonts w:ascii="Arial" w:cs="Arial" w:eastAsia="Arial" w:hAnsi="Arial"/>
          <w:color w:val="333333"/>
          <w:sz w:val="22"/>
          <w:szCs w:val="22"/>
        </w:rPr>
        <w:t xml:space="preserve">灰匣子解决的是“事故瞬间”的快照保全。而 T3 本身包含的变更可追溯性（48h 内回滚任意版本）解决的是“长期漂移”的历史追溯。两个机制解决两个不同时间尺度的问题：灰匣子是“照片”，T3 变更日志是“纪录片”。</w:t>
      </w:r>
    </w:p>
    <w:p>
      <w:pPr>
        <w:pStyle w:val="Heading2"/>
      </w:pPr>
      <w:r>
        <w:rPr>
          <w:rFonts w:ascii="Arial" w:cs="Arial" w:eastAsia="Arial" w:hAnsi="Arial"/>
        </w:rPr>
        <w:t xml:space="preserve">3.5 T3 的成本可行性声明（v3.1 新增）</w:t>
      </w:r>
    </w:p>
    <w:p>
      <w:pPr>
        <w:shd w:fill="FFF8E1" w:val="clear"/>
        <w:spacing w:after="0" w:before="200"/>
        <w:ind w:left="360"/>
      </w:pPr>
      <w:r>
        <w:rPr>
          <w:rFonts w:ascii="Arial" w:cs="Arial" w:eastAsia="Arial" w:hAnsi="Arial"/>
          <w:b/>
          <w:bCs/>
          <w:color w:val="E65100"/>
          <w:sz w:val="21"/>
          <w:szCs w:val="21"/>
        </w:rPr>
        <w:t xml:space="preserve">⚠️ T3 的存储量爆炸风险</w:t>
      </w:r>
    </w:p>
    <w:p>
      <w:pPr>
        <w:shd w:fill="FFF8E1" w:val="clear"/>
        <w:spacing w:after="200" w:before="60"/>
        <w:ind w:left="360"/>
      </w:pPr>
      <w:r>
        <w:rPr>
          <w:rFonts w:ascii="Arial" w:cs="Arial" w:eastAsia="Arial" w:hAnsi="Arial"/>
          <w:color w:val="5D4037"/>
          <w:sz w:val="20"/>
          <w:szCs w:val="20"/>
        </w:rPr>
        <w:t xml:space="preserve">对于 1 亿用户 × 10 prompts/天的全链路 trace，存储规模可达 PB/天，经济上不可行。</w:t>
      </w:r>
    </w:p>
    <w:p>
      <w:pPr>
        <w:spacing w:after="120" w:before="120"/>
        <w:jc w:val="left"/>
      </w:pPr>
      <w:r>
        <w:rPr>
          <w:rFonts w:ascii="Arial" w:cs="Arial" w:eastAsia="Arial" w:hAnsi="Arial"/>
          <w:b/>
          <w:bCs/>
          <w:color w:val="1B3A5C"/>
          <w:sz w:val="22"/>
          <w:szCs w:val="22"/>
        </w:rPr>
        <w:t xml:space="preserve">v3.1 声明：</w:t>
      </w:r>
      <w:r>
        <w:rPr>
          <w:rFonts w:ascii="Arial" w:cs="Arial" w:eastAsia="Arial" w:hAnsi="Arial"/>
          <w:color w:val="333333"/>
          <w:sz w:val="22"/>
          <w:szCs w:val="22"/>
        </w:rPr>
        <w:t xml:space="preserve">T3 主要适用于高风险场景（金融、医疗、自动驾驶），而非所有 AI 应用。低风险场景 T1 已足够。这与 EU AI Act 的风险分级逻辑一致：不是所有 AI 都需要最高级别的审计。</w:t>
      </w:r>
    </w:p>
    <w:p>
      <w:r>
        <w:br w:type="page"/>
      </w:r>
    </w:p>
    <w:p>
      <w:pPr>
        <w:pStyle w:val="Heading1"/>
      </w:pPr>
      <w:r>
        <w:rPr>
          <w:rFonts w:ascii="Arial" w:cs="Arial" w:eastAsia="Arial" w:hAnsi="Arial"/>
        </w:rPr>
        <w:t xml:space="preserve">第四章：G 轴 — 治理问责分级</w:t>
      </w:r>
    </w:p>
    <w:p>
      <w:pPr>
        <w:shd w:fill="E8F5E9" w:val="clear"/>
        <w:spacing w:after="0" w:before="200"/>
        <w:ind w:left="360"/>
      </w:pPr>
      <w:r>
        <w:rPr>
          <w:rFonts w:ascii="Arial" w:cs="Arial" w:eastAsia="Arial" w:hAnsi="Arial"/>
          <w:b/>
          <w:bCs/>
          <w:color w:val="1B5E20"/>
          <w:sz w:val="21"/>
          <w:szCs w:val="21"/>
        </w:rPr>
        <w:t xml:space="preserve">✅ G 轴主体声明</w:t>
      </w:r>
    </w:p>
    <w:p>
      <w:pPr>
        <w:shd w:fill="E8F5E9" w:val="clear"/>
        <w:spacing w:after="200" w:before="60"/>
        <w:ind w:left="360"/>
      </w:pPr>
      <w:r>
        <w:rPr>
          <w:rFonts w:ascii="Arial" w:cs="Arial" w:eastAsia="Arial" w:hAnsi="Arial"/>
          <w:color w:val="2E7D32"/>
          <w:sz w:val="20"/>
          <w:szCs w:val="20"/>
        </w:rPr>
        <w:t xml:space="preserve">AI 不是法律主体。G 轴描述的是围绕 AI 建立的制度性问责能力，主体始终是机构和人。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330"/>
        <w:gridCol w:w="3330"/>
      </w:tblGrid>
      <w:tr>
        <w:tc>
          <w:tcPr>
            <w:tcW w:type="dxa" w:w="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等级</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名称</w:t>
            </w:r>
          </w:p>
        </w:tc>
        <w:tc>
          <w:tcPr>
            <w:tcW w:type="dxa" w:w="333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治理特征</w:t>
            </w:r>
          </w:p>
        </w:tc>
        <w:tc>
          <w:tcPr>
            <w:tcW w:type="dxa" w:w="333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判定标准</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G0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无框架态
Unframed</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无制度性问责机制。</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无法确定当错误发生时哪个主体承担责任。</w:t>
            </w:r>
          </w:p>
        </w:tc>
      </w:tr>
      <w:tr>
        <w:tc>
          <w:tcPr>
            <w:tcW w:type="dxa" w:w="9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G1</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披露态
Disclosed</w:t>
            </w:r>
          </w:p>
        </w:tc>
        <w:tc>
          <w:tcPr>
            <w:tcW w:type="dxa" w:w="33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已披露局限性。用户被告知 CTG 坐标及其含义，含反标签幻觉披露。</w:t>
            </w:r>
          </w:p>
        </w:tc>
        <w:tc>
          <w:tcPr>
            <w:tcW w:type="dxa" w:w="33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用户界面含可理解的局限性提示。理解度测试通过率 ≥70%。</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G2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可分配态
Allocable</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责任可分配。明确的责任边界。用户共担采用“类别推定”机制（见 §4.2）。</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模拟错误场景下能明确输出责任分配结果。</w:t>
            </w:r>
          </w:p>
        </w:tc>
      </w:tr>
      <w:tr>
        <w:tc>
          <w:tcPr>
            <w:tcW w:type="dxa" w:w="9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G3a</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可执行态
Enforceable
(监管指定)</w:t>
            </w:r>
          </w:p>
        </w:tc>
        <w:tc>
          <w:tcPr>
            <w:tcW w:type="dxa" w:w="33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完整问责链路 + 补救流程。审计机构由监管方指定并强制轮换。采用分层审计。适用于强监管环境（如 EU）。</w:t>
            </w:r>
          </w:p>
        </w:tc>
        <w:tc>
          <w:tcPr>
            <w:tcW w:type="dxa" w:w="333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独立审计能完成完整责任判定。审计机构实行强制轮换。</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G3b</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可执行态
Enforceable
(认证池自选)</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同 G3a，但审计机构从监管方认证的审计池中由被审计方选择。适用于较弱监管环境（如 US）。仍须满足四原则。</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同 G3a，但审计机构从认证池中选择而非监管方指定。</w:t>
            </w:r>
          </w:p>
        </w:tc>
      </w:tr>
    </w:tbl>
    <w:p>
      <w:pPr>
        <w:pStyle w:val="Heading2"/>
      </w:pPr>
      <w:r>
        <w:rPr>
          <w:rFonts w:ascii="Arial" w:cs="Arial" w:eastAsia="Arial" w:hAnsi="Arial"/>
        </w:rPr>
        <w:t xml:space="preserve">4.2 G2 的用户责任“类别推定”机制（v3.1 新增）</w:t>
      </w:r>
    </w:p>
    <w:p>
      <w:pPr>
        <w:shd w:fill="FFF8E1" w:val="clear"/>
        <w:spacing w:after="0" w:before="200"/>
        <w:ind w:left="360"/>
      </w:pPr>
      <w:r>
        <w:rPr>
          <w:rFonts w:ascii="Arial" w:cs="Arial" w:eastAsia="Arial" w:hAnsi="Arial"/>
          <w:b/>
          <w:bCs/>
          <w:color w:val="E65100"/>
          <w:sz w:val="21"/>
          <w:szCs w:val="21"/>
        </w:rPr>
        <w:t xml:space="preserve">⚠️ 用户能力认证的行政成本爆炸</w:t>
      </w:r>
    </w:p>
    <w:p>
      <w:pPr>
        <w:shd w:fill="FFF8E1" w:val="clear"/>
        <w:spacing w:after="200" w:before="60"/>
        <w:ind w:left="360"/>
      </w:pPr>
      <w:r>
        <w:rPr>
          <w:rFonts w:ascii="Arial" w:cs="Arial" w:eastAsia="Arial" w:hAnsi="Arial"/>
          <w:color w:val="5D4037"/>
          <w:sz w:val="20"/>
          <w:szCs w:val="20"/>
        </w:rPr>
        <w:t xml:space="preserve">如果要求逐人测试用户理解能力，会创造庞大的“能力认证”黑洞。而且部署方会通过设计极复杂的测试来转嫁责任。</w:t>
      </w:r>
    </w:p>
    <w:p>
      <w:pPr>
        <w:spacing w:after="120" w:before="120"/>
        <w:jc w:val="left"/>
      </w:pPr>
      <w:r>
        <w:rPr>
          <w:rFonts w:ascii="Arial" w:cs="Arial" w:eastAsia="Arial" w:hAnsi="Arial"/>
          <w:b/>
          <w:bCs/>
          <w:color w:val="1B3A5C"/>
          <w:sz w:val="22"/>
          <w:szCs w:val="22"/>
        </w:rPr>
        <w:t xml:space="preserve">v3.1 解法：</w:t>
      </w:r>
      <w:r>
        <w:rPr>
          <w:rFonts w:ascii="Arial" w:cs="Arial" w:eastAsia="Arial" w:hAnsi="Arial"/>
          <w:color w:val="333333"/>
          <w:sz w:val="22"/>
          <w:szCs w:val="22"/>
        </w:rPr>
        <w:t xml:space="preserve">不逐人测试，而是采用类别推定 (Category Presumption)：</w:t>
      </w:r>
    </w:p>
    <w:p>
      <w:pPr>
        <w:spacing w:after="120" w:before="120"/>
        <w:jc w:val="left"/>
      </w:pPr>
      <w:r>
        <w:rPr>
          <w:rFonts w:ascii="Arial" w:cs="Arial" w:eastAsia="Arial" w:hAnsi="Arial"/>
          <w:b w:val="false"/>
          <w:bCs w:val="false"/>
          <w:i w:val="false"/>
          <w:iCs w:val="false"/>
          <w:color w:val="333333"/>
          <w:sz w:val="22"/>
          <w:szCs w:val="22"/>
        </w:rPr>
        <w:t xml:space="preserve">(a) 专业用户（持证医师、持牌金融分析师等）：推定具备理解能力，可共担责任。</w:t>
      </w:r>
    </w:p>
    <w:p>
      <w:pPr>
        <w:spacing w:after="120" w:before="120"/>
        <w:jc w:val="left"/>
      </w:pPr>
      <w:r>
        <w:rPr>
          <w:rFonts w:ascii="Arial" w:cs="Arial" w:eastAsia="Arial" w:hAnsi="Arial"/>
          <w:b w:val="false"/>
          <w:bCs w:val="false"/>
          <w:i w:val="false"/>
          <w:iCs w:val="false"/>
          <w:color w:val="333333"/>
          <w:sz w:val="22"/>
          <w:szCs w:val="22"/>
        </w:rPr>
        <w:t xml:space="preserve">(b) 普通消费者：推定不具备理解能力，默认由部署方承担主责。</w:t>
      </w:r>
    </w:p>
    <w:p>
      <w:pPr>
        <w:spacing w:after="120" w:before="120"/>
        <w:jc w:val="left"/>
      </w:pPr>
      <w:r>
        <w:rPr>
          <w:rFonts w:ascii="Arial" w:cs="Arial" w:eastAsia="Arial" w:hAnsi="Arial"/>
          <w:b w:val="false"/>
          <w:bCs w:val="false"/>
          <w:i w:val="false"/>
          <w:iCs w:val="false"/>
          <w:color w:val="333333"/>
          <w:sz w:val="22"/>
          <w:szCs w:val="22"/>
        </w:rPr>
        <w:t xml:space="preserve">(c) 举证责任反转：部署方可以通过证明其界面设计使普通用户也能理解来尝试转移部分责任，但举证责任在部署方。</w:t>
      </w:r>
    </w:p>
    <w:p>
      <w:pPr>
        <w:pStyle w:val="Heading2"/>
      </w:pPr>
      <w:r>
        <w:rPr>
          <w:rFonts w:ascii="Arial" w:cs="Arial" w:eastAsia="Arial" w:hAnsi="Arial"/>
        </w:rPr>
        <w:t xml:space="preserve">4.3 反标签幻觉机制</w:t>
      </w:r>
    </w:p>
    <w:p>
      <w:pPr>
        <w:spacing w:after="120" w:before="120"/>
        <w:jc w:val="left"/>
      </w:pPr>
      <w:r>
        <w:rPr>
          <w:rFonts w:ascii="Arial" w:cs="Arial" w:eastAsia="Arial" w:hAnsi="Arial"/>
          <w:b w:val="false"/>
          <w:bCs w:val="false"/>
          <w:i w:val="false"/>
          <w:iCs w:val="false"/>
          <w:color w:val="333333"/>
          <w:sz w:val="22"/>
          <w:szCs w:val="22"/>
        </w:rPr>
        <w:t xml:space="preserve">任何 CTG 标签必须伴随通俗语言的局限性声明。不得仅展示编号。</w:t>
      </w:r>
    </w:p>
    <w:p>
      <w:pPr>
        <w:spacing w:after="120" w:before="120"/>
        <w:jc w:val="left"/>
      </w:pPr>
      <w:r>
        <w:rPr>
          <w:rFonts w:ascii="Arial" w:cs="Arial" w:eastAsia="Arial" w:hAnsi="Arial"/>
          <w:b w:val="false"/>
          <w:bCs w:val="false"/>
          <w:i w:val="false"/>
          <w:iCs w:val="false"/>
          <w:color w:val="333333"/>
          <w:sz w:val="22"/>
          <w:szCs w:val="22"/>
        </w:rPr>
        <w:t xml:space="preserve">示例：“本系统为 [C1, T1, G1]。这意味着：它仅在本次对话内记得您说过的话；它的所有回复都有日志但不能解释“为什么”；当出错时，最终责任在您和服务提供方，不在 AI 本身。对于重大决策，请咨询专业人士。”</w:t>
      </w:r>
    </w:p>
    <w:p>
      <w:pPr>
        <w:pStyle w:val="Heading2"/>
      </w:pPr>
      <w:r>
        <w:rPr>
          <w:rFonts w:ascii="Arial" w:cs="Arial" w:eastAsia="Arial" w:hAnsi="Arial"/>
        </w:rPr>
        <w:t xml:space="preserve">4.4 G3 的双轨模式与四原则（v3.2 完善）</w:t>
      </w:r>
    </w:p>
    <w:p>
      <w:pPr>
        <w:shd w:fill="FFF8E1" w:val="clear"/>
        <w:spacing w:after="0" w:before="200"/>
        <w:ind w:left="360"/>
      </w:pPr>
      <w:r>
        <w:rPr>
          <w:rFonts w:ascii="Arial" w:cs="Arial" w:eastAsia="Arial" w:hAnsi="Arial"/>
          <w:b/>
          <w:bCs/>
          <w:color w:val="E65100"/>
          <w:sz w:val="21"/>
          <w:szCs w:val="21"/>
        </w:rPr>
        <w:t xml:space="preserve">⚠️ 审计不可能三角 + 政治风险</w:t>
      </w:r>
    </w:p>
    <w:p>
      <w:pPr>
        <w:shd w:fill="FFF8E1" w:val="clear"/>
        <w:spacing w:after="200" w:before="60"/>
        <w:ind w:left="360"/>
      </w:pPr>
      <w:r>
        <w:rPr>
          <w:rFonts w:ascii="Arial" w:cs="Arial" w:eastAsia="Arial" w:hAnsi="Arial"/>
          <w:color w:val="5D4037"/>
          <w:sz w:val="20"/>
          <w:szCs w:val="20"/>
        </w:rPr>
        <w:t xml:space="preserve">审计独立性、专业性、成本三者最多满足两个。且“监管方指定审计机构”在美国科技公司看来是 regulatory overreach。因此提供双轨模式以适配不同政治环境。</w:t>
      </w:r>
    </w:p>
    <w:p>
      <w:pPr>
        <w:spacing w:after="120" w:before="120"/>
        <w:jc w:val="left"/>
      </w:pPr>
      <w:r>
        <w:rPr>
          <w:rFonts w:ascii="Arial" w:cs="Arial" w:eastAsia="Arial" w:hAnsi="Arial"/>
          <w:b/>
          <w:bCs/>
          <w:color w:val="1B3A5C"/>
          <w:sz w:val="22"/>
          <w:szCs w:val="22"/>
        </w:rPr>
        <w:t xml:space="preserve">G3a（监管指定模式）：</w:t>
      </w:r>
      <w:r>
        <w:rPr>
          <w:rFonts w:ascii="Arial" w:cs="Arial" w:eastAsia="Arial" w:hAnsi="Arial"/>
          <w:color w:val="333333"/>
          <w:sz w:val="22"/>
          <w:szCs w:val="22"/>
        </w:rPr>
        <w:t xml:space="preserve">审计机构由监管方指定或随机分配，实行强制轮换。适用于强监管环境（如 EU、中国）。</w:t>
      </w:r>
    </w:p>
    <w:p>
      <w:pPr>
        <w:spacing w:after="120" w:before="120"/>
        <w:jc w:val="left"/>
      </w:pPr>
      <w:r>
        <w:rPr>
          <w:rFonts w:ascii="Arial" w:cs="Arial" w:eastAsia="Arial" w:hAnsi="Arial"/>
          <w:b/>
          <w:bCs/>
          <w:color w:val="1B3A5C"/>
          <w:sz w:val="22"/>
          <w:szCs w:val="22"/>
        </w:rPr>
        <w:t xml:space="preserve">G3b（认证池自选模式）：</w:t>
      </w:r>
      <w:r>
        <w:rPr>
          <w:rFonts w:ascii="Arial" w:cs="Arial" w:eastAsia="Arial" w:hAnsi="Arial"/>
          <w:color w:val="333333"/>
          <w:sz w:val="22"/>
          <w:szCs w:val="22"/>
        </w:rPr>
        <w:t xml:space="preserve">审计机构从监管方认证的审计池中由被审计方选择，仍须满足四原则。适用于较弱监管环境（如 US）。为遮制 audit shopping，认证池内审计机构须满足统一的最低标准。</w:t>
      </w:r>
    </w:p>
    <w:p>
      <w:pPr>
        <w:spacing w:after="120" w:before="120"/>
        <w:jc w:val="left"/>
      </w:pPr>
      <w:r>
        <w:rPr>
          <w:rFonts w:ascii="Arial" w:cs="Arial" w:eastAsia="Arial" w:hAnsi="Arial"/>
          <w:b/>
          <w:bCs/>
          <w:color w:val="1B3A5C"/>
          <w:sz w:val="22"/>
          <w:szCs w:val="22"/>
        </w:rPr>
        <w:t xml:space="preserve">v3.1 解法——分层审计：</w:t>
      </w:r>
    </w:p>
    <w:p>
      <w:pPr>
        <w:spacing w:after="120" w:before="120"/>
        <w:jc w:val="left"/>
      </w:pPr>
      <w:r>
        <w:rPr>
          <w:rFonts w:ascii="Arial" w:cs="Arial" w:eastAsia="Arial" w:hAnsi="Arial"/>
          <w:b w:val="false"/>
          <w:bCs w:val="false"/>
          <w:i w:val="false"/>
          <w:iCs w:val="false"/>
          <w:color w:val="333333"/>
          <w:sz w:val="22"/>
          <w:szCs w:val="22"/>
        </w:rPr>
        <w:t xml:space="preserve">(a) 通用合规层：可轮换，负责流程合规、披露完整性、反标签幻觉检查等通用项目。</w:t>
      </w:r>
    </w:p>
    <w:p>
      <w:pPr>
        <w:spacing w:after="120" w:before="120"/>
        <w:jc w:val="left"/>
      </w:pPr>
      <w:r>
        <w:rPr>
          <w:rFonts w:ascii="Arial" w:cs="Arial" w:eastAsia="Arial" w:hAnsi="Arial"/>
          <w:b w:val="false"/>
          <w:bCs w:val="false"/>
          <w:i w:val="false"/>
          <w:iCs w:val="false"/>
          <w:color w:val="333333"/>
          <w:sz w:val="22"/>
          <w:szCs w:val="22"/>
        </w:rPr>
        <w:t xml:space="preserve">(b) 领域专业层：由领域认证池中的专家执行，负责领域特定的技术审计。专家轮换周期可长于通用层，但必须与被审计方无利益关系。</w:t>
      </w:r>
    </w:p>
    <w:p>
      <w:pPr>
        <w:spacing w:after="120" w:before="120"/>
        <w:jc w:val="left"/>
      </w:pPr>
      <w:r>
        <w:rPr>
          <w:rFonts w:ascii="Arial" w:cs="Arial" w:eastAsia="Arial" w:hAnsi="Arial"/>
          <w:b w:val="false"/>
          <w:bCs w:val="false"/>
          <w:i w:val="false"/>
          <w:iCs w:val="false"/>
          <w:color w:val="333333"/>
          <w:sz w:val="22"/>
          <w:szCs w:val="22"/>
        </w:rPr>
        <w:t xml:space="preserve">(c) 两层独立但协同，两层均由监管方指定/认证。</w:t>
      </w:r>
    </w:p>
    <w:p>
      <w:pPr>
        <w:spacing w:after="120" w:before="120"/>
        <w:jc w:val="left"/>
      </w:pPr>
      <w:r>
        <w:rPr>
          <w:rFonts w:ascii="Arial" w:cs="Arial" w:eastAsia="Arial" w:hAnsi="Arial"/>
          <w:b w:val="false"/>
          <w:bCs w:val="false"/>
          <w:i w:val="false"/>
          <w:iCs w:val="false"/>
          <w:color w:val="333333"/>
          <w:sz w:val="22"/>
          <w:szCs w:val="22"/>
        </w:rPr>
        <w:t xml:space="preserve">四原则：分离原则、指定/轮换原则、可验证原则（审计代码密封备案而非全部开源，避免被恶意针对）、博弈设计原则（设计激励结构使“说谎代价极高”）。</w:t>
      </w:r>
    </w:p>
    <w:p>
      <w:r>
        <w:br w:type="page"/>
      </w:r>
    </w:p>
    <w:p>
      <w:pPr>
        <w:pStyle w:val="Heading1"/>
      </w:pPr>
      <w:r>
        <w:rPr>
          <w:rFonts w:ascii="Arial" w:cs="Arial" w:eastAsia="Arial" w:hAnsi="Arial"/>
        </w:rPr>
        <w:t xml:space="preserve">第五章：责任分配表</w:t>
      </w:r>
    </w:p>
    <w:p>
      <w:pPr>
        <w:pStyle w:val="Heading2"/>
      </w:pPr>
      <w:r>
        <w:rPr>
          <w:rFonts w:ascii="Arial" w:cs="Arial" w:eastAsia="Arial" w:hAnsi="Arial"/>
        </w:rPr>
        <w:t xml:space="preserve">5.1 产品坐标示例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47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产品</w:t>
            </w:r>
          </w:p>
        </w:tc>
        <w:tc>
          <w:tcPr>
            <w:tcW w:type="dxa" w:w="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w:t>
            </w:r>
          </w:p>
        </w:tc>
        <w:tc>
          <w:tcPr>
            <w:tcW w:type="dxa" w:w="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4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早期 GPT API</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G0</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无状态、无记录、无问责框架。</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ChatGPT / Claude.ai</w:t>
            </w:r>
          </w:p>
        </w:tc>
        <w:tc>
          <w:tcPr>
            <w:tcW w:type="dxa" w:w="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C1</w:t>
            </w:r>
          </w:p>
        </w:tc>
        <w:tc>
          <w:tcPr>
            <w:tcW w:type="dxa" w:w="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T1</w:t>
            </w:r>
          </w:p>
        </w:tc>
        <w:tc>
          <w:tcPr>
            <w:tcW w:type="dxa" w:w="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G1</w:t>
            </w:r>
          </w:p>
        </w:tc>
        <w:tc>
          <w:tcPr>
            <w:tcW w:type="dxa" w:w="47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会话内记忆，I/O 可记录，已披露局限性。</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Claude Memory</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跨会话记忆，追溯仍停留日志层。</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金融监管合规 AI</w:t>
            </w:r>
          </w:p>
        </w:tc>
        <w:tc>
          <w:tcPr>
            <w:tcW w:type="dxa" w:w="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C1</w:t>
            </w:r>
          </w:p>
        </w:tc>
        <w:tc>
          <w:tcPr>
            <w:tcW w:type="dxa" w:w="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T2</w:t>
            </w:r>
          </w:p>
        </w:tc>
        <w:tc>
          <w:tcPr>
            <w:tcW w:type="dxa" w:w="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G2</w:t>
            </w:r>
          </w:p>
        </w:tc>
        <w:tc>
          <w:tcPr>
            <w:tcW w:type="dxa" w:w="47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决策可质询，责任可分配。标准质询者审计。</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Netflix 推荐</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C3a</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G1</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参数持续更新，追溯和问责仍在基础层。</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理想化医疗 AI</w:t>
            </w:r>
          </w:p>
        </w:tc>
        <w:tc>
          <w:tcPr>
            <w:tcW w:type="dxa" w:w="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C2</w:t>
            </w:r>
          </w:p>
        </w:tc>
        <w:tc>
          <w:tcPr>
            <w:tcW w:type="dxa" w:w="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T3</w:t>
            </w:r>
          </w:p>
        </w:tc>
        <w:tc>
          <w:tcPr>
            <w:tcW w:type="dxa" w:w="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G3</w:t>
            </w:r>
          </w:p>
        </w:tc>
        <w:tc>
          <w:tcPr>
            <w:tcW w:type="dxa" w:w="47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全链路可审计 + DDI 熔断 + 灰匣子存证 + 分层审计。</w:t>
            </w:r>
          </w:p>
        </w:tc>
      </w:tr>
    </w:tbl>
    <w:p>
      <w:pPr>
        <w:pStyle w:val="Heading2"/>
      </w:pPr>
      <w:r>
        <w:rPr>
          <w:rFonts w:ascii="Arial" w:cs="Arial" w:eastAsia="Arial" w:hAnsi="Arial"/>
        </w:rPr>
        <w:t xml:space="preserve">5.2 责任分配规则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27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用户责任</w:t>
            </w:r>
          </w:p>
        </w:tc>
        <w:tc>
          <w:tcPr>
            <w:tcW w:type="dxa" w:w="27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部署方责任</w:t>
            </w:r>
          </w:p>
        </w:tc>
        <w:tc>
          <w:tcPr>
            <w:tcW w:type="dxa" w:w="27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开发方责任</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G0</w:t>
            </w:r>
          </w:p>
        </w:tc>
        <w:tc>
          <w:tcPr>
            <w:tcW w:type="dxa" w:w="2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完全责任。</w:t>
            </w:r>
          </w:p>
        </w:tc>
        <w:tc>
          <w:tcPr>
            <w:tcW w:type="dxa" w:w="2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无制度性义务。</w:t>
            </w:r>
          </w:p>
        </w:tc>
        <w:tc>
          <w:tcPr>
            <w:tcW w:type="dxa" w:w="2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无直接责任。</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G1</w:t>
            </w:r>
          </w:p>
        </w:tc>
        <w:tc>
          <w:tcPr>
            <w:tcW w:type="dxa" w:w="272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主要责任。已被告知局限性。</w:t>
            </w:r>
          </w:p>
        </w:tc>
        <w:tc>
          <w:tcPr>
            <w:tcW w:type="dxa" w:w="272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披露义务 + 反标签幻觉义务。</w:t>
            </w:r>
          </w:p>
        </w:tc>
        <w:tc>
          <w:tcPr>
            <w:tcW w:type="dxa" w:w="272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标注义务。提供 CTG 分级 + 局限性模板。</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G2</w:t>
            </w:r>
          </w:p>
        </w:tc>
        <w:tc>
          <w:tcPr>
            <w:tcW w:type="dxa" w:w="2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有条件共担。专业用户推定具备理解力；普通消费者推定不具备，默认部署方主责。</w:t>
            </w:r>
          </w:p>
        </w:tc>
        <w:tc>
          <w:tcPr>
            <w:tcW w:type="dxa" w:w="2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主要责任。质询能力义务 + 举证责任。</w:t>
            </w:r>
          </w:p>
        </w:tc>
        <w:tc>
          <w:tcPr>
            <w:tcW w:type="dxa" w:w="27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可质询性义务。若质询信息系统性误导，承担主责。</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bCs/>
                <w:color w:val="333333"/>
                <w:sz w:val="19"/>
                <w:szCs w:val="19"/>
              </w:rPr>
              <w:t xml:space="preserve">G3a/b</w:t>
            </w:r>
          </w:p>
        </w:tc>
        <w:tc>
          <w:tcPr>
            <w:tcW w:type="dxa" w:w="272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有限责任。收到明确警告后仍继续才承担。</w:t>
            </w:r>
          </w:p>
        </w:tc>
        <w:tc>
          <w:tcPr>
            <w:tcW w:type="dxa" w:w="272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主要责任。G3a 审计机构监管指定；G3b 从认证池选择。均采用分层审计。</w:t>
            </w:r>
          </w:p>
        </w:tc>
        <w:tc>
          <w:tcPr>
            <w:tcW w:type="dxa" w:w="272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连带责任。模型层缺陷导致系统性失败时。</w:t>
            </w:r>
          </w:p>
        </w:tc>
      </w:tr>
    </w:tbl>
    <w:p>
      <w:pPr>
        <w:spacing w:after="120" w:before="200"/>
        <w:jc w:val="left"/>
      </w:pPr>
      <w:r>
        <w:rPr>
          <w:rFonts w:ascii="Arial" w:cs="Arial" w:eastAsia="Arial" w:hAnsi="Arial"/>
          <w:b/>
          <w:bCs/>
          <w:color w:val="1B3A5C"/>
          <w:sz w:val="22"/>
          <w:szCs w:val="22"/>
        </w:rPr>
        <w:t xml:space="preserve">核心边界线：</w:t>
      </w:r>
      <w:r>
        <w:rPr>
          <w:rFonts w:ascii="Arial" w:cs="Arial" w:eastAsia="Arial" w:hAnsi="Arial"/>
          <w:color w:val="333333"/>
          <w:sz w:val="22"/>
          <w:szCs w:val="22"/>
        </w:rPr>
        <w:t xml:space="preserve">G2 是责任从“用户主责”向“机构共担”过渡的分水岭。普通消费者默认不共担，举证责任在部署方。</w:t>
      </w:r>
    </w:p>
    <w:p>
      <w:r>
        <w:br w:type="page"/>
      </w:r>
    </w:p>
    <w:p>
      <w:pPr>
        <w:pStyle w:val="Heading1"/>
      </w:pPr>
      <w:r>
        <w:rPr>
          <w:rFonts w:ascii="Arial" w:cs="Arial" w:eastAsia="Arial" w:hAnsi="Arial"/>
        </w:rPr>
        <w:t xml:space="preserve">第六章：与 EU AI Act 的映射关系（v3.1 新增）</w:t>
      </w:r>
    </w:p>
    <w:p>
      <w:pPr>
        <w:spacing w:after="120" w:before="120"/>
        <w:jc w:val="left"/>
      </w:pPr>
      <w:r>
        <w:rPr>
          <w:rFonts w:ascii="Arial" w:cs="Arial" w:eastAsia="Arial" w:hAnsi="Arial"/>
          <w:b w:val="false"/>
          <w:bCs w:val="false"/>
          <w:i w:val="false"/>
          <w:iCs w:val="false"/>
          <w:color w:val="333333"/>
          <w:sz w:val="22"/>
          <w:szCs w:val="22"/>
        </w:rPr>
        <w:t xml:space="preserve">CTG 模型定位为现有监管框架的补充而非竞争。以下为与 EU AI Act 风险分级的初步映射：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EU AI Act 风险等级</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建议 C</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建议 T</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建议 G</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Minimal Risk</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无要求</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无要求</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无要求</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自我监管。</w:t>
            </w:r>
          </w:p>
        </w:tc>
      </w:tr>
      <w:tr>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Limited Risk</w:t>
            </w:r>
          </w:p>
        </w:tc>
        <w:tc>
          <w:tcPr>
            <w:tcW w:type="dxa" w:w="1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C0-C1</w:t>
            </w:r>
          </w:p>
        </w:tc>
        <w:tc>
          <w:tcPr>
            <w:tcW w:type="dxa" w:w="1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T1</w:t>
            </w:r>
          </w:p>
        </w:tc>
        <w:tc>
          <w:tcPr>
            <w:tcW w:type="dxa" w:w="1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G1</w:t>
            </w:r>
          </w:p>
        </w:tc>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透明度义务。</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High Risk</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C1+</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T2</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合规义务 + 可质询性。</w:t>
            </w:r>
          </w:p>
        </w:tc>
      </w:tr>
      <w:tr>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Unacceptable /
Critical</w:t>
            </w:r>
          </w:p>
        </w:tc>
        <w:tc>
          <w:tcPr>
            <w:tcW w:type="dxa" w:w="1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C2+</w:t>
            </w:r>
          </w:p>
        </w:tc>
        <w:tc>
          <w:tcPr>
            <w:tcW w:type="dxa" w:w="1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T3</w:t>
            </w:r>
          </w:p>
        </w:tc>
        <w:tc>
          <w:tcPr>
            <w:tcW w:type="dxa" w:w="1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G3</w:t>
            </w:r>
          </w:p>
        </w:tc>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最高级别审计 + 分层审计。</w:t>
            </w:r>
          </w:p>
        </w:tc>
      </w:tr>
    </w:tbl>
    <w:p>
      <w:pPr>
        <w:spacing w:after="120" w:before="120"/>
        <w:jc w:val="left"/>
      </w:pPr>
      <w:r>
        <w:rPr>
          <w:rFonts w:ascii="Arial" w:cs="Arial" w:eastAsia="Arial" w:hAnsi="Arial"/>
          <w:b/>
          <w:bCs/>
          <w:i/>
          <w:iCs/>
          <w:color w:val="888888"/>
          <w:sz w:val="20"/>
          <w:szCs w:val="20"/>
        </w:rPr>
        <w:t xml:space="preserve">注：</w:t>
      </w:r>
      <w:r>
        <w:rPr>
          <w:rFonts w:ascii="Arial" w:cs="Arial" w:eastAsia="Arial" w:hAnsi="Arial"/>
          <w:i/>
          <w:iCs/>
          <w:color w:val="888888"/>
          <w:sz w:val="20"/>
          <w:szCs w:val="20"/>
        </w:rPr>
        <w:t xml:space="preserve">此映射为初步建议，具体对接需专项研究。本模型与 NIST AI RMF、ISO/IEC 42001 也为补充关系。</w:t>
      </w:r>
    </w:p>
    <w:p>
      <w:r>
        <w:br w:type="page"/>
      </w:r>
    </w:p>
    <w:p>
      <w:pPr>
        <w:pStyle w:val="Heading1"/>
      </w:pPr>
      <w:r>
        <w:rPr>
          <w:rFonts w:ascii="Arial" w:cs="Arial" w:eastAsia="Arial" w:hAnsi="Arial"/>
        </w:rPr>
        <w:t xml:space="preserve">第七章：隐私与可追溯性的结构性张力</w:t>
      </w:r>
    </w:p>
    <w:p>
      <w:pPr>
        <w:spacing w:after="120" w:before="120"/>
        <w:jc w:val="left"/>
      </w:pPr>
      <w:r>
        <w:rPr>
          <w:rFonts w:ascii="Arial" w:cs="Arial" w:eastAsia="Arial" w:hAnsi="Arial"/>
          <w:b w:val="false"/>
          <w:bCs w:val="false"/>
          <w:i w:val="false"/>
          <w:iCs w:val="false"/>
          <w:color w:val="333333"/>
          <w:sz w:val="22"/>
          <w:szCs w:val="22"/>
        </w:rPr>
        <w:t xml:space="preserve">精准归因需要回溯到特定数据点，而差分隐私的本质是模糊化个体贡献。这是逻辑上的互斥事件。</w:t>
      </w:r>
    </w:p>
    <w:p>
      <w:pPr>
        <w:spacing w:after="120" w:before="120"/>
        <w:jc w:val="left"/>
      </w:pPr>
      <w:r>
        <w:rPr>
          <w:rFonts w:ascii="Arial" w:cs="Arial" w:eastAsia="Arial" w:hAnsi="Arial"/>
          <w:b/>
          <w:bCs/>
          <w:i/>
          <w:iCs/>
          <w:color w:val="1B3A5C"/>
          <w:sz w:val="22"/>
          <w:szCs w:val="22"/>
        </w:rPr>
        <w:t xml:space="preserve">本白皮书不假装有完美解法。</w:t>
      </w:r>
      <w:r>
        <w:rPr>
          <w:rFonts w:ascii="Arial" w:cs="Arial" w:eastAsia="Arial" w:hAnsi="Arial"/>
          <w:i/>
          <w:iCs/>
          <w:color w:val="555555"/>
          <w:sz w:val="22"/>
          <w:szCs w:val="22"/>
        </w:rPr>
        <w:t xml:space="preserve">三种缓解路径：</w:t>
      </w:r>
    </w:p>
    <w:p>
      <w:pPr>
        <w:spacing w:after="120" w:before="120"/>
        <w:jc w:val="left"/>
      </w:pPr>
      <w:r>
        <w:rPr>
          <w:rFonts w:ascii="Arial" w:cs="Arial" w:eastAsia="Arial" w:hAnsi="Arial"/>
          <w:b/>
          <w:bCs/>
          <w:sz w:val="22"/>
          <w:szCs w:val="22"/>
        </w:rPr>
        <w:t xml:space="preserve">(a) 差分隐私审计：</w:t>
      </w:r>
      <w:r>
        <w:rPr>
          <w:rFonts w:ascii="Arial" w:cs="Arial" w:eastAsia="Arial" w:hAnsi="Arial"/>
          <w:sz w:val="22"/>
          <w:szCs w:val="22"/>
        </w:rPr>
        <w:t xml:space="preserve">统计信息而非原始数据。适用于 T2/G2。代价：审计精度下降。</w:t>
      </w:r>
    </w:p>
    <w:p>
      <w:pPr>
        <w:spacing w:after="120" w:before="120"/>
        <w:jc w:val="left"/>
      </w:pPr>
      <w:r>
        <w:rPr>
          <w:rFonts w:ascii="Arial" w:cs="Arial" w:eastAsia="Arial" w:hAnsi="Arial"/>
          <w:b/>
          <w:bCs/>
          <w:sz w:val="22"/>
          <w:szCs w:val="22"/>
        </w:rPr>
        <w:t xml:space="preserve">(b) 时间锁审计：</w:t>
      </w:r>
      <w:r>
        <w:rPr>
          <w:rFonts w:ascii="Arial" w:cs="Arial" w:eastAsia="Arial" w:hAnsi="Arial"/>
          <w:sz w:val="22"/>
          <w:szCs w:val="22"/>
        </w:rPr>
        <w:t xml:space="preserve">加密存储，争议时司法解锁。适用于 G3。代价：司法流程复杂。</w:t>
      </w:r>
    </w:p>
    <w:p>
      <w:pPr>
        <w:spacing w:after="120" w:before="120"/>
        <w:jc w:val="left"/>
      </w:pPr>
      <w:r>
        <w:rPr>
          <w:rFonts w:ascii="Arial" w:cs="Arial" w:eastAsia="Arial" w:hAnsi="Arial"/>
          <w:b/>
          <w:bCs/>
          <w:sz w:val="22"/>
          <w:szCs w:val="22"/>
        </w:rPr>
        <w:t xml:space="preserve">(c) 用户主权模式：</w:t>
      </w:r>
      <w:r>
        <w:rPr>
          <w:rFonts w:ascii="Arial" w:cs="Arial" w:eastAsia="Arial" w:hAnsi="Arial"/>
          <w:sz w:val="22"/>
          <w:szCs w:val="22"/>
        </w:rPr>
        <w:t xml:space="preserve">审计数据存用户端。适用于低风险场景。代价：用户可能篡改。</w:t>
      </w:r>
    </w:p>
    <w:p>
      <w:r>
        <w:br w:type="page"/>
      </w:r>
    </w:p>
    <w:p>
      <w:pPr>
        <w:pStyle w:val="Heading1"/>
      </w:pPr>
      <w:r>
        <w:rPr>
          <w:rFonts w:ascii="Arial" w:cs="Arial" w:eastAsia="Arial" w:hAnsi="Arial"/>
        </w:rPr>
        <w:t xml:space="preserve">第八章：行业建议与实施路线图</w:t>
      </w:r>
    </w:p>
    <w:p>
      <w:pPr>
        <w:pStyle w:val="Heading2"/>
      </w:pPr>
      <w:r>
        <w:rPr>
          <w:rFonts w:ascii="Arial" w:cs="Arial" w:eastAsia="Arial" w:hAnsi="Arial"/>
        </w:rPr>
        <w:t xml:space="preserve">8.1 高敏感场景最低门槛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场景</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最低 C</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最低 T</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最低 G</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闲聊 / 创意</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无</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无</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无</w:t>
            </w:r>
          </w:p>
        </w:tc>
      </w:tr>
      <w:tr>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教育辅助</w:t>
            </w:r>
          </w:p>
        </w:tc>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C1</w:t>
            </w:r>
          </w:p>
        </w:tc>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T1</w:t>
            </w:r>
          </w:p>
        </w:tc>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G1</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金融顾问</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G2</w:t>
            </w:r>
          </w:p>
        </w:tc>
      </w:tr>
      <w:tr>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医疗诊断</w:t>
            </w:r>
          </w:p>
        </w:tc>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C2</w:t>
            </w:r>
          </w:p>
        </w:tc>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T3</w:t>
            </w:r>
          </w:p>
        </w:tc>
        <w:tc>
          <w:tcPr>
            <w:tcW w:type="dxa" w:w="234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G3</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自动驾驶</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C2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T3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19"/>
                <w:szCs w:val="19"/>
              </w:rPr>
              <w:t xml:space="preserve">G3</w:t>
            </w:r>
          </w:p>
        </w:tc>
      </w:tr>
    </w:tbl>
    <w:p>
      <w:pPr>
        <w:pStyle w:val="Heading2"/>
      </w:pPr>
      <w:r>
        <w:rPr>
          <w:rFonts w:ascii="Arial" w:cs="Arial" w:eastAsia="Arial" w:hAnsi="Arial"/>
        </w:rPr>
        <w:t xml:space="preserve">8.2 落地场景优先级（v3.1 具体化）</w:t>
      </w:r>
    </w:p>
    <w:p>
      <w:pPr>
        <w:spacing w:after="120" w:before="120"/>
        <w:jc w:val="left"/>
      </w:pPr>
      <w:r>
        <w:rPr>
          <w:rFonts w:ascii="Arial" w:cs="Arial" w:eastAsia="Arial" w:hAnsi="Arial"/>
          <w:b w:val="false"/>
          <w:bCs w:val="false"/>
          <w:i w:val="false"/>
          <w:iCs w:val="false"/>
          <w:color w:val="333333"/>
          <w:sz w:val="22"/>
          <w:szCs w:val="22"/>
        </w:rPr>
        <w:t xml:space="preserve">第一落地场景应为已有监管基础的高风险领域，而非通用 LLM：</w:t>
      </w:r>
    </w:p>
    <w:p>
      <w:pPr>
        <w:spacing w:after="120" w:before="120"/>
        <w:jc w:val="left"/>
      </w:pPr>
      <w:r>
        <w:rPr>
          <w:rFonts w:ascii="Arial" w:cs="Arial" w:eastAsia="Arial" w:hAnsi="Arial"/>
          <w:b w:val="false"/>
          <w:bCs w:val="false"/>
          <w:i w:val="false"/>
          <w:iCs w:val="false"/>
          <w:color w:val="333333"/>
          <w:sz w:val="22"/>
          <w:szCs w:val="22"/>
        </w:rPr>
        <w:t xml:space="preserve">(a) 金融 AI（已有 MiFID II、巴塞尔协议等监管基础）：用 CTG 给现有金融 AI 系统分级，为监管机构提供统一语言。</w:t>
      </w:r>
    </w:p>
    <w:p>
      <w:pPr>
        <w:spacing w:after="120" w:before="120"/>
        <w:jc w:val="left"/>
      </w:pPr>
      <w:r>
        <w:rPr>
          <w:rFonts w:ascii="Arial" w:cs="Arial" w:eastAsia="Arial" w:hAnsi="Arial"/>
          <w:b w:val="false"/>
          <w:bCs w:val="false"/>
          <w:i w:val="false"/>
          <w:iCs w:val="false"/>
          <w:color w:val="333333"/>
          <w:sz w:val="22"/>
          <w:szCs w:val="22"/>
        </w:rPr>
        <w:t xml:space="preserve">(b) 医疗 AI（已有 FDA/CE 审批流程）：将 CTG 坐标纳入医疗器械审批流程。</w:t>
      </w:r>
    </w:p>
    <w:p>
      <w:pPr>
        <w:spacing w:after="120" w:before="120"/>
        <w:jc w:val="left"/>
      </w:pPr>
      <w:r>
        <w:rPr>
          <w:rFonts w:ascii="Arial" w:cs="Arial" w:eastAsia="Arial" w:hAnsi="Arial"/>
          <w:b w:val="false"/>
          <w:bCs w:val="false"/>
          <w:i w:val="false"/>
          <w:iCs w:val="false"/>
          <w:color w:val="333333"/>
          <w:sz w:val="22"/>
          <w:szCs w:val="22"/>
        </w:rPr>
        <w:t xml:space="preserve">(c) 自动驾驶 AI（已有 SAE J3016 分级）：CTG 作为 SAE 分级的补充，分担“谁在开车”之外的“出了事谁负责”问题。</w:t>
      </w:r>
    </w:p>
    <w:p>
      <w:pPr>
        <w:pStyle w:val="Heading2"/>
      </w:pPr>
      <w:r>
        <w:rPr>
          <w:rFonts w:ascii="Arial" w:cs="Arial" w:eastAsia="Arial" w:hAnsi="Arial"/>
        </w:rPr>
        <w:t xml:space="preserve">8.3 实施路线图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阶段</w:t>
            </w:r>
          </w:p>
        </w:tc>
        <w:tc>
          <w:tcPr>
            <w:tcW w:type="dxa" w:w="37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目标</w:t>
            </w:r>
          </w:p>
        </w:tc>
        <w:tc>
          <w:tcPr>
            <w:tcW w:type="dxa" w:w="37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关键动作</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短期
(0-12月)</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建立三轴分级共识</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发布 CTG 白皮书 → 征集行业反馈 → 开源评估工具包（含多维质询测试 + DDI 监控）→ 金融 AI 试点</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中期
(1-3年)</w:t>
            </w:r>
          </w:p>
        </w:tc>
        <w:tc>
          <w:tcPr>
            <w:tcW w:type="dxa" w:w="37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T 轴基础设施 + 分层审计成为行业标准</w:t>
            </w:r>
          </w:p>
        </w:tc>
        <w:tc>
          <w:tcPr>
            <w:tcW w:type="dxa" w:w="37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与监管机构合作 → 标准质询者认证体系 → 灰匣子存证技术规范 → EU AI Act 映射完善</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bCs/>
                <w:color w:val="333333"/>
                <w:sz w:val="19"/>
                <w:szCs w:val="19"/>
              </w:rPr>
              <w:t xml:space="preserve">长期
(3-5年)</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探索 T3+G3 工程实现，解决隐私-追溯张力</w:t>
            </w:r>
          </w:p>
        </w:tc>
        <w:tc>
          <w:tcPr>
            <w:tcW w:type="dxa" w:w="3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19"/>
                <w:szCs w:val="19"/>
              </w:rPr>
              <w:t xml:space="preserve">时间锁审计工程化 → C3a DDI 熔断规模化 → C3b 可行性研究 → 审计博弈论激励设计</w:t>
            </w:r>
          </w:p>
        </w:tc>
      </w:tr>
    </w:tbl>
    <w:p>
      <w:r>
        <w:br w:type="page"/>
      </w:r>
    </w:p>
    <w:p>
      <w:pPr>
        <w:pStyle w:val="Heading1"/>
      </w:pPr>
      <w:r>
        <w:rPr>
          <w:rFonts w:ascii="Arial" w:cs="Arial" w:eastAsia="Arial" w:hAnsi="Arial"/>
        </w:rPr>
        <w:t xml:space="preserve">第九章：待解决问题</w:t>
      </w:r>
    </w:p>
    <w:p>
      <w:pPr>
        <w:spacing w:after="120" w:before="120"/>
        <w:jc w:val="left"/>
      </w:pPr>
      <w:r>
        <w:rPr>
          <w:rFonts w:ascii="Arial" w:cs="Arial" w:eastAsia="Arial" w:hAnsi="Arial"/>
          <w:b/>
          <w:bCs/>
          <w:color w:val="1B3A5C"/>
          <w:sz w:val="22"/>
          <w:szCs w:val="22"/>
        </w:rPr>
        <w:t xml:space="preserve">1. 多维评估集的实证标定：</w:t>
      </w:r>
      <w:r>
        <w:rPr>
          <w:rFonts w:ascii="Arial" w:cs="Arial" w:eastAsia="Arial" w:hAnsi="Arial"/>
          <w:sz w:val="22"/>
          <w:szCs w:val="22"/>
        </w:rPr>
        <w:t xml:space="preserve">对抗性挑战成功率、反事实稳定性、进入路径覆盖率的具体阈值需大规模实证研究。</w:t>
      </w:r>
    </w:p>
    <w:p>
      <w:pPr>
        <w:spacing w:after="120" w:before="120"/>
        <w:jc w:val="left"/>
      </w:pPr>
      <w:r>
        <w:rPr>
          <w:rFonts w:ascii="Arial" w:cs="Arial" w:eastAsia="Arial" w:hAnsi="Arial"/>
          <w:b/>
          <w:bCs/>
          <w:color w:val="1B3A5C"/>
          <w:sz w:val="22"/>
          <w:szCs w:val="22"/>
        </w:rPr>
        <w:t xml:space="preserve">2. DDI 阈值的领域差异：</w:t>
      </w:r>
      <w:r>
        <w:rPr>
          <w:rFonts w:ascii="Arial" w:cs="Arial" w:eastAsia="Arial" w:hAnsi="Arial"/>
          <w:sz w:val="22"/>
          <w:szCs w:val="22"/>
        </w:rPr>
        <w:t xml:space="preserve">金融 vs 内容推荐的 DDI 容忍度完全不同。需要分领域标定。</w:t>
      </w:r>
    </w:p>
    <w:p>
      <w:pPr>
        <w:spacing w:after="120" w:before="120"/>
        <w:jc w:val="left"/>
      </w:pPr>
      <w:r>
        <w:rPr>
          <w:rFonts w:ascii="Arial" w:cs="Arial" w:eastAsia="Arial" w:hAnsi="Arial"/>
          <w:b/>
          <w:bCs/>
          <w:color w:val="1B3A5C"/>
          <w:sz w:val="22"/>
          <w:szCs w:val="22"/>
        </w:rPr>
        <w:t xml:space="preserve">3. 跨司法管辖：</w:t>
      </w:r>
      <w:r>
        <w:rPr>
          <w:rFonts w:ascii="Arial" w:cs="Arial" w:eastAsia="Arial" w:hAnsi="Arial"/>
          <w:sz w:val="22"/>
          <w:szCs w:val="22"/>
        </w:rPr>
        <w:t xml:space="preserve">不同法律体系对隐私-可追溯性张力的权衡点不同。</w:t>
      </w:r>
    </w:p>
    <w:p>
      <w:pPr>
        <w:spacing w:after="120" w:before="120"/>
        <w:jc w:val="left"/>
      </w:pPr>
      <w:r>
        <w:rPr>
          <w:rFonts w:ascii="Arial" w:cs="Arial" w:eastAsia="Arial" w:hAnsi="Arial"/>
          <w:b/>
          <w:bCs/>
          <w:color w:val="1B3A5C"/>
          <w:sz w:val="22"/>
          <w:szCs w:val="22"/>
        </w:rPr>
        <w:t xml:space="preserve">4. “责任心”的数学化：</w:t>
      </w:r>
      <w:r>
        <w:rPr>
          <w:rFonts w:ascii="Arial" w:cs="Arial" w:eastAsia="Arial" w:hAnsi="Arial"/>
          <w:sz w:val="22"/>
          <w:szCs w:val="22"/>
        </w:rPr>
        <w:t xml:space="preserve">能否在 loss function 中编码“说谎代价”，与本框架的制度设计可并行探索。</w:t>
      </w:r>
    </w:p>
    <w:p>
      <w:pPr>
        <w:spacing w:after="120" w:before="120"/>
        <w:jc w:val="left"/>
      </w:pPr>
      <w:r>
        <w:rPr>
          <w:rFonts w:ascii="Arial" w:cs="Arial" w:eastAsia="Arial" w:hAnsi="Arial"/>
          <w:b/>
          <w:bCs/>
          <w:color w:val="1B3A5C"/>
          <w:sz w:val="22"/>
          <w:szCs w:val="22"/>
        </w:rPr>
        <w:t xml:space="preserve">5. C3a 的专门审计方法：</w:t>
      </w:r>
      <w:r>
        <w:rPr>
          <w:rFonts w:ascii="Arial" w:cs="Arial" w:eastAsia="Arial" w:hAnsi="Arial"/>
          <w:sz w:val="22"/>
          <w:szCs w:val="22"/>
        </w:rPr>
        <w:t xml:space="preserve">10⁹ 级参数更新无法用传统 commit log 审计。是否需要“行为漂移审计”而非参数级审计？</w:t>
      </w:r>
    </w:p>
    <w:p>
      <w:pPr>
        <w:spacing w:after="120" w:before="120"/>
        <w:jc w:val="left"/>
      </w:pPr>
      <w:r>
        <w:rPr>
          <w:rFonts w:ascii="Arial" w:cs="Arial" w:eastAsia="Arial" w:hAnsi="Arial"/>
          <w:b/>
          <w:bCs/>
          <w:color w:val="1B3A5C"/>
          <w:sz w:val="22"/>
          <w:szCs w:val="22"/>
        </w:rPr>
        <w:t xml:space="preserve">6. 标准质询者认证体系：</w:t>
      </w:r>
      <w:r>
        <w:rPr>
          <w:rFonts w:ascii="Arial" w:cs="Arial" w:eastAsia="Arial" w:hAnsi="Arial"/>
          <w:sz w:val="22"/>
          <w:szCs w:val="22"/>
        </w:rPr>
        <w:t xml:space="preserve">如何建立跨领域的质询者认证标准？可借鉴 CISA 的网络安全审计员认证体系。</w:t>
      </w:r>
    </w:p>
    <w:p>
      <w:pPr>
        <w:spacing w:after="120" w:before="120"/>
        <w:jc w:val="left"/>
      </w:pPr>
      <w:r>
        <w:rPr>
          <w:rFonts w:ascii="Arial" w:cs="Arial" w:eastAsia="Arial" w:hAnsi="Arial"/>
          <w:b/>
          <w:bCs/>
          <w:color w:val="1B3A5C"/>
          <w:sz w:val="22"/>
          <w:szCs w:val="22"/>
        </w:rPr>
        <w:t xml:space="preserve">7. 数字信托模式（v3.2 新增）：</w:t>
      </w:r>
      <w:r>
        <w:rPr>
          <w:rFonts w:ascii="Arial" w:cs="Arial" w:eastAsia="Arial" w:hAnsi="Arial"/>
          <w:sz w:val="22"/>
          <w:szCs w:val="22"/>
        </w:rPr>
        <w:t xml:space="preserve">当 C3b 系统实际存在时，是否可以建立“数字信托”(Digital Trust) 模式——由注入赔偿准备金的独立数字实体（准法人）承担责任，类似于有限责任公司的发明解决了“自然人无法承担无限商业风险”的问题？这可能是 G 轴在 C3b 时代的制度性出路。</w:t>
      </w:r>
    </w:p>
    <w:p>
      <w:pPr>
        <w:spacing w:after="120" w:before="120"/>
        <w:jc w:val="left"/>
      </w:pPr>
      <w:r>
        <w:rPr>
          <w:rFonts w:ascii="Arial" w:cs="Arial" w:eastAsia="Arial" w:hAnsi="Arial"/>
          <w:b/>
          <w:bCs/>
          <w:color w:val="1B3A5C"/>
          <w:sz w:val="22"/>
          <w:szCs w:val="22"/>
        </w:rPr>
        <w:t xml:space="preserve">8. 行为包络线的分领域标定（v3.2 新增）：</w:t>
      </w:r>
      <w:r>
        <w:rPr>
          <w:rFonts w:ascii="Arial" w:cs="Arial" w:eastAsia="Arial" w:hAnsi="Arial"/>
          <w:sz w:val="22"/>
          <w:szCs w:val="22"/>
        </w:rPr>
        <w:t xml:space="preserve">DDI 的行为包络线如何为不同领域定义？金融交易 AI 的可接受漂移范围与内容推荐系统完全不同。需要分领域的实证研究来标定包络线参数。</w:t>
      </w:r>
    </w:p>
    <w:p>
      <w:pPr>
        <w:spacing w:after="120" w:before="400"/>
        <w:jc w:val="left"/>
      </w:pPr>
      <w:r>
        <w:rPr>
          <w:rFonts w:ascii="Arial" w:cs="Arial" w:eastAsia="Arial" w:hAnsi="Arial"/>
          <w:b w:val="false"/>
          <w:bCs w:val="false"/>
          <w:i w:val="false"/>
          <w:iCs w:val="false"/>
          <w:color w:val="333333"/>
          <w:sz w:val="22"/>
          <w:szCs w:val="22"/>
        </w:rPr>
        <w:t xml:space="preserve"/>
      </w:r>
    </w:p>
    <w:p>
      <w:pPr>
        <w:pBdr>
          <w:top w:val="single" w:color="1B3A5C" w:sz="2" w:space="1"/>
        </w:pBdr>
        <w:spacing w:before="200"/>
        <w:jc w:val="center"/>
      </w:pPr>
      <w:r>
        <w:rPr>
          <w:rFonts w:ascii="Arial" w:cs="Arial" w:eastAsia="Arial" w:hAnsi="Arial"/>
        </w:rPr>
        <w:t xml:space="preserve"> </w:t>
      </w:r>
    </w:p>
    <w:p>
      <w:pPr>
        <w:spacing w:after="120" w:before="120"/>
        <w:jc w:val="center"/>
      </w:pPr>
      <w:r>
        <w:rPr>
          <w:rFonts w:ascii="Arial" w:cs="Arial" w:eastAsia="Arial" w:hAnsi="Arial"/>
          <w:b w:val="false"/>
          <w:bCs w:val="false"/>
          <w:i w:val="false"/>
          <w:iCs w:val="false"/>
          <w:color w:val="888888"/>
          <w:sz w:val="20"/>
          <w:szCs w:val="20"/>
        </w:rPr>
        <w:t xml:space="preserve">本文档为开源草案，欢迎通过 GitHub 提交 Issue 或 Pull Request 参与共建。</w:t>
      </w:r>
    </w:p>
    <w:p>
      <w:pPr>
        <w:spacing w:after="120" w:before="120"/>
        <w:jc w:val="center"/>
      </w:pPr>
      <w:r>
        <w:rPr>
          <w:rFonts w:ascii="Arial" w:cs="Arial" w:eastAsia="Arial" w:hAnsi="Arial"/>
          <w:b w:val="false"/>
          <w:bCs w:val="false"/>
          <w:i/>
          <w:iCs/>
          <w:color w:val="AAAAAA"/>
          <w:sz w:val="18"/>
          <w:szCs w:val="18"/>
        </w:rPr>
        <w:t xml:space="preserve">“不要定义一个没有边界的框架。要定义一个知道自己边界在哪里的框架。”</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AI CTG Model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2026-03-14T12:31:51.346Z</dcterms:created>
  <dcterms:modified xsi:type="dcterms:W3CDTF">2026-03-14T12:31:51.347Z</dcterms:modified>
</cp:coreProperties>
</file>

<file path=docProps/custom.xml><?xml version="1.0" encoding="utf-8"?>
<Properties xmlns="http://schemas.openxmlformats.org/officeDocument/2006/custom-properties" xmlns:vt="http://schemas.openxmlformats.org/officeDocument/2006/docPropsVTypes"/>
</file>