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4061" w14:textId="77777777" w:rsidR="000C4F6B" w:rsidRPr="00854AB7" w:rsidRDefault="00000000">
      <w:pPr>
        <w:spacing w:before="800" w:after="100"/>
        <w:jc w:val="center"/>
        <w:rPr>
          <w:rFonts w:ascii="Times New Roman" w:hAnsi="Times New Roman" w:cs="Times New Roman"/>
          <w:sz w:val="24"/>
          <w:szCs w:val="24"/>
        </w:rPr>
      </w:pPr>
      <w:r w:rsidRPr="00854AB7">
        <w:rPr>
          <w:rFonts w:ascii="Times New Roman" w:hAnsi="Times New Roman" w:cs="Times New Roman"/>
          <w:b/>
          <w:bCs/>
          <w:color w:val="1F3864"/>
          <w:sz w:val="24"/>
          <w:szCs w:val="24"/>
        </w:rPr>
        <w:t>ANALYSTLAB AFRICA</w:t>
      </w:r>
    </w:p>
    <w:p w14:paraId="6106B309" w14:textId="77777777" w:rsidR="000C4F6B" w:rsidRPr="00854AB7" w:rsidRDefault="00000000">
      <w:pPr>
        <w:spacing w:after="60"/>
        <w:jc w:val="center"/>
        <w:rPr>
          <w:rFonts w:ascii="Times New Roman" w:hAnsi="Times New Roman" w:cs="Times New Roman"/>
          <w:sz w:val="24"/>
          <w:szCs w:val="24"/>
        </w:rPr>
      </w:pPr>
      <w:r w:rsidRPr="00854AB7">
        <w:rPr>
          <w:rFonts w:ascii="Times New Roman" w:hAnsi="Times New Roman" w:cs="Times New Roman"/>
          <w:sz w:val="24"/>
          <w:szCs w:val="24"/>
        </w:rPr>
        <w:t>Experience Lab Internship Programme</w:t>
      </w:r>
    </w:p>
    <w:p w14:paraId="590F4C64" w14:textId="77777777" w:rsidR="000C4F6B" w:rsidRPr="00854AB7" w:rsidRDefault="00000000">
      <w:pPr>
        <w:spacing w:after="60"/>
        <w:jc w:val="center"/>
        <w:rPr>
          <w:rFonts w:ascii="Times New Roman" w:hAnsi="Times New Roman" w:cs="Times New Roman"/>
          <w:sz w:val="24"/>
          <w:szCs w:val="24"/>
        </w:rPr>
      </w:pPr>
      <w:r w:rsidRPr="00854AB7">
        <w:rPr>
          <w:rFonts w:ascii="Times New Roman" w:hAnsi="Times New Roman" w:cs="Times New Roman"/>
          <w:b/>
          <w:bCs/>
          <w:sz w:val="24"/>
          <w:szCs w:val="24"/>
        </w:rPr>
        <w:t>HealthConnect Clinic Experience Lab</w:t>
      </w:r>
    </w:p>
    <w:p w14:paraId="3AF2764A" w14:textId="77777777" w:rsidR="000C4F6B" w:rsidRPr="00854AB7" w:rsidRDefault="00000000">
      <w:pPr>
        <w:spacing w:after="400"/>
        <w:jc w:val="center"/>
        <w:rPr>
          <w:rFonts w:ascii="Times New Roman" w:hAnsi="Times New Roman" w:cs="Times New Roman"/>
          <w:sz w:val="24"/>
          <w:szCs w:val="24"/>
        </w:rPr>
      </w:pPr>
      <w:r w:rsidRPr="00854AB7">
        <w:rPr>
          <w:rFonts w:ascii="Times New Roman" w:hAnsi="Times New Roman" w:cs="Times New Roman"/>
          <w:b/>
          <w:bCs/>
          <w:color w:val="1F3864"/>
          <w:sz w:val="24"/>
          <w:szCs w:val="24"/>
        </w:rPr>
        <w:t>Data Analytics Track — Week 7</w:t>
      </w:r>
    </w:p>
    <w:p w14:paraId="02B0C62F" w14:textId="77777777" w:rsidR="000C4F6B" w:rsidRPr="00854AB7" w:rsidRDefault="00000000">
      <w:pPr>
        <w:spacing w:after="600"/>
        <w:jc w:val="center"/>
        <w:rPr>
          <w:rFonts w:ascii="Times New Roman" w:hAnsi="Times New Roman" w:cs="Times New Roman"/>
          <w:sz w:val="24"/>
          <w:szCs w:val="24"/>
        </w:rPr>
      </w:pPr>
      <w:r w:rsidRPr="00854AB7">
        <w:rPr>
          <w:rFonts w:ascii="Times New Roman" w:hAnsi="Times New Roman" w:cs="Times New Roman"/>
          <w:i/>
          <w:iCs/>
          <w:sz w:val="24"/>
          <w:szCs w:val="24"/>
        </w:rPr>
        <w:t>Analytical Testing, KPI Validation &amp; Dashboard Refinement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C4F6B" w:rsidRPr="00854AB7" w14:paraId="1BA12D1B" w14:textId="77777777">
        <w:tblPrEx>
          <w:tblCellMar>
            <w:top w:w="0" w:type="dxa"/>
            <w:bottom w:w="0" w:type="dxa"/>
          </w:tblCellMar>
        </w:tblPrEx>
        <w:trPr>
          <w:tblHeader/>
        </w:trPr>
        <w:tc>
          <w:tcPr>
            <w:tcW w:w="3000" w:type="dxa"/>
            <w:shd w:val="clear" w:color="auto" w:fill="1F3864"/>
          </w:tcPr>
          <w:p w14:paraId="52AFAF9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Field</w:t>
            </w:r>
          </w:p>
        </w:tc>
        <w:tc>
          <w:tcPr>
            <w:tcW w:w="6360" w:type="dxa"/>
            <w:shd w:val="clear" w:color="auto" w:fill="1F3864"/>
          </w:tcPr>
          <w:p w14:paraId="38F1499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Detail</w:t>
            </w:r>
          </w:p>
        </w:tc>
      </w:tr>
      <w:tr w:rsidR="000C4F6B" w:rsidRPr="00854AB7" w14:paraId="0E7124F5" w14:textId="77777777">
        <w:tblPrEx>
          <w:tblCellMar>
            <w:top w:w="0" w:type="dxa"/>
            <w:bottom w:w="0" w:type="dxa"/>
          </w:tblCellMar>
        </w:tblPrEx>
        <w:tc>
          <w:tcPr>
            <w:tcW w:w="3000" w:type="dxa"/>
            <w:shd w:val="clear" w:color="auto" w:fill="FFFFFF"/>
          </w:tcPr>
          <w:p w14:paraId="114C12F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Programme</w:t>
            </w:r>
          </w:p>
        </w:tc>
        <w:tc>
          <w:tcPr>
            <w:tcW w:w="6360" w:type="dxa"/>
            <w:shd w:val="clear" w:color="auto" w:fill="FFFFFF"/>
          </w:tcPr>
          <w:p w14:paraId="2E80636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AnalystLab Africa Experience Lab</w:t>
            </w:r>
          </w:p>
        </w:tc>
      </w:tr>
      <w:tr w:rsidR="000C4F6B" w:rsidRPr="00854AB7" w14:paraId="38E57E3B" w14:textId="77777777">
        <w:tblPrEx>
          <w:tblCellMar>
            <w:top w:w="0" w:type="dxa"/>
            <w:bottom w:w="0" w:type="dxa"/>
          </w:tblCellMar>
        </w:tblPrEx>
        <w:tc>
          <w:tcPr>
            <w:tcW w:w="3000" w:type="dxa"/>
            <w:shd w:val="clear" w:color="auto" w:fill="F2F2F2"/>
          </w:tcPr>
          <w:p w14:paraId="25A37EA2"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Week</w:t>
            </w:r>
          </w:p>
        </w:tc>
        <w:tc>
          <w:tcPr>
            <w:tcW w:w="6360" w:type="dxa"/>
            <w:shd w:val="clear" w:color="auto" w:fill="F2F2F2"/>
          </w:tcPr>
          <w:p w14:paraId="0C3DC61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Week 7</w:t>
            </w:r>
          </w:p>
        </w:tc>
      </w:tr>
      <w:tr w:rsidR="000C4F6B" w:rsidRPr="00854AB7" w14:paraId="0A00E6B1" w14:textId="77777777">
        <w:tblPrEx>
          <w:tblCellMar>
            <w:top w:w="0" w:type="dxa"/>
            <w:bottom w:w="0" w:type="dxa"/>
          </w:tblCellMar>
        </w:tblPrEx>
        <w:tc>
          <w:tcPr>
            <w:tcW w:w="3000" w:type="dxa"/>
            <w:shd w:val="clear" w:color="auto" w:fill="FFFFFF"/>
          </w:tcPr>
          <w:p w14:paraId="57286C6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Project</w:t>
            </w:r>
          </w:p>
        </w:tc>
        <w:tc>
          <w:tcPr>
            <w:tcW w:w="6360" w:type="dxa"/>
            <w:shd w:val="clear" w:color="auto" w:fill="FFFFFF"/>
          </w:tcPr>
          <w:p w14:paraId="44D3BCD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HealthConnect Clinic Experience Lab</w:t>
            </w:r>
          </w:p>
        </w:tc>
      </w:tr>
      <w:tr w:rsidR="000C4F6B" w:rsidRPr="00854AB7" w14:paraId="1B11E361" w14:textId="77777777">
        <w:tblPrEx>
          <w:tblCellMar>
            <w:top w:w="0" w:type="dxa"/>
            <w:bottom w:w="0" w:type="dxa"/>
          </w:tblCellMar>
        </w:tblPrEx>
        <w:tc>
          <w:tcPr>
            <w:tcW w:w="3000" w:type="dxa"/>
            <w:shd w:val="clear" w:color="auto" w:fill="F2F2F2"/>
          </w:tcPr>
          <w:p w14:paraId="5F9ED29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Track</w:t>
            </w:r>
          </w:p>
        </w:tc>
        <w:tc>
          <w:tcPr>
            <w:tcW w:w="6360" w:type="dxa"/>
            <w:shd w:val="clear" w:color="auto" w:fill="F2F2F2"/>
          </w:tcPr>
          <w:p w14:paraId="6B00DC5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Data Analytics</w:t>
            </w:r>
          </w:p>
        </w:tc>
      </w:tr>
      <w:tr w:rsidR="000C4F6B" w:rsidRPr="00854AB7" w14:paraId="761F18A6" w14:textId="77777777">
        <w:tblPrEx>
          <w:tblCellMar>
            <w:top w:w="0" w:type="dxa"/>
            <w:bottom w:w="0" w:type="dxa"/>
          </w:tblCellMar>
        </w:tblPrEx>
        <w:tc>
          <w:tcPr>
            <w:tcW w:w="3000" w:type="dxa"/>
            <w:shd w:val="clear" w:color="auto" w:fill="FFFFFF"/>
          </w:tcPr>
          <w:p w14:paraId="184CB7C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Builds on</w:t>
            </w:r>
          </w:p>
        </w:tc>
        <w:tc>
          <w:tcPr>
            <w:tcW w:w="6360" w:type="dxa"/>
            <w:shd w:val="clear" w:color="auto" w:fill="FFFFFF"/>
          </w:tcPr>
          <w:p w14:paraId="52327E2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Week 6 Statistical Validation Report &amp; Refined Power BI Dashboard (Overview / Interactions / Validation pages)</w:t>
            </w:r>
          </w:p>
        </w:tc>
      </w:tr>
      <w:tr w:rsidR="000C4F6B" w:rsidRPr="00854AB7" w14:paraId="1352961D" w14:textId="77777777">
        <w:tblPrEx>
          <w:tblCellMar>
            <w:top w:w="0" w:type="dxa"/>
            <w:bottom w:w="0" w:type="dxa"/>
          </w:tblCellMar>
        </w:tblPrEx>
        <w:tc>
          <w:tcPr>
            <w:tcW w:w="3000" w:type="dxa"/>
            <w:shd w:val="clear" w:color="auto" w:fill="F2F2F2"/>
          </w:tcPr>
          <w:p w14:paraId="2201A12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Version</w:t>
            </w:r>
          </w:p>
        </w:tc>
        <w:tc>
          <w:tcPr>
            <w:tcW w:w="6360" w:type="dxa"/>
            <w:shd w:val="clear" w:color="auto" w:fill="F2F2F2"/>
          </w:tcPr>
          <w:p w14:paraId="338F162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1.0</w:t>
            </w:r>
          </w:p>
        </w:tc>
      </w:tr>
    </w:tbl>
    <w:p w14:paraId="6255A13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br w:type="page"/>
      </w:r>
    </w:p>
    <w:p w14:paraId="0A177EAD" w14:textId="77777777" w:rsidR="000C4F6B" w:rsidRPr="00854AB7" w:rsidRDefault="00000000">
      <w:pPr>
        <w:pStyle w:val="Heading1"/>
        <w:spacing w:before="300" w:after="150"/>
        <w:rPr>
          <w:rFonts w:ascii="Times New Roman" w:hAnsi="Times New Roman" w:cs="Times New Roman"/>
          <w:sz w:val="24"/>
          <w:szCs w:val="24"/>
        </w:rPr>
      </w:pPr>
      <w:r w:rsidRPr="00854AB7">
        <w:rPr>
          <w:rFonts w:ascii="Times New Roman" w:hAnsi="Times New Roman" w:cs="Times New Roman"/>
          <w:sz w:val="24"/>
          <w:szCs w:val="24"/>
        </w:rPr>
        <w:lastRenderedPageBreak/>
        <w:t>Part 1: Week 6 → Week 7 Transition</w:t>
      </w:r>
    </w:p>
    <w:p w14:paraId="42635A56" w14:textId="77777777"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1.1 Main Week 6 Output</w:t>
      </w:r>
    </w:p>
    <w:p w14:paraId="788D6483"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A statistically validated analytics report and a three-page Power BI dashboard (Overview, Interactions, Validation) confirming which appointment factors genuinely predict no-shows, and a refined four-factor risk segment (risk_v2) separating a Critical Risk group (80.9% no-show) from a Minimal Risk group (22.4%).</w:t>
      </w:r>
    </w:p>
    <w:p w14:paraId="6902824A" w14:textId="5F349001"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1.</w:t>
      </w:r>
      <w:r w:rsidR="00854AB7" w:rsidRPr="00854AB7">
        <w:rPr>
          <w:rFonts w:ascii="Times New Roman" w:hAnsi="Times New Roman" w:cs="Times New Roman"/>
          <w:sz w:val="24"/>
          <w:szCs w:val="24"/>
        </w:rPr>
        <w:t>2</w:t>
      </w:r>
      <w:r w:rsidRPr="00854AB7">
        <w:rPr>
          <w:rFonts w:ascii="Times New Roman" w:hAnsi="Times New Roman" w:cs="Times New Roman"/>
          <w:sz w:val="24"/>
          <w:szCs w:val="24"/>
        </w:rPr>
        <w:t xml:space="preserve"> Main Issue or Limitation Discovered</w:t>
      </w:r>
    </w:p>
    <w:p w14:paraId="204D3CB5"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The Week 6 report validated the underlying statistics, but the dashboard itself — the artefact clinic staff would actually use — had never been independently tested against the data it was built from. KPI cards, chart-level slicer behaviour, and a manually typed significance table were all assumed correct rather than verified.</w:t>
      </w:r>
    </w:p>
    <w:p w14:paraId="4E1EADD7" w14:textId="5D653569"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1.</w:t>
      </w:r>
      <w:r w:rsidR="00854AB7" w:rsidRPr="00854AB7">
        <w:rPr>
          <w:rFonts w:ascii="Times New Roman" w:hAnsi="Times New Roman" w:cs="Times New Roman"/>
          <w:sz w:val="24"/>
          <w:szCs w:val="24"/>
        </w:rPr>
        <w:t>3</w:t>
      </w:r>
      <w:r w:rsidRPr="00854AB7">
        <w:rPr>
          <w:rFonts w:ascii="Times New Roman" w:hAnsi="Times New Roman" w:cs="Times New Roman"/>
          <w:sz w:val="24"/>
          <w:szCs w:val="24"/>
        </w:rPr>
        <w:t xml:space="preserve"> Component/Workstream Requiring Testing</w:t>
      </w:r>
    </w:p>
    <w:p w14:paraId="09FFF2E4"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The Power BI dashboard's KPI cards, standalone card-level measures, cross-page slicer interactions, and the manually entered "Factor / Real Effect" validation table on the Validation page.</w:t>
      </w:r>
    </w:p>
    <w:p w14:paraId="52C917D2" w14:textId="3FD27D9A"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1.</w:t>
      </w:r>
      <w:r w:rsidR="00854AB7" w:rsidRPr="00854AB7">
        <w:rPr>
          <w:rFonts w:ascii="Times New Roman" w:hAnsi="Times New Roman" w:cs="Times New Roman"/>
          <w:sz w:val="24"/>
          <w:szCs w:val="24"/>
        </w:rPr>
        <w:t>4</w:t>
      </w:r>
      <w:r w:rsidRPr="00854AB7">
        <w:rPr>
          <w:rFonts w:ascii="Times New Roman" w:hAnsi="Times New Roman" w:cs="Times New Roman"/>
          <w:sz w:val="24"/>
          <w:szCs w:val="24"/>
        </w:rPr>
        <w:t xml:space="preserve"> What Was Tested</w:t>
      </w:r>
    </w:p>
    <w:p w14:paraId="07A3A963"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Whether every headline KPI card reproduces a fresh, independent recalculation from the cleaned dataset.</w:t>
      </w:r>
    </w:p>
    <w:p w14:paraId="2CA5E321"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Whether dashboard cards that claim to represent a specific segment (e.g. "by Distance") actually apply that filter, rather than silently defaulting to the overall figure.</w:t>
      </w:r>
    </w:p>
    <w:p w14:paraId="73072A3F"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Whether slicer combinations across the Overview and Interactions pages produce data-consistent, non-misleading results, including small-sample edge cases.</w:t>
      </w:r>
    </w:p>
    <w:p w14:paraId="74ECBB1A"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Whether the manually typed Factor / Real Effect table on the Validation page still agrees with the Week 6 statistical results.</w:t>
      </w:r>
    </w:p>
    <w:p w14:paraId="38D2DD57" w14:textId="61989FEF"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1.</w:t>
      </w:r>
      <w:r w:rsidR="00854AB7">
        <w:rPr>
          <w:rFonts w:ascii="Times New Roman" w:hAnsi="Times New Roman" w:cs="Times New Roman"/>
          <w:sz w:val="24"/>
          <w:szCs w:val="24"/>
        </w:rPr>
        <w:t>5</w:t>
      </w:r>
      <w:r w:rsidRPr="00854AB7">
        <w:rPr>
          <w:rFonts w:ascii="Times New Roman" w:hAnsi="Times New Roman" w:cs="Times New Roman"/>
          <w:sz w:val="24"/>
          <w:szCs w:val="24"/>
        </w:rPr>
        <w:t xml:space="preserve"> What This Was Expected to Improve or Validate</w:t>
      </w:r>
    </w:p>
    <w:p w14:paraId="0C82270E"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Confidence that the dashboard is a trustworthy artefact for Week 8 final integration — not just that the underlying statistics were correct, but that what a clinic manager clicks on actually reflects those statistics.</w:t>
      </w:r>
    </w:p>
    <w:p w14:paraId="7820EC6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br w:type="page"/>
      </w:r>
    </w:p>
    <w:p w14:paraId="2219D442" w14:textId="77777777" w:rsidR="000C4F6B" w:rsidRPr="00854AB7" w:rsidRDefault="00000000">
      <w:pPr>
        <w:pStyle w:val="Heading1"/>
        <w:spacing w:before="300" w:after="150"/>
        <w:rPr>
          <w:rFonts w:ascii="Times New Roman" w:hAnsi="Times New Roman" w:cs="Times New Roman"/>
          <w:sz w:val="24"/>
          <w:szCs w:val="24"/>
        </w:rPr>
      </w:pPr>
      <w:r w:rsidRPr="00854AB7">
        <w:rPr>
          <w:rFonts w:ascii="Times New Roman" w:hAnsi="Times New Roman" w:cs="Times New Roman"/>
          <w:sz w:val="24"/>
          <w:szCs w:val="24"/>
        </w:rPr>
        <w:lastRenderedPageBreak/>
        <w:t>Part 2: Testing Approach &amp; Readiness</w:t>
      </w:r>
    </w:p>
    <w:p w14:paraId="53F09B4D" w14:textId="77777777"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2.A Component Identified</w:t>
      </w:r>
    </w:p>
    <w:p w14:paraId="5082C312"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The Week 6 Power BI dashboard (3 pages: Overview, Interactions, Validation), specifically its KPI cards, card-level DAX measures, slicers, and one manually entered reference table. Its intended purpose was to let clinic staff and stakeholders self-serve the validated no-show findings without needing to read the full statistical report. Connected tracks: Data Science (shared risk_v2 and feature ranking).</w:t>
      </w:r>
    </w:p>
    <w:p w14:paraId="43826B2C" w14:textId="77777777"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2.B Testing Objective</w:t>
      </w:r>
    </w:p>
    <w:p w14:paraId="7D564475"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Does every KPI card reproduce the same value as an independent recalculation from the underlying cleaned data?</w:t>
      </w:r>
    </w:p>
    <w:p w14:paraId="718D35A9"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Do cards and charts that claim to represent a specific segment actually filter to that segment?</w:t>
      </w:r>
    </w:p>
    <w:p w14:paraId="515089A8"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Do slicers behave consistently — including in small-sample edge cases — across pages?</w:t>
      </w:r>
    </w:p>
    <w:p w14:paraId="19BDD637"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Does the manually typed significance table still match the validated Week 6 statistics?</w:t>
      </w:r>
    </w:p>
    <w:p w14:paraId="22CFA9D7" w14:textId="77777777"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2.C Testing Evidence Produced</w:t>
      </w:r>
    </w:p>
    <w:p w14:paraId="6218AAF0"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Before/after comparison for one corrected dashboard measure.</w:t>
      </w:r>
    </w:p>
    <w:p w14:paraId="676291AD"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A cross-tabulated slicer-combination test (2 factors × 3 segments, plus a small-sample edge case).</w:t>
      </w:r>
    </w:p>
    <w:p w14:paraId="255EEF1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br w:type="page"/>
      </w:r>
    </w:p>
    <w:p w14:paraId="460703C5" w14:textId="77777777" w:rsidR="000C4F6B" w:rsidRPr="00854AB7" w:rsidRDefault="00000000">
      <w:pPr>
        <w:pStyle w:val="Heading1"/>
        <w:spacing w:before="300" w:after="150"/>
        <w:rPr>
          <w:rFonts w:ascii="Times New Roman" w:hAnsi="Times New Roman" w:cs="Times New Roman"/>
          <w:sz w:val="24"/>
          <w:szCs w:val="24"/>
        </w:rPr>
      </w:pPr>
      <w:r w:rsidRPr="00854AB7">
        <w:rPr>
          <w:rFonts w:ascii="Times New Roman" w:hAnsi="Times New Roman" w:cs="Times New Roman"/>
          <w:sz w:val="24"/>
          <w:szCs w:val="24"/>
        </w:rPr>
        <w:lastRenderedPageBreak/>
        <w:t>Part 3: KPI Validation (Test 1)</w:t>
      </w:r>
    </w:p>
    <w:p w14:paraId="1628822C"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Every headline KPI card on the Overview page was recomputed directly from the cleaned dataset, independently of the original analysis script, to confirm the dashboard has not drifted from the source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3200"/>
        <w:gridCol w:w="1460"/>
      </w:tblGrid>
      <w:tr w:rsidR="000C4F6B" w:rsidRPr="00854AB7" w14:paraId="612CFB98" w14:textId="77777777">
        <w:tblPrEx>
          <w:tblCellMar>
            <w:top w:w="0" w:type="dxa"/>
            <w:bottom w:w="0" w:type="dxa"/>
          </w:tblCellMar>
        </w:tblPrEx>
        <w:trPr>
          <w:tblHeader/>
        </w:trPr>
        <w:tc>
          <w:tcPr>
            <w:tcW w:w="2600" w:type="dxa"/>
            <w:shd w:val="clear" w:color="auto" w:fill="1F3864"/>
          </w:tcPr>
          <w:p w14:paraId="2B16912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KPI / Card</w:t>
            </w:r>
          </w:p>
        </w:tc>
        <w:tc>
          <w:tcPr>
            <w:tcW w:w="2100" w:type="dxa"/>
            <w:shd w:val="clear" w:color="auto" w:fill="1F3864"/>
          </w:tcPr>
          <w:p w14:paraId="1BCB3D5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Dashboard Value</w:t>
            </w:r>
          </w:p>
        </w:tc>
        <w:tc>
          <w:tcPr>
            <w:tcW w:w="3200" w:type="dxa"/>
            <w:shd w:val="clear" w:color="auto" w:fill="1F3864"/>
          </w:tcPr>
          <w:p w14:paraId="5EFDFB7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Independent Recalculation</w:t>
            </w:r>
          </w:p>
        </w:tc>
        <w:tc>
          <w:tcPr>
            <w:tcW w:w="1460" w:type="dxa"/>
            <w:shd w:val="clear" w:color="auto" w:fill="1F3864"/>
          </w:tcPr>
          <w:p w14:paraId="50A4E689"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Result</w:t>
            </w:r>
          </w:p>
        </w:tc>
      </w:tr>
      <w:tr w:rsidR="000C4F6B" w:rsidRPr="00854AB7" w14:paraId="0BDE2976" w14:textId="77777777">
        <w:tblPrEx>
          <w:tblCellMar>
            <w:top w:w="0" w:type="dxa"/>
            <w:bottom w:w="0" w:type="dxa"/>
          </w:tblCellMar>
        </w:tblPrEx>
        <w:tc>
          <w:tcPr>
            <w:tcW w:w="2600" w:type="dxa"/>
            <w:shd w:val="clear" w:color="auto" w:fill="FFFFFF"/>
          </w:tcPr>
          <w:p w14:paraId="15BCF0A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Total Appointments</w:t>
            </w:r>
          </w:p>
        </w:tc>
        <w:tc>
          <w:tcPr>
            <w:tcW w:w="2100" w:type="dxa"/>
            <w:shd w:val="clear" w:color="auto" w:fill="FFFFFF"/>
          </w:tcPr>
          <w:p w14:paraId="0C6908D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5,000</w:t>
            </w:r>
          </w:p>
        </w:tc>
        <w:tc>
          <w:tcPr>
            <w:tcW w:w="3200" w:type="dxa"/>
            <w:shd w:val="clear" w:color="auto" w:fill="FFFFFF"/>
          </w:tcPr>
          <w:p w14:paraId="3485EA1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5,000</w:t>
            </w:r>
          </w:p>
        </w:tc>
        <w:tc>
          <w:tcPr>
            <w:tcW w:w="1460" w:type="dxa"/>
            <w:shd w:val="clear" w:color="auto" w:fill="FFFFFF"/>
          </w:tcPr>
          <w:p w14:paraId="10724C1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w:t>
            </w:r>
          </w:p>
        </w:tc>
      </w:tr>
      <w:tr w:rsidR="000C4F6B" w:rsidRPr="00854AB7" w14:paraId="283A46CE" w14:textId="77777777">
        <w:tblPrEx>
          <w:tblCellMar>
            <w:top w:w="0" w:type="dxa"/>
            <w:bottom w:w="0" w:type="dxa"/>
          </w:tblCellMar>
        </w:tblPrEx>
        <w:tc>
          <w:tcPr>
            <w:tcW w:w="2600" w:type="dxa"/>
            <w:shd w:val="clear" w:color="auto" w:fill="F2F2F2"/>
          </w:tcPr>
          <w:p w14:paraId="64E9473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Total Attended</w:t>
            </w:r>
          </w:p>
        </w:tc>
        <w:tc>
          <w:tcPr>
            <w:tcW w:w="2100" w:type="dxa"/>
            <w:shd w:val="clear" w:color="auto" w:fill="F2F2F2"/>
          </w:tcPr>
          <w:p w14:paraId="645D0CE6"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2,314</w:t>
            </w:r>
          </w:p>
        </w:tc>
        <w:tc>
          <w:tcPr>
            <w:tcW w:w="3200" w:type="dxa"/>
            <w:shd w:val="clear" w:color="auto" w:fill="F2F2F2"/>
          </w:tcPr>
          <w:p w14:paraId="60C4B52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2,314</w:t>
            </w:r>
          </w:p>
        </w:tc>
        <w:tc>
          <w:tcPr>
            <w:tcW w:w="1460" w:type="dxa"/>
            <w:shd w:val="clear" w:color="auto" w:fill="F2F2F2"/>
          </w:tcPr>
          <w:p w14:paraId="7567BFE9"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w:t>
            </w:r>
          </w:p>
        </w:tc>
      </w:tr>
      <w:tr w:rsidR="000C4F6B" w:rsidRPr="00854AB7" w14:paraId="6013A910" w14:textId="77777777">
        <w:tblPrEx>
          <w:tblCellMar>
            <w:top w:w="0" w:type="dxa"/>
            <w:bottom w:w="0" w:type="dxa"/>
          </w:tblCellMar>
        </w:tblPrEx>
        <w:tc>
          <w:tcPr>
            <w:tcW w:w="2600" w:type="dxa"/>
            <w:shd w:val="clear" w:color="auto" w:fill="FFFFFF"/>
          </w:tcPr>
          <w:p w14:paraId="5EBB1BB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Total No-Shows</w:t>
            </w:r>
          </w:p>
        </w:tc>
        <w:tc>
          <w:tcPr>
            <w:tcW w:w="2100" w:type="dxa"/>
            <w:shd w:val="clear" w:color="auto" w:fill="FFFFFF"/>
          </w:tcPr>
          <w:p w14:paraId="4B23DF6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2,423</w:t>
            </w:r>
          </w:p>
        </w:tc>
        <w:tc>
          <w:tcPr>
            <w:tcW w:w="3200" w:type="dxa"/>
            <w:shd w:val="clear" w:color="auto" w:fill="FFFFFF"/>
          </w:tcPr>
          <w:p w14:paraId="3A3E3FA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2,423</w:t>
            </w:r>
          </w:p>
        </w:tc>
        <w:tc>
          <w:tcPr>
            <w:tcW w:w="1460" w:type="dxa"/>
            <w:shd w:val="clear" w:color="auto" w:fill="FFFFFF"/>
          </w:tcPr>
          <w:p w14:paraId="011D676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w:t>
            </w:r>
          </w:p>
        </w:tc>
      </w:tr>
      <w:tr w:rsidR="000C4F6B" w:rsidRPr="00854AB7" w14:paraId="43E740C3" w14:textId="77777777">
        <w:tblPrEx>
          <w:tblCellMar>
            <w:top w:w="0" w:type="dxa"/>
            <w:bottom w:w="0" w:type="dxa"/>
          </w:tblCellMar>
        </w:tblPrEx>
        <w:tc>
          <w:tcPr>
            <w:tcW w:w="2600" w:type="dxa"/>
            <w:shd w:val="clear" w:color="auto" w:fill="F2F2F2"/>
          </w:tcPr>
          <w:p w14:paraId="6D49A6D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Total Cancelled</w:t>
            </w:r>
          </w:p>
        </w:tc>
        <w:tc>
          <w:tcPr>
            <w:tcW w:w="2100" w:type="dxa"/>
            <w:shd w:val="clear" w:color="auto" w:fill="F2F2F2"/>
          </w:tcPr>
          <w:p w14:paraId="3D91D40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263</w:t>
            </w:r>
          </w:p>
        </w:tc>
        <w:tc>
          <w:tcPr>
            <w:tcW w:w="3200" w:type="dxa"/>
            <w:shd w:val="clear" w:color="auto" w:fill="F2F2F2"/>
          </w:tcPr>
          <w:p w14:paraId="1E80EA0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263</w:t>
            </w:r>
          </w:p>
        </w:tc>
        <w:tc>
          <w:tcPr>
            <w:tcW w:w="1460" w:type="dxa"/>
            <w:shd w:val="clear" w:color="auto" w:fill="F2F2F2"/>
          </w:tcPr>
          <w:p w14:paraId="529F4A0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w:t>
            </w:r>
          </w:p>
        </w:tc>
      </w:tr>
      <w:tr w:rsidR="000C4F6B" w:rsidRPr="00854AB7" w14:paraId="23AF7A14" w14:textId="77777777">
        <w:tblPrEx>
          <w:tblCellMar>
            <w:top w:w="0" w:type="dxa"/>
            <w:bottom w:w="0" w:type="dxa"/>
          </w:tblCellMar>
        </w:tblPrEx>
        <w:tc>
          <w:tcPr>
            <w:tcW w:w="2600" w:type="dxa"/>
            <w:shd w:val="clear" w:color="auto" w:fill="FFFFFF"/>
          </w:tcPr>
          <w:p w14:paraId="19AC535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Overall No-Show Rate</w:t>
            </w:r>
          </w:p>
        </w:tc>
        <w:tc>
          <w:tcPr>
            <w:tcW w:w="2100" w:type="dxa"/>
            <w:shd w:val="clear" w:color="auto" w:fill="FFFFFF"/>
          </w:tcPr>
          <w:p w14:paraId="03068DB9"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51.2%</w:t>
            </w:r>
          </w:p>
        </w:tc>
        <w:tc>
          <w:tcPr>
            <w:tcW w:w="3200" w:type="dxa"/>
            <w:shd w:val="clear" w:color="auto" w:fill="FFFFFF"/>
          </w:tcPr>
          <w:p w14:paraId="2D77A682"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51.15% (2,423 / 4,737 eligible)</w:t>
            </w:r>
          </w:p>
        </w:tc>
        <w:tc>
          <w:tcPr>
            <w:tcW w:w="1460" w:type="dxa"/>
            <w:shd w:val="clear" w:color="auto" w:fill="FFFFFF"/>
          </w:tcPr>
          <w:p w14:paraId="623B9AD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w:t>
            </w:r>
          </w:p>
        </w:tc>
      </w:tr>
      <w:tr w:rsidR="000C4F6B" w:rsidRPr="00854AB7" w14:paraId="6BB07044" w14:textId="77777777">
        <w:tblPrEx>
          <w:tblCellMar>
            <w:top w:w="0" w:type="dxa"/>
            <w:bottom w:w="0" w:type="dxa"/>
          </w:tblCellMar>
        </w:tblPrEx>
        <w:tc>
          <w:tcPr>
            <w:tcW w:w="2600" w:type="dxa"/>
            <w:shd w:val="clear" w:color="auto" w:fill="F2F2F2"/>
          </w:tcPr>
          <w:p w14:paraId="1DEB1A8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Repeat No-Show Rate</w:t>
            </w:r>
          </w:p>
        </w:tc>
        <w:tc>
          <w:tcPr>
            <w:tcW w:w="2100" w:type="dxa"/>
            <w:shd w:val="clear" w:color="auto" w:fill="F2F2F2"/>
          </w:tcPr>
          <w:p w14:paraId="5F66390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57.8%</w:t>
            </w:r>
          </w:p>
        </w:tc>
        <w:tc>
          <w:tcPr>
            <w:tcW w:w="3200" w:type="dxa"/>
            <w:shd w:val="clear" w:color="auto" w:fill="F2F2F2"/>
          </w:tcPr>
          <w:p w14:paraId="6FA7EA3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57.83% (has-prior-no-show group, n=1,992)</w:t>
            </w:r>
          </w:p>
        </w:tc>
        <w:tc>
          <w:tcPr>
            <w:tcW w:w="1460" w:type="dxa"/>
            <w:shd w:val="clear" w:color="auto" w:fill="F2F2F2"/>
          </w:tcPr>
          <w:p w14:paraId="17D1EE52"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w:t>
            </w:r>
          </w:p>
        </w:tc>
      </w:tr>
      <w:tr w:rsidR="000C4F6B" w:rsidRPr="00854AB7" w14:paraId="65793125" w14:textId="77777777">
        <w:tblPrEx>
          <w:tblCellMar>
            <w:top w:w="0" w:type="dxa"/>
            <w:bottom w:w="0" w:type="dxa"/>
          </w:tblCellMar>
        </w:tblPrEx>
        <w:tc>
          <w:tcPr>
            <w:tcW w:w="2600" w:type="dxa"/>
            <w:shd w:val="clear" w:color="auto" w:fill="FFFFFF"/>
          </w:tcPr>
          <w:p w14:paraId="6ACFCE8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Critical Risk Count</w:t>
            </w:r>
          </w:p>
        </w:tc>
        <w:tc>
          <w:tcPr>
            <w:tcW w:w="2100" w:type="dxa"/>
            <w:shd w:val="clear" w:color="auto" w:fill="FFFFFF"/>
          </w:tcPr>
          <w:p w14:paraId="4133B5C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97</w:t>
            </w:r>
          </w:p>
        </w:tc>
        <w:tc>
          <w:tcPr>
            <w:tcW w:w="3200" w:type="dxa"/>
            <w:shd w:val="clear" w:color="auto" w:fill="FFFFFF"/>
          </w:tcPr>
          <w:p w14:paraId="77D1D3A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97 rows tagged risk_v2 = Critical Risk</w:t>
            </w:r>
          </w:p>
        </w:tc>
        <w:tc>
          <w:tcPr>
            <w:tcW w:w="1460" w:type="dxa"/>
            <w:shd w:val="clear" w:color="auto" w:fill="FFFFFF"/>
          </w:tcPr>
          <w:p w14:paraId="47B0D21B" w14:textId="373C6D4A"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 xml:space="preserve">PASS </w:t>
            </w:r>
          </w:p>
        </w:tc>
      </w:tr>
    </w:tbl>
    <w:p w14:paraId="755F4263"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All core totals and the overall no-show rate reproduce exactly, confirming the dashboard has not drifted from the underlying cleaned dataset. The Critical Risk Count is numerically correct but is examined further in Test 3 for a labelling ambiguity.</w:t>
      </w:r>
    </w:p>
    <w:p w14:paraId="6282CA0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br w:type="page"/>
      </w:r>
    </w:p>
    <w:p w14:paraId="4E8D1DF9" w14:textId="77777777" w:rsidR="000C4F6B" w:rsidRPr="00854AB7" w:rsidRDefault="00000000">
      <w:pPr>
        <w:pStyle w:val="Heading1"/>
        <w:spacing w:before="300" w:after="150"/>
        <w:rPr>
          <w:rFonts w:ascii="Times New Roman" w:hAnsi="Times New Roman" w:cs="Times New Roman"/>
          <w:sz w:val="24"/>
          <w:szCs w:val="24"/>
        </w:rPr>
      </w:pPr>
      <w:r w:rsidRPr="00854AB7">
        <w:rPr>
          <w:rFonts w:ascii="Times New Roman" w:hAnsi="Times New Roman" w:cs="Times New Roman"/>
          <w:sz w:val="24"/>
          <w:szCs w:val="24"/>
        </w:rPr>
        <w:lastRenderedPageBreak/>
        <w:t>Part 4: Dashboard Testing Evidence</w:t>
      </w:r>
    </w:p>
    <w:p w14:paraId="16C3B27A" w14:textId="77777777"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4.1 Test 2 — "No-Show Rate by Distance" KPI Card</w:t>
      </w:r>
    </w:p>
    <w:p w14:paraId="6CA29DB4"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Testing Objective: confirm the card, which is titled to suggest a distance-specific figure, actually applies a distance filter rather than defaulting to the overall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4F6B" w:rsidRPr="00854AB7" w14:paraId="59D9C26D" w14:textId="77777777">
        <w:tblPrEx>
          <w:tblCellMar>
            <w:top w:w="0" w:type="dxa"/>
            <w:bottom w:w="0" w:type="dxa"/>
          </w:tblCellMar>
        </w:tblPrEx>
        <w:trPr>
          <w:tblHeader/>
        </w:trPr>
        <w:tc>
          <w:tcPr>
            <w:tcW w:w="2600" w:type="dxa"/>
            <w:shd w:val="clear" w:color="auto" w:fill="1F3864"/>
          </w:tcPr>
          <w:p w14:paraId="3588E2C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Field</w:t>
            </w:r>
          </w:p>
        </w:tc>
        <w:tc>
          <w:tcPr>
            <w:tcW w:w="6760" w:type="dxa"/>
            <w:shd w:val="clear" w:color="auto" w:fill="1F3864"/>
          </w:tcPr>
          <w:p w14:paraId="5F6FAA0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Detail</w:t>
            </w:r>
          </w:p>
        </w:tc>
      </w:tr>
      <w:tr w:rsidR="000C4F6B" w:rsidRPr="00854AB7" w14:paraId="41E79739" w14:textId="77777777">
        <w:tblPrEx>
          <w:tblCellMar>
            <w:top w:w="0" w:type="dxa"/>
            <w:bottom w:w="0" w:type="dxa"/>
          </w:tblCellMar>
        </w:tblPrEx>
        <w:tc>
          <w:tcPr>
            <w:tcW w:w="2600" w:type="dxa"/>
            <w:shd w:val="clear" w:color="auto" w:fill="FFFFFF"/>
          </w:tcPr>
          <w:p w14:paraId="1204B62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Expected Result</w:t>
            </w:r>
          </w:p>
        </w:tc>
        <w:tc>
          <w:tcPr>
            <w:tcW w:w="6760" w:type="dxa"/>
            <w:shd w:val="clear" w:color="auto" w:fill="FFFFFF"/>
          </w:tcPr>
          <w:p w14:paraId="59CDA95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 distance-specific rate — the &gt;15km segment (56.9%), the highest-risk distance band and the natural figure to headline.</w:t>
            </w:r>
          </w:p>
        </w:tc>
      </w:tr>
      <w:tr w:rsidR="000C4F6B" w:rsidRPr="00854AB7" w14:paraId="26237FDD" w14:textId="77777777">
        <w:tblPrEx>
          <w:tblCellMar>
            <w:top w:w="0" w:type="dxa"/>
            <w:bottom w:w="0" w:type="dxa"/>
          </w:tblCellMar>
        </w:tblPrEx>
        <w:tc>
          <w:tcPr>
            <w:tcW w:w="2600" w:type="dxa"/>
            <w:shd w:val="clear" w:color="auto" w:fill="F2F2F2"/>
          </w:tcPr>
          <w:p w14:paraId="6CA14D4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Actual Result (Initial)</w:t>
            </w:r>
          </w:p>
        </w:tc>
        <w:tc>
          <w:tcPr>
            <w:tcW w:w="6760" w:type="dxa"/>
            <w:shd w:val="clear" w:color="auto" w:fill="F2F2F2"/>
          </w:tcPr>
          <w:p w14:paraId="031DB7D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0.51 — effectively identical to the unfiltered Overall No-Show Rate (51.15%).</w:t>
            </w:r>
          </w:p>
        </w:tc>
      </w:tr>
      <w:tr w:rsidR="000C4F6B" w:rsidRPr="00854AB7" w14:paraId="5E4F35FE" w14:textId="77777777">
        <w:tblPrEx>
          <w:tblCellMar>
            <w:top w:w="0" w:type="dxa"/>
            <w:bottom w:w="0" w:type="dxa"/>
          </w:tblCellMar>
        </w:tblPrEx>
        <w:tc>
          <w:tcPr>
            <w:tcW w:w="2600" w:type="dxa"/>
            <w:shd w:val="clear" w:color="auto" w:fill="FFFFFF"/>
          </w:tcPr>
          <w:p w14:paraId="3AED0E5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Pass/Fail (Initial)</w:t>
            </w:r>
          </w:p>
        </w:tc>
        <w:tc>
          <w:tcPr>
            <w:tcW w:w="6760" w:type="dxa"/>
            <w:shd w:val="clear" w:color="auto" w:fill="FFFFFF"/>
          </w:tcPr>
          <w:p w14:paraId="334AF96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FAIL</w:t>
            </w:r>
          </w:p>
        </w:tc>
      </w:tr>
      <w:tr w:rsidR="000C4F6B" w:rsidRPr="00854AB7" w14:paraId="311D26E9" w14:textId="77777777">
        <w:tblPrEx>
          <w:tblCellMar>
            <w:top w:w="0" w:type="dxa"/>
            <w:bottom w:w="0" w:type="dxa"/>
          </w:tblCellMar>
        </w:tblPrEx>
        <w:tc>
          <w:tcPr>
            <w:tcW w:w="2600" w:type="dxa"/>
            <w:shd w:val="clear" w:color="auto" w:fill="F2F2F2"/>
          </w:tcPr>
          <w:p w14:paraId="1FD72CF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Issue Identified</w:t>
            </w:r>
          </w:p>
        </w:tc>
        <w:tc>
          <w:tcPr>
            <w:tcW w:w="6760" w:type="dxa"/>
            <w:shd w:val="clear" w:color="auto" w:fill="F2F2F2"/>
          </w:tcPr>
          <w:p w14:paraId="1CE5A5F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The card's visual-level filter on distance_band was present in the report definition but held no condition, so the card silently fell back to the unfiltered total instead of isolating &gt;15km.</w:t>
            </w:r>
          </w:p>
        </w:tc>
      </w:tr>
      <w:tr w:rsidR="000C4F6B" w:rsidRPr="00854AB7" w14:paraId="17EAB384" w14:textId="77777777">
        <w:tblPrEx>
          <w:tblCellMar>
            <w:top w:w="0" w:type="dxa"/>
            <w:bottom w:w="0" w:type="dxa"/>
          </w:tblCellMar>
        </w:tblPrEx>
        <w:tc>
          <w:tcPr>
            <w:tcW w:w="2600" w:type="dxa"/>
            <w:shd w:val="clear" w:color="auto" w:fill="FFFFFF"/>
          </w:tcPr>
          <w:p w14:paraId="466A903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Action Taken</w:t>
            </w:r>
          </w:p>
        </w:tc>
        <w:tc>
          <w:tcPr>
            <w:tcW w:w="6760" w:type="dxa"/>
            <w:shd w:val="clear" w:color="auto" w:fill="FFFFFF"/>
          </w:tcPr>
          <w:p w14:paraId="012C349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Applied an explicit distance_band = "&gt;15km" filter (equivalently, a dedicated CALCULATE-based measure) to the card in Power BI Desktop.</w:t>
            </w:r>
          </w:p>
        </w:tc>
      </w:tr>
      <w:tr w:rsidR="000C4F6B" w:rsidRPr="00854AB7" w14:paraId="639E06C1" w14:textId="77777777">
        <w:tblPrEx>
          <w:tblCellMar>
            <w:top w:w="0" w:type="dxa"/>
            <w:bottom w:w="0" w:type="dxa"/>
          </w:tblCellMar>
        </w:tblPrEx>
        <w:tc>
          <w:tcPr>
            <w:tcW w:w="2600" w:type="dxa"/>
            <w:shd w:val="clear" w:color="auto" w:fill="F2F2F2"/>
          </w:tcPr>
          <w:p w14:paraId="21F591F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Retest Result</w:t>
            </w:r>
          </w:p>
        </w:tc>
        <w:tc>
          <w:tcPr>
            <w:tcW w:w="6760" w:type="dxa"/>
            <w:shd w:val="clear" w:color="auto" w:fill="F2F2F2"/>
          </w:tcPr>
          <w:p w14:paraId="64EC985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57% (rounds to the expected 56.9%).</w:t>
            </w:r>
          </w:p>
        </w:tc>
      </w:tr>
      <w:tr w:rsidR="000C4F6B" w:rsidRPr="00854AB7" w14:paraId="7B3084AB" w14:textId="77777777">
        <w:tblPrEx>
          <w:tblCellMar>
            <w:top w:w="0" w:type="dxa"/>
            <w:bottom w:w="0" w:type="dxa"/>
          </w:tblCellMar>
        </w:tblPrEx>
        <w:tc>
          <w:tcPr>
            <w:tcW w:w="2600" w:type="dxa"/>
            <w:shd w:val="clear" w:color="auto" w:fill="FFFFFF"/>
          </w:tcPr>
          <w:p w14:paraId="40760FE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Retest Pass/Fail</w:t>
            </w:r>
          </w:p>
        </w:tc>
        <w:tc>
          <w:tcPr>
            <w:tcW w:w="6760" w:type="dxa"/>
            <w:shd w:val="clear" w:color="auto" w:fill="FFFFFF"/>
          </w:tcPr>
          <w:p w14:paraId="0C4CD914"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w:t>
            </w:r>
          </w:p>
        </w:tc>
      </w:tr>
    </w:tbl>
    <w:p w14:paraId="0F5E7B00" w14:textId="24398514" w:rsidR="000C4F6B" w:rsidRPr="00854AB7" w:rsidRDefault="000C4F6B">
      <w:pPr>
        <w:spacing w:after="80"/>
        <w:jc w:val="center"/>
        <w:rPr>
          <w:rFonts w:ascii="Times New Roman" w:hAnsi="Times New Roman" w:cs="Times New Roman"/>
          <w:sz w:val="24"/>
          <w:szCs w:val="24"/>
        </w:rPr>
      </w:pPr>
    </w:p>
    <w:p w14:paraId="6A9059DE"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Why it matters: uncorrected, the card would have told viewers that the highest-risk distance group has the same no-show rate as everyone else — directly contradicting the Week 5/6 finding that distance matters. This was a genuine, user-facing accuracy defect, now resolved.</w:t>
      </w:r>
    </w:p>
    <w:p w14:paraId="3ED47E94" w14:textId="77777777"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4.2 Test 3 — Critical Risk Count Clarity</w:t>
      </w:r>
    </w:p>
    <w:p w14:paraId="7908C0F0"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Testing Objective: confirm the Critical Risk Count card is not just numerically correct, but unambiguous alongside the 80.9% no-show rate quoted for the same segment elsewhere on the Validation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4F6B" w:rsidRPr="00854AB7" w14:paraId="215D453C" w14:textId="77777777">
        <w:tblPrEx>
          <w:tblCellMar>
            <w:top w:w="0" w:type="dxa"/>
            <w:bottom w:w="0" w:type="dxa"/>
          </w:tblCellMar>
        </w:tblPrEx>
        <w:trPr>
          <w:tblHeader/>
        </w:trPr>
        <w:tc>
          <w:tcPr>
            <w:tcW w:w="2600" w:type="dxa"/>
            <w:shd w:val="clear" w:color="auto" w:fill="1F3864"/>
          </w:tcPr>
          <w:p w14:paraId="5FDEBAD6"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Field</w:t>
            </w:r>
          </w:p>
        </w:tc>
        <w:tc>
          <w:tcPr>
            <w:tcW w:w="6760" w:type="dxa"/>
            <w:shd w:val="clear" w:color="auto" w:fill="1F3864"/>
          </w:tcPr>
          <w:p w14:paraId="7EB2831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Detail</w:t>
            </w:r>
          </w:p>
        </w:tc>
      </w:tr>
      <w:tr w:rsidR="000C4F6B" w:rsidRPr="00854AB7" w14:paraId="403209A6" w14:textId="77777777">
        <w:tblPrEx>
          <w:tblCellMar>
            <w:top w:w="0" w:type="dxa"/>
            <w:bottom w:w="0" w:type="dxa"/>
          </w:tblCellMar>
        </w:tblPrEx>
        <w:tc>
          <w:tcPr>
            <w:tcW w:w="2600" w:type="dxa"/>
            <w:shd w:val="clear" w:color="auto" w:fill="FFFFFF"/>
          </w:tcPr>
          <w:p w14:paraId="1235C3C6"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Expected Result</w:t>
            </w:r>
          </w:p>
        </w:tc>
        <w:tc>
          <w:tcPr>
            <w:tcW w:w="6760" w:type="dxa"/>
            <w:shd w:val="clear" w:color="auto" w:fill="FFFFFF"/>
          </w:tcPr>
          <w:p w14:paraId="33A44684"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 single, unambiguous count that matches whatever base the adjacent 80.9% no-show rate was calculated on.</w:t>
            </w:r>
          </w:p>
        </w:tc>
      </w:tr>
      <w:tr w:rsidR="000C4F6B" w:rsidRPr="00854AB7" w14:paraId="2D5D71F1" w14:textId="77777777">
        <w:tblPrEx>
          <w:tblCellMar>
            <w:top w:w="0" w:type="dxa"/>
            <w:bottom w:w="0" w:type="dxa"/>
          </w:tblCellMar>
        </w:tblPrEx>
        <w:tc>
          <w:tcPr>
            <w:tcW w:w="2600" w:type="dxa"/>
            <w:shd w:val="clear" w:color="auto" w:fill="F2F2F2"/>
          </w:tcPr>
          <w:p w14:paraId="5AA8FB0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Actual Result</w:t>
            </w:r>
          </w:p>
        </w:tc>
        <w:tc>
          <w:tcPr>
            <w:tcW w:w="6760" w:type="dxa"/>
            <w:shd w:val="clear" w:color="auto" w:fill="F2F2F2"/>
          </w:tcPr>
          <w:p w14:paraId="1FB2E73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97 total rows are tagged risk_v2 = Critical Risk (the card's value); of these, 94 are eligible for the no-show rate calculation once 3 Cancelled appointments are excluded. The 80.9% figure quoted in the Week 6 report and Validation page uses the 94-row eligible base, not 97.</w:t>
            </w:r>
          </w:p>
        </w:tc>
      </w:tr>
      <w:tr w:rsidR="000C4F6B" w:rsidRPr="00854AB7" w14:paraId="295CF668" w14:textId="77777777">
        <w:tblPrEx>
          <w:tblCellMar>
            <w:top w:w="0" w:type="dxa"/>
            <w:bottom w:w="0" w:type="dxa"/>
          </w:tblCellMar>
        </w:tblPrEx>
        <w:tc>
          <w:tcPr>
            <w:tcW w:w="2600" w:type="dxa"/>
            <w:shd w:val="clear" w:color="auto" w:fill="FFFFFF"/>
          </w:tcPr>
          <w:p w14:paraId="74E8E42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Pass/Fail</w:t>
            </w:r>
          </w:p>
        </w:tc>
        <w:tc>
          <w:tcPr>
            <w:tcW w:w="6760" w:type="dxa"/>
            <w:shd w:val="clear" w:color="auto" w:fill="FFFFFF"/>
          </w:tcPr>
          <w:p w14:paraId="2586399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Numerically correct, but FAIL on clarity — the two numbers answer different questions and could be misread as inconsistent.</w:t>
            </w:r>
          </w:p>
        </w:tc>
      </w:tr>
      <w:tr w:rsidR="000C4F6B" w:rsidRPr="00854AB7" w14:paraId="7C8213E3" w14:textId="77777777">
        <w:tblPrEx>
          <w:tblCellMar>
            <w:top w:w="0" w:type="dxa"/>
            <w:bottom w:w="0" w:type="dxa"/>
          </w:tblCellMar>
        </w:tblPrEx>
        <w:tc>
          <w:tcPr>
            <w:tcW w:w="2600" w:type="dxa"/>
            <w:shd w:val="clear" w:color="auto" w:fill="F2F2F2"/>
          </w:tcPr>
          <w:p w14:paraId="6E65BA5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Action Recommended</w:t>
            </w:r>
          </w:p>
        </w:tc>
        <w:tc>
          <w:tcPr>
            <w:tcW w:w="6760" w:type="dxa"/>
            <w:shd w:val="clear" w:color="auto" w:fill="F2F2F2"/>
          </w:tcPr>
          <w:p w14:paraId="4FAB5FA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Add a subtitle/tooltip to the card, e.g. "97 total (94 eligible for no-show rate)", or switch the card to count only eligible appointments so it lines up with the adjacent rate. To be applied in Power BI Desktop before final Week 8 integration.</w:t>
            </w:r>
          </w:p>
        </w:tc>
      </w:tr>
    </w:tbl>
    <w:p w14:paraId="3094A97D" w14:textId="77777777" w:rsidR="006A1875" w:rsidRDefault="006A1875">
      <w:pPr>
        <w:pStyle w:val="Heading2"/>
        <w:spacing w:before="250" w:after="120"/>
        <w:rPr>
          <w:rFonts w:ascii="Times New Roman" w:hAnsi="Times New Roman" w:cs="Times New Roman"/>
          <w:sz w:val="24"/>
          <w:szCs w:val="24"/>
        </w:rPr>
      </w:pPr>
    </w:p>
    <w:p w14:paraId="1FFAB425" w14:textId="77777777" w:rsidR="006A1875" w:rsidRDefault="006A1875">
      <w:pPr>
        <w:pStyle w:val="Heading2"/>
        <w:spacing w:before="250" w:after="120"/>
        <w:rPr>
          <w:rFonts w:ascii="Times New Roman" w:hAnsi="Times New Roman" w:cs="Times New Roman"/>
          <w:sz w:val="24"/>
          <w:szCs w:val="24"/>
        </w:rPr>
      </w:pPr>
    </w:p>
    <w:p w14:paraId="24610750" w14:textId="77777777" w:rsidR="006A1875" w:rsidRDefault="006A1875">
      <w:pPr>
        <w:pStyle w:val="Heading2"/>
        <w:spacing w:before="250" w:after="120"/>
        <w:rPr>
          <w:rFonts w:ascii="Times New Roman" w:hAnsi="Times New Roman" w:cs="Times New Roman"/>
          <w:sz w:val="24"/>
          <w:szCs w:val="24"/>
        </w:rPr>
      </w:pPr>
    </w:p>
    <w:p w14:paraId="04A84B89" w14:textId="6FDDA071"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lastRenderedPageBreak/>
        <w:t>4.3 Test 4 — Slicer Interaction &amp; Edge-Case Testing</w:t>
      </w:r>
    </w:p>
    <w:p w14:paraId="47668A0E"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Testing Objective: confirm that combining slicers across the Overview and Interactions pages produces data-consistent results, and that no combination — including small, high-risk segments — produces a broken or empty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2200"/>
        <w:gridCol w:w="2160"/>
      </w:tblGrid>
      <w:tr w:rsidR="000C4F6B" w:rsidRPr="00854AB7" w14:paraId="7B1C8A96" w14:textId="77777777">
        <w:tblPrEx>
          <w:tblCellMar>
            <w:top w:w="0" w:type="dxa"/>
            <w:bottom w:w="0" w:type="dxa"/>
          </w:tblCellMar>
        </w:tblPrEx>
        <w:trPr>
          <w:tblHeader/>
        </w:trPr>
        <w:tc>
          <w:tcPr>
            <w:tcW w:w="3600" w:type="dxa"/>
            <w:shd w:val="clear" w:color="auto" w:fill="1F3864"/>
          </w:tcPr>
          <w:p w14:paraId="43CB194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Scenario</w:t>
            </w:r>
          </w:p>
        </w:tc>
        <w:tc>
          <w:tcPr>
            <w:tcW w:w="1400" w:type="dxa"/>
            <w:shd w:val="clear" w:color="auto" w:fill="1F3864"/>
          </w:tcPr>
          <w:p w14:paraId="61955244"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n</w:t>
            </w:r>
          </w:p>
        </w:tc>
        <w:tc>
          <w:tcPr>
            <w:tcW w:w="2200" w:type="dxa"/>
            <w:shd w:val="clear" w:color="auto" w:fill="1F3864"/>
          </w:tcPr>
          <w:p w14:paraId="3881F19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No-Show Rate</w:t>
            </w:r>
          </w:p>
        </w:tc>
        <w:tc>
          <w:tcPr>
            <w:tcW w:w="2160" w:type="dxa"/>
            <w:shd w:val="clear" w:color="auto" w:fill="1F3864"/>
          </w:tcPr>
          <w:p w14:paraId="6C1EF7F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Result</w:t>
            </w:r>
          </w:p>
        </w:tc>
      </w:tr>
      <w:tr w:rsidR="000C4F6B" w:rsidRPr="00854AB7" w14:paraId="635CBF9E" w14:textId="77777777">
        <w:tblPrEx>
          <w:tblCellMar>
            <w:top w:w="0" w:type="dxa"/>
            <w:bottom w:w="0" w:type="dxa"/>
          </w:tblCellMar>
        </w:tblPrEx>
        <w:tc>
          <w:tcPr>
            <w:tcW w:w="3600" w:type="dxa"/>
            <w:shd w:val="clear" w:color="auto" w:fill="FFFFFF"/>
          </w:tcPr>
          <w:p w14:paraId="10FD891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&lt;5km + No Prior No-Show</w:t>
            </w:r>
          </w:p>
        </w:tc>
        <w:tc>
          <w:tcPr>
            <w:tcW w:w="1400" w:type="dxa"/>
            <w:shd w:val="clear" w:color="auto" w:fill="FFFFFF"/>
          </w:tcPr>
          <w:p w14:paraId="69800C4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656</w:t>
            </w:r>
          </w:p>
        </w:tc>
        <w:tc>
          <w:tcPr>
            <w:tcW w:w="2200" w:type="dxa"/>
            <w:shd w:val="clear" w:color="auto" w:fill="FFFFFF"/>
          </w:tcPr>
          <w:p w14:paraId="70647F2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44.5%</w:t>
            </w:r>
          </w:p>
        </w:tc>
        <w:tc>
          <w:tcPr>
            <w:tcW w:w="2160" w:type="dxa"/>
            <w:shd w:val="clear" w:color="auto" w:fill="FFFFFF"/>
          </w:tcPr>
          <w:p w14:paraId="5A6EAFD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Consistent with underlying data</w:t>
            </w:r>
          </w:p>
        </w:tc>
      </w:tr>
      <w:tr w:rsidR="000C4F6B" w:rsidRPr="00854AB7" w14:paraId="0E39D5A1" w14:textId="77777777">
        <w:tblPrEx>
          <w:tblCellMar>
            <w:top w:w="0" w:type="dxa"/>
            <w:bottom w:w="0" w:type="dxa"/>
          </w:tblCellMar>
        </w:tblPrEx>
        <w:tc>
          <w:tcPr>
            <w:tcW w:w="3600" w:type="dxa"/>
            <w:shd w:val="clear" w:color="auto" w:fill="F2F2F2"/>
          </w:tcPr>
          <w:p w14:paraId="782FFB8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&lt;5km + Has Prior No-Show</w:t>
            </w:r>
          </w:p>
        </w:tc>
        <w:tc>
          <w:tcPr>
            <w:tcW w:w="1400" w:type="dxa"/>
            <w:shd w:val="clear" w:color="auto" w:fill="F2F2F2"/>
          </w:tcPr>
          <w:p w14:paraId="63D1F9F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447</w:t>
            </w:r>
          </w:p>
        </w:tc>
        <w:tc>
          <w:tcPr>
            <w:tcW w:w="2200" w:type="dxa"/>
            <w:shd w:val="clear" w:color="auto" w:fill="F2F2F2"/>
          </w:tcPr>
          <w:p w14:paraId="096F0C9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54.8%</w:t>
            </w:r>
          </w:p>
        </w:tc>
        <w:tc>
          <w:tcPr>
            <w:tcW w:w="2160" w:type="dxa"/>
            <w:shd w:val="clear" w:color="auto" w:fill="F2F2F2"/>
          </w:tcPr>
          <w:p w14:paraId="0442B58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Consistent with underlying data</w:t>
            </w:r>
          </w:p>
        </w:tc>
      </w:tr>
      <w:tr w:rsidR="000C4F6B" w:rsidRPr="00854AB7" w14:paraId="4A5C1B34" w14:textId="77777777">
        <w:tblPrEx>
          <w:tblCellMar>
            <w:top w:w="0" w:type="dxa"/>
            <w:bottom w:w="0" w:type="dxa"/>
          </w:tblCellMar>
        </w:tblPrEx>
        <w:tc>
          <w:tcPr>
            <w:tcW w:w="3600" w:type="dxa"/>
            <w:shd w:val="clear" w:color="auto" w:fill="FFFFFF"/>
          </w:tcPr>
          <w:p w14:paraId="5BC54B1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5–15km + No Prior No-Show</w:t>
            </w:r>
          </w:p>
        </w:tc>
        <w:tc>
          <w:tcPr>
            <w:tcW w:w="1400" w:type="dxa"/>
            <w:shd w:val="clear" w:color="auto" w:fill="FFFFFF"/>
          </w:tcPr>
          <w:p w14:paraId="3ADDB34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1,577</w:t>
            </w:r>
          </w:p>
        </w:tc>
        <w:tc>
          <w:tcPr>
            <w:tcW w:w="2200" w:type="dxa"/>
            <w:shd w:val="clear" w:color="auto" w:fill="FFFFFF"/>
          </w:tcPr>
          <w:p w14:paraId="6632838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45.5%</w:t>
            </w:r>
          </w:p>
        </w:tc>
        <w:tc>
          <w:tcPr>
            <w:tcW w:w="2160" w:type="dxa"/>
            <w:shd w:val="clear" w:color="auto" w:fill="FFFFFF"/>
          </w:tcPr>
          <w:p w14:paraId="3AEDA83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Consistent with underlying data</w:t>
            </w:r>
          </w:p>
        </w:tc>
      </w:tr>
      <w:tr w:rsidR="000C4F6B" w:rsidRPr="00854AB7" w14:paraId="66017986" w14:textId="77777777">
        <w:tblPrEx>
          <w:tblCellMar>
            <w:top w:w="0" w:type="dxa"/>
            <w:bottom w:w="0" w:type="dxa"/>
          </w:tblCellMar>
        </w:tblPrEx>
        <w:tc>
          <w:tcPr>
            <w:tcW w:w="3600" w:type="dxa"/>
            <w:shd w:val="clear" w:color="auto" w:fill="F2F2F2"/>
          </w:tcPr>
          <w:p w14:paraId="4A8C7B1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5–15km + Has Prior No-Show</w:t>
            </w:r>
          </w:p>
        </w:tc>
        <w:tc>
          <w:tcPr>
            <w:tcW w:w="1400" w:type="dxa"/>
            <w:shd w:val="clear" w:color="auto" w:fill="F2F2F2"/>
          </w:tcPr>
          <w:p w14:paraId="0A5A51E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1,173</w:t>
            </w:r>
          </w:p>
        </w:tc>
        <w:tc>
          <w:tcPr>
            <w:tcW w:w="2200" w:type="dxa"/>
            <w:shd w:val="clear" w:color="auto" w:fill="F2F2F2"/>
          </w:tcPr>
          <w:p w14:paraId="460602F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56.8%</w:t>
            </w:r>
          </w:p>
        </w:tc>
        <w:tc>
          <w:tcPr>
            <w:tcW w:w="2160" w:type="dxa"/>
            <w:shd w:val="clear" w:color="auto" w:fill="F2F2F2"/>
          </w:tcPr>
          <w:p w14:paraId="6FAD4A1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Consistent with underlying data</w:t>
            </w:r>
          </w:p>
        </w:tc>
      </w:tr>
      <w:tr w:rsidR="000C4F6B" w:rsidRPr="00854AB7" w14:paraId="2277FCF2" w14:textId="77777777">
        <w:tblPrEx>
          <w:tblCellMar>
            <w:top w:w="0" w:type="dxa"/>
            <w:bottom w:w="0" w:type="dxa"/>
          </w:tblCellMar>
        </w:tblPrEx>
        <w:tc>
          <w:tcPr>
            <w:tcW w:w="3600" w:type="dxa"/>
            <w:shd w:val="clear" w:color="auto" w:fill="FFFFFF"/>
          </w:tcPr>
          <w:p w14:paraId="61A00A0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&gt;15km + No Prior No-Show</w:t>
            </w:r>
          </w:p>
        </w:tc>
        <w:tc>
          <w:tcPr>
            <w:tcW w:w="1400" w:type="dxa"/>
            <w:shd w:val="clear" w:color="auto" w:fill="FFFFFF"/>
          </w:tcPr>
          <w:p w14:paraId="53ADB484"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512</w:t>
            </w:r>
          </w:p>
        </w:tc>
        <w:tc>
          <w:tcPr>
            <w:tcW w:w="2200" w:type="dxa"/>
            <w:shd w:val="clear" w:color="auto" w:fill="FFFFFF"/>
          </w:tcPr>
          <w:p w14:paraId="49F2FD1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51.2%</w:t>
            </w:r>
          </w:p>
        </w:tc>
        <w:tc>
          <w:tcPr>
            <w:tcW w:w="2160" w:type="dxa"/>
            <w:shd w:val="clear" w:color="auto" w:fill="FFFFFF"/>
          </w:tcPr>
          <w:p w14:paraId="09E49D6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Consistent with underlying data</w:t>
            </w:r>
          </w:p>
        </w:tc>
      </w:tr>
      <w:tr w:rsidR="000C4F6B" w:rsidRPr="00854AB7" w14:paraId="3D583AD1" w14:textId="77777777">
        <w:tblPrEx>
          <w:tblCellMar>
            <w:top w:w="0" w:type="dxa"/>
            <w:bottom w:w="0" w:type="dxa"/>
          </w:tblCellMar>
        </w:tblPrEx>
        <w:tc>
          <w:tcPr>
            <w:tcW w:w="3600" w:type="dxa"/>
            <w:shd w:val="clear" w:color="auto" w:fill="F2F2F2"/>
          </w:tcPr>
          <w:p w14:paraId="702F990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&gt;15km + Has Prior No-Show</w:t>
            </w:r>
          </w:p>
        </w:tc>
        <w:tc>
          <w:tcPr>
            <w:tcW w:w="1400" w:type="dxa"/>
            <w:shd w:val="clear" w:color="auto" w:fill="F2F2F2"/>
          </w:tcPr>
          <w:p w14:paraId="6D0F1F9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372</w:t>
            </w:r>
          </w:p>
        </w:tc>
        <w:tc>
          <w:tcPr>
            <w:tcW w:w="2200" w:type="dxa"/>
            <w:shd w:val="clear" w:color="auto" w:fill="F2F2F2"/>
          </w:tcPr>
          <w:p w14:paraId="783D14D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64.8%</w:t>
            </w:r>
          </w:p>
        </w:tc>
        <w:tc>
          <w:tcPr>
            <w:tcW w:w="2160" w:type="dxa"/>
            <w:shd w:val="clear" w:color="auto" w:fill="F2F2F2"/>
          </w:tcPr>
          <w:p w14:paraId="5A565719"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Consistent with underlying data</w:t>
            </w:r>
          </w:p>
        </w:tc>
      </w:tr>
      <w:tr w:rsidR="000C4F6B" w:rsidRPr="00854AB7" w14:paraId="1793CBC6" w14:textId="77777777">
        <w:tblPrEx>
          <w:tblCellMar>
            <w:top w:w="0" w:type="dxa"/>
            <w:bottom w:w="0" w:type="dxa"/>
          </w:tblCellMar>
        </w:tblPrEx>
        <w:tc>
          <w:tcPr>
            <w:tcW w:w="3600" w:type="dxa"/>
            <w:shd w:val="clear" w:color="auto" w:fill="FFFFFF"/>
          </w:tcPr>
          <w:p w14:paraId="7CD52A8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Edge case: Critical Risk + Reminder Sent</w:t>
            </w:r>
          </w:p>
        </w:tc>
        <w:tc>
          <w:tcPr>
            <w:tcW w:w="1400" w:type="dxa"/>
            <w:shd w:val="clear" w:color="auto" w:fill="FFFFFF"/>
          </w:tcPr>
          <w:p w14:paraId="18CC9B1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71</w:t>
            </w:r>
          </w:p>
        </w:tc>
        <w:tc>
          <w:tcPr>
            <w:tcW w:w="2200" w:type="dxa"/>
            <w:shd w:val="clear" w:color="auto" w:fill="FFFFFF"/>
          </w:tcPr>
          <w:p w14:paraId="7C6771F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77.5%</w:t>
            </w:r>
          </w:p>
        </w:tc>
        <w:tc>
          <w:tcPr>
            <w:tcW w:w="2160" w:type="dxa"/>
            <w:shd w:val="clear" w:color="auto" w:fill="FFFFFF"/>
          </w:tcPr>
          <w:p w14:paraId="278AEC31"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No empty/broken group</w:t>
            </w:r>
          </w:p>
        </w:tc>
      </w:tr>
      <w:tr w:rsidR="000C4F6B" w:rsidRPr="00854AB7" w14:paraId="28BD4420" w14:textId="77777777">
        <w:tblPrEx>
          <w:tblCellMar>
            <w:top w:w="0" w:type="dxa"/>
            <w:bottom w:w="0" w:type="dxa"/>
          </w:tblCellMar>
        </w:tblPrEx>
        <w:tc>
          <w:tcPr>
            <w:tcW w:w="3600" w:type="dxa"/>
            <w:shd w:val="clear" w:color="auto" w:fill="F2F2F2"/>
          </w:tcPr>
          <w:p w14:paraId="1BFD38B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Edge case: Critical Risk + No Reminder</w:t>
            </w:r>
          </w:p>
        </w:tc>
        <w:tc>
          <w:tcPr>
            <w:tcW w:w="1400" w:type="dxa"/>
            <w:shd w:val="clear" w:color="auto" w:fill="F2F2F2"/>
          </w:tcPr>
          <w:p w14:paraId="5C75400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23</w:t>
            </w:r>
          </w:p>
        </w:tc>
        <w:tc>
          <w:tcPr>
            <w:tcW w:w="2200" w:type="dxa"/>
            <w:shd w:val="clear" w:color="auto" w:fill="F2F2F2"/>
          </w:tcPr>
          <w:p w14:paraId="1927642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91.3%</w:t>
            </w:r>
          </w:p>
        </w:tc>
        <w:tc>
          <w:tcPr>
            <w:tcW w:w="2160" w:type="dxa"/>
            <w:shd w:val="clear" w:color="auto" w:fill="F2F2F2"/>
          </w:tcPr>
          <w:p w14:paraId="173A0AC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No empty/broken group — smallest tested segment still returns a valid, if high-variance, result</w:t>
            </w:r>
          </w:p>
        </w:tc>
      </w:tr>
    </w:tbl>
    <w:p w14:paraId="7FEB3771" w14:textId="39625012" w:rsidR="000C4F6B" w:rsidRPr="00854AB7" w:rsidRDefault="000C4F6B">
      <w:pPr>
        <w:spacing w:after="80"/>
        <w:jc w:val="center"/>
        <w:rPr>
          <w:rFonts w:ascii="Times New Roman" w:hAnsi="Times New Roman" w:cs="Times New Roman"/>
          <w:sz w:val="24"/>
          <w:szCs w:val="24"/>
        </w:rPr>
      </w:pPr>
    </w:p>
    <w:p w14:paraId="0893DBF3"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Pass/Fail: PASS. No slicer combination tested produced a data inconsistency, an empty visual, or a result that contradicted the underlying dataset. The smallest tested edge case (n=23) still returned a valid rate, though it is flagged in Part 6 as too small to act on with confidence in isolation.</w:t>
      </w:r>
    </w:p>
    <w:p w14:paraId="2B69B6F2" w14:textId="77777777" w:rsidR="000C4F6B" w:rsidRPr="00854AB7" w:rsidRDefault="00000000">
      <w:pPr>
        <w:pStyle w:val="Heading2"/>
        <w:spacing w:before="250" w:after="120"/>
        <w:rPr>
          <w:rFonts w:ascii="Times New Roman" w:hAnsi="Times New Roman" w:cs="Times New Roman"/>
          <w:sz w:val="24"/>
          <w:szCs w:val="24"/>
        </w:rPr>
      </w:pPr>
      <w:r w:rsidRPr="00854AB7">
        <w:rPr>
          <w:rFonts w:ascii="Times New Roman" w:hAnsi="Times New Roman" w:cs="Times New Roman"/>
          <w:sz w:val="24"/>
          <w:szCs w:val="24"/>
        </w:rPr>
        <w:t>4.4 Test 5 — Validation Page "Factor / Real Effect" Table</w:t>
      </w:r>
    </w:p>
    <w:p w14:paraId="119C2833"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Testing Objective: this table's values were typed manually into Power BI (Enter Data), rather than calculated live, so it carries transcription risk that a DAX measure would not. It was re-checked against the authoritative Week 6 statistical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60"/>
        <w:gridCol w:w="2300"/>
      </w:tblGrid>
      <w:tr w:rsidR="000C4F6B" w:rsidRPr="00854AB7" w14:paraId="0B902B09" w14:textId="77777777">
        <w:tblPrEx>
          <w:tblCellMar>
            <w:top w:w="0" w:type="dxa"/>
            <w:bottom w:w="0" w:type="dxa"/>
          </w:tblCellMar>
        </w:tblPrEx>
        <w:trPr>
          <w:tblHeader/>
        </w:trPr>
        <w:tc>
          <w:tcPr>
            <w:tcW w:w="3200" w:type="dxa"/>
            <w:shd w:val="clear" w:color="auto" w:fill="1F3864"/>
          </w:tcPr>
          <w:p w14:paraId="2EBEEE8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Factor</w:t>
            </w:r>
          </w:p>
        </w:tc>
        <w:tc>
          <w:tcPr>
            <w:tcW w:w="3860" w:type="dxa"/>
            <w:shd w:val="clear" w:color="auto" w:fill="1F3864"/>
          </w:tcPr>
          <w:p w14:paraId="6DD1FEF2"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Week 6 Statistical Result</w:t>
            </w:r>
          </w:p>
        </w:tc>
        <w:tc>
          <w:tcPr>
            <w:tcW w:w="2300" w:type="dxa"/>
            <w:shd w:val="clear" w:color="auto" w:fill="1F3864"/>
          </w:tcPr>
          <w:p w14:paraId="2C2E697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Expected Table Label</w:t>
            </w:r>
          </w:p>
        </w:tc>
      </w:tr>
      <w:tr w:rsidR="000C4F6B" w:rsidRPr="00854AB7" w14:paraId="28BABEF1" w14:textId="77777777">
        <w:tblPrEx>
          <w:tblCellMar>
            <w:top w:w="0" w:type="dxa"/>
            <w:bottom w:w="0" w:type="dxa"/>
          </w:tblCellMar>
        </w:tblPrEx>
        <w:tc>
          <w:tcPr>
            <w:tcW w:w="3200" w:type="dxa"/>
            <w:shd w:val="clear" w:color="auto" w:fill="FFFFFF"/>
          </w:tcPr>
          <w:p w14:paraId="34CFABF9"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Lead Time Band</w:t>
            </w:r>
          </w:p>
        </w:tc>
        <w:tc>
          <w:tcPr>
            <w:tcW w:w="3860" w:type="dxa"/>
            <w:shd w:val="clear" w:color="auto" w:fill="FFFFFF"/>
          </w:tcPr>
          <w:p w14:paraId="1E052FA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&lt; 0.000001, Cramér's V = 0.278 (strongest)</w:t>
            </w:r>
          </w:p>
        </w:tc>
        <w:tc>
          <w:tcPr>
            <w:tcW w:w="2300" w:type="dxa"/>
            <w:shd w:val="clear" w:color="auto" w:fill="FFFFFF"/>
          </w:tcPr>
          <w:p w14:paraId="4802A68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Real Effect</w:t>
            </w:r>
          </w:p>
        </w:tc>
      </w:tr>
      <w:tr w:rsidR="000C4F6B" w:rsidRPr="00854AB7" w14:paraId="1CA83BD8" w14:textId="77777777">
        <w:tblPrEx>
          <w:tblCellMar>
            <w:top w:w="0" w:type="dxa"/>
            <w:bottom w:w="0" w:type="dxa"/>
          </w:tblCellMar>
        </w:tblPrEx>
        <w:tc>
          <w:tcPr>
            <w:tcW w:w="3200" w:type="dxa"/>
            <w:shd w:val="clear" w:color="auto" w:fill="F2F2F2"/>
          </w:tcPr>
          <w:p w14:paraId="1F3BE4B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Prior No-Show History</w:t>
            </w:r>
          </w:p>
        </w:tc>
        <w:tc>
          <w:tcPr>
            <w:tcW w:w="3860" w:type="dxa"/>
            <w:shd w:val="clear" w:color="auto" w:fill="F2F2F2"/>
          </w:tcPr>
          <w:p w14:paraId="57C3018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&lt; 0.000001, V = 0.113</w:t>
            </w:r>
          </w:p>
        </w:tc>
        <w:tc>
          <w:tcPr>
            <w:tcW w:w="2300" w:type="dxa"/>
            <w:shd w:val="clear" w:color="auto" w:fill="F2F2F2"/>
          </w:tcPr>
          <w:p w14:paraId="6F1F3E5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Real Effect</w:t>
            </w:r>
          </w:p>
        </w:tc>
      </w:tr>
      <w:tr w:rsidR="000C4F6B" w:rsidRPr="00854AB7" w14:paraId="2F3AA6DA" w14:textId="77777777">
        <w:tblPrEx>
          <w:tblCellMar>
            <w:top w:w="0" w:type="dxa"/>
            <w:bottom w:w="0" w:type="dxa"/>
          </w:tblCellMar>
        </w:tblPrEx>
        <w:tc>
          <w:tcPr>
            <w:tcW w:w="3200" w:type="dxa"/>
            <w:shd w:val="clear" w:color="auto" w:fill="FFFFFF"/>
          </w:tcPr>
          <w:p w14:paraId="7D0CA10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Risk Segment (3-factor)</w:t>
            </w:r>
          </w:p>
        </w:tc>
        <w:tc>
          <w:tcPr>
            <w:tcW w:w="3860" w:type="dxa"/>
            <w:shd w:val="clear" w:color="auto" w:fill="FFFFFF"/>
          </w:tcPr>
          <w:p w14:paraId="6889DE3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0.00002</w:t>
            </w:r>
          </w:p>
        </w:tc>
        <w:tc>
          <w:tcPr>
            <w:tcW w:w="2300" w:type="dxa"/>
            <w:shd w:val="clear" w:color="auto" w:fill="FFFFFF"/>
          </w:tcPr>
          <w:p w14:paraId="0C1F7E3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Real Effect</w:t>
            </w:r>
          </w:p>
        </w:tc>
      </w:tr>
      <w:tr w:rsidR="000C4F6B" w:rsidRPr="00854AB7" w14:paraId="41C3103C" w14:textId="77777777">
        <w:tblPrEx>
          <w:tblCellMar>
            <w:top w:w="0" w:type="dxa"/>
            <w:bottom w:w="0" w:type="dxa"/>
          </w:tblCellMar>
        </w:tblPrEx>
        <w:tc>
          <w:tcPr>
            <w:tcW w:w="3200" w:type="dxa"/>
            <w:shd w:val="clear" w:color="auto" w:fill="F2F2F2"/>
          </w:tcPr>
          <w:p w14:paraId="781FD7F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Distance Band</w:t>
            </w:r>
          </w:p>
        </w:tc>
        <w:tc>
          <w:tcPr>
            <w:tcW w:w="3860" w:type="dxa"/>
            <w:shd w:val="clear" w:color="auto" w:fill="F2F2F2"/>
          </w:tcPr>
          <w:p w14:paraId="78AD896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0.0005</w:t>
            </w:r>
          </w:p>
        </w:tc>
        <w:tc>
          <w:tcPr>
            <w:tcW w:w="2300" w:type="dxa"/>
            <w:shd w:val="clear" w:color="auto" w:fill="F2F2F2"/>
          </w:tcPr>
          <w:p w14:paraId="347D30B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Real Effect</w:t>
            </w:r>
          </w:p>
        </w:tc>
      </w:tr>
      <w:tr w:rsidR="000C4F6B" w:rsidRPr="00854AB7" w14:paraId="5CDA904F" w14:textId="77777777">
        <w:tblPrEx>
          <w:tblCellMar>
            <w:top w:w="0" w:type="dxa"/>
            <w:bottom w:w="0" w:type="dxa"/>
          </w:tblCellMar>
        </w:tblPrEx>
        <w:tc>
          <w:tcPr>
            <w:tcW w:w="3200" w:type="dxa"/>
            <w:shd w:val="clear" w:color="auto" w:fill="FFFFFF"/>
          </w:tcPr>
          <w:p w14:paraId="73529E44"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Reminder Status</w:t>
            </w:r>
          </w:p>
        </w:tc>
        <w:tc>
          <w:tcPr>
            <w:tcW w:w="3860" w:type="dxa"/>
            <w:shd w:val="clear" w:color="auto" w:fill="FFFFFF"/>
          </w:tcPr>
          <w:p w14:paraId="438E9A0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0.0038</w:t>
            </w:r>
          </w:p>
        </w:tc>
        <w:tc>
          <w:tcPr>
            <w:tcW w:w="2300" w:type="dxa"/>
            <w:shd w:val="clear" w:color="auto" w:fill="FFFFFF"/>
          </w:tcPr>
          <w:p w14:paraId="50B8CE9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Real Effect</w:t>
            </w:r>
          </w:p>
        </w:tc>
      </w:tr>
      <w:tr w:rsidR="000C4F6B" w:rsidRPr="00854AB7" w14:paraId="5FB20E4B" w14:textId="77777777">
        <w:tblPrEx>
          <w:tblCellMar>
            <w:top w:w="0" w:type="dxa"/>
            <w:bottom w:w="0" w:type="dxa"/>
          </w:tblCellMar>
        </w:tblPrEx>
        <w:tc>
          <w:tcPr>
            <w:tcW w:w="3200" w:type="dxa"/>
            <w:shd w:val="clear" w:color="auto" w:fill="F2F2F2"/>
          </w:tcPr>
          <w:p w14:paraId="47DF008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Reminder Channel</w:t>
            </w:r>
          </w:p>
        </w:tc>
        <w:tc>
          <w:tcPr>
            <w:tcW w:w="3860" w:type="dxa"/>
            <w:shd w:val="clear" w:color="auto" w:fill="F2F2F2"/>
          </w:tcPr>
          <w:p w14:paraId="51247FC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0.041</w:t>
            </w:r>
          </w:p>
        </w:tc>
        <w:tc>
          <w:tcPr>
            <w:tcW w:w="2300" w:type="dxa"/>
            <w:shd w:val="clear" w:color="auto" w:fill="F2F2F2"/>
          </w:tcPr>
          <w:p w14:paraId="0047DB3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Real Effect (borderline)</w:t>
            </w:r>
          </w:p>
        </w:tc>
      </w:tr>
      <w:tr w:rsidR="000C4F6B" w:rsidRPr="00854AB7" w14:paraId="243539BC" w14:textId="77777777">
        <w:tblPrEx>
          <w:tblCellMar>
            <w:top w:w="0" w:type="dxa"/>
            <w:bottom w:w="0" w:type="dxa"/>
          </w:tblCellMar>
        </w:tblPrEx>
        <w:tc>
          <w:tcPr>
            <w:tcW w:w="3200" w:type="dxa"/>
            <w:shd w:val="clear" w:color="auto" w:fill="FFFFFF"/>
          </w:tcPr>
          <w:p w14:paraId="4CDB455D"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Appointment Type</w:t>
            </w:r>
          </w:p>
        </w:tc>
        <w:tc>
          <w:tcPr>
            <w:tcW w:w="3860" w:type="dxa"/>
            <w:shd w:val="clear" w:color="auto" w:fill="FFFFFF"/>
          </w:tcPr>
          <w:p w14:paraId="1300DB2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0.038</w:t>
            </w:r>
          </w:p>
        </w:tc>
        <w:tc>
          <w:tcPr>
            <w:tcW w:w="2300" w:type="dxa"/>
            <w:shd w:val="clear" w:color="auto" w:fill="FFFFFF"/>
          </w:tcPr>
          <w:p w14:paraId="22E41CE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Real Effect (borderline)</w:t>
            </w:r>
          </w:p>
        </w:tc>
      </w:tr>
      <w:tr w:rsidR="000C4F6B" w:rsidRPr="00854AB7" w14:paraId="2B3BA2F4" w14:textId="77777777">
        <w:tblPrEx>
          <w:tblCellMar>
            <w:top w:w="0" w:type="dxa"/>
            <w:bottom w:w="0" w:type="dxa"/>
          </w:tblCellMar>
        </w:tblPrEx>
        <w:tc>
          <w:tcPr>
            <w:tcW w:w="3200" w:type="dxa"/>
            <w:shd w:val="clear" w:color="auto" w:fill="F2F2F2"/>
          </w:tcPr>
          <w:p w14:paraId="28F4B22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Appointment Day</w:t>
            </w:r>
          </w:p>
        </w:tc>
        <w:tc>
          <w:tcPr>
            <w:tcW w:w="3860" w:type="dxa"/>
            <w:shd w:val="clear" w:color="auto" w:fill="F2F2F2"/>
          </w:tcPr>
          <w:p w14:paraId="4E630EE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0.38</w:t>
            </w:r>
          </w:p>
        </w:tc>
        <w:tc>
          <w:tcPr>
            <w:tcW w:w="2300" w:type="dxa"/>
            <w:shd w:val="clear" w:color="auto" w:fill="F2F2F2"/>
          </w:tcPr>
          <w:p w14:paraId="493FAF79"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No Real Effect</w:t>
            </w:r>
          </w:p>
        </w:tc>
      </w:tr>
      <w:tr w:rsidR="000C4F6B" w:rsidRPr="00854AB7" w14:paraId="38EA4581" w14:textId="77777777">
        <w:tblPrEx>
          <w:tblCellMar>
            <w:top w:w="0" w:type="dxa"/>
            <w:bottom w:w="0" w:type="dxa"/>
          </w:tblCellMar>
        </w:tblPrEx>
        <w:tc>
          <w:tcPr>
            <w:tcW w:w="3200" w:type="dxa"/>
            <w:shd w:val="clear" w:color="auto" w:fill="FFFFFF"/>
          </w:tcPr>
          <w:p w14:paraId="29E736FF"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Appointment Time</w:t>
            </w:r>
          </w:p>
        </w:tc>
        <w:tc>
          <w:tcPr>
            <w:tcW w:w="3860" w:type="dxa"/>
            <w:shd w:val="clear" w:color="auto" w:fill="FFFFFF"/>
          </w:tcPr>
          <w:p w14:paraId="26358BA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0.68</w:t>
            </w:r>
          </w:p>
        </w:tc>
        <w:tc>
          <w:tcPr>
            <w:tcW w:w="2300" w:type="dxa"/>
            <w:shd w:val="clear" w:color="auto" w:fill="FFFFFF"/>
          </w:tcPr>
          <w:p w14:paraId="6F3AAC2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No Real Effect</w:t>
            </w:r>
          </w:p>
        </w:tc>
      </w:tr>
      <w:tr w:rsidR="000C4F6B" w:rsidRPr="00854AB7" w14:paraId="51852A56" w14:textId="77777777">
        <w:tblPrEx>
          <w:tblCellMar>
            <w:top w:w="0" w:type="dxa"/>
            <w:bottom w:w="0" w:type="dxa"/>
          </w:tblCellMar>
        </w:tblPrEx>
        <w:tc>
          <w:tcPr>
            <w:tcW w:w="3200" w:type="dxa"/>
            <w:shd w:val="clear" w:color="auto" w:fill="F2F2F2"/>
          </w:tcPr>
          <w:p w14:paraId="0E7945B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lastRenderedPageBreak/>
              <w:t>Age Group</w:t>
            </w:r>
          </w:p>
        </w:tc>
        <w:tc>
          <w:tcPr>
            <w:tcW w:w="3860" w:type="dxa"/>
            <w:shd w:val="clear" w:color="auto" w:fill="F2F2F2"/>
          </w:tcPr>
          <w:p w14:paraId="5D73A3B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0.24</w:t>
            </w:r>
          </w:p>
        </w:tc>
        <w:tc>
          <w:tcPr>
            <w:tcW w:w="2300" w:type="dxa"/>
            <w:shd w:val="clear" w:color="auto" w:fill="F2F2F2"/>
          </w:tcPr>
          <w:p w14:paraId="385C8C7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No Real Effect</w:t>
            </w:r>
          </w:p>
        </w:tc>
      </w:tr>
      <w:tr w:rsidR="000C4F6B" w:rsidRPr="00854AB7" w14:paraId="1776BCD7" w14:textId="77777777">
        <w:tblPrEx>
          <w:tblCellMar>
            <w:top w:w="0" w:type="dxa"/>
            <w:bottom w:w="0" w:type="dxa"/>
          </w:tblCellMar>
        </w:tblPrEx>
        <w:tc>
          <w:tcPr>
            <w:tcW w:w="3200" w:type="dxa"/>
            <w:shd w:val="clear" w:color="auto" w:fill="FFFFFF"/>
          </w:tcPr>
          <w:p w14:paraId="7CB60A2B"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Gender</w:t>
            </w:r>
          </w:p>
        </w:tc>
        <w:tc>
          <w:tcPr>
            <w:tcW w:w="3860" w:type="dxa"/>
            <w:shd w:val="clear" w:color="auto" w:fill="FFFFFF"/>
          </w:tcPr>
          <w:p w14:paraId="6EB10728"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p = 0.40</w:t>
            </w:r>
          </w:p>
        </w:tc>
        <w:tc>
          <w:tcPr>
            <w:tcW w:w="2300" w:type="dxa"/>
            <w:shd w:val="clear" w:color="auto" w:fill="FFFFFF"/>
          </w:tcPr>
          <w:p w14:paraId="186C8D5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No Real Effect</w:t>
            </w:r>
          </w:p>
        </w:tc>
      </w:tr>
    </w:tbl>
    <w:p w14:paraId="4137381B"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Pass/Fail: verification checklist provided; requires a manual side-by-side check against the exact rows typed into the Power BI table, since typed-table content sits inside the compressed data model and cannot be extracted programmatically. Recommended action: open the Validation page table in Power BI Desktop and confirm each row's label matches the column above before final submission.</w:t>
      </w:r>
    </w:p>
    <w:p w14:paraId="7E703FE4"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br w:type="page"/>
      </w:r>
    </w:p>
    <w:p w14:paraId="33501719" w14:textId="77777777" w:rsidR="000C4F6B" w:rsidRPr="00854AB7" w:rsidRDefault="00000000">
      <w:pPr>
        <w:pStyle w:val="Heading1"/>
        <w:spacing w:before="300" w:after="150"/>
        <w:rPr>
          <w:rFonts w:ascii="Times New Roman" w:hAnsi="Times New Roman" w:cs="Times New Roman"/>
          <w:sz w:val="24"/>
          <w:szCs w:val="24"/>
        </w:rPr>
      </w:pPr>
      <w:r w:rsidRPr="00854AB7">
        <w:rPr>
          <w:rFonts w:ascii="Times New Roman" w:hAnsi="Times New Roman" w:cs="Times New Roman"/>
          <w:sz w:val="24"/>
          <w:szCs w:val="24"/>
        </w:rPr>
        <w:lastRenderedPageBreak/>
        <w:t>Part 5: Validated Key Findings &amp; Updated Business Insights</w:t>
      </w:r>
    </w:p>
    <w:p w14:paraId="2292EAEF"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All Week 6 statistical conclusions remain valid after independent re-testing against the source data — no analytical errors were found in the underlying findings, only in one dashboard presentation layer (Test 2).</w:t>
      </w:r>
    </w:p>
    <w:p w14:paraId="794B85EC"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The distance effect is now correctly surfaced on the dashboard's headline KPI card (57% for &gt;15km vs 51% overall), closing a gap where the dashboard previously understated this driver.</w:t>
      </w:r>
    </w:p>
    <w:p w14:paraId="615DAA4A" w14:textId="674F05A9"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The Critical Risk Count (97) is confirmed accurate</w:t>
      </w:r>
      <w:r w:rsidR="006A1875">
        <w:rPr>
          <w:rFonts w:ascii="Times New Roman" w:hAnsi="Times New Roman" w:cs="Times New Roman"/>
          <w:sz w:val="24"/>
          <w:szCs w:val="24"/>
        </w:rPr>
        <w:t>.</w:t>
      </w:r>
      <w:r w:rsidRPr="00854AB7">
        <w:rPr>
          <w:rFonts w:ascii="Times New Roman" w:hAnsi="Times New Roman" w:cs="Times New Roman"/>
          <w:sz w:val="24"/>
          <w:szCs w:val="24"/>
        </w:rPr>
        <w:t xml:space="preserve"> </w:t>
      </w:r>
    </w:p>
    <w:p w14:paraId="615AC6F3" w14:textId="77777777" w:rsidR="000C4F6B" w:rsidRPr="00854AB7" w:rsidRDefault="00000000">
      <w:pPr>
        <w:pStyle w:val="ListParagraph"/>
        <w:numPr>
          <w:ilvl w:val="0"/>
          <w:numId w:val="1"/>
        </w:numPr>
        <w:spacing w:after="60"/>
        <w:rPr>
          <w:rFonts w:ascii="Times New Roman" w:hAnsi="Times New Roman" w:cs="Times New Roman"/>
          <w:sz w:val="24"/>
          <w:szCs w:val="24"/>
        </w:rPr>
      </w:pPr>
      <w:r w:rsidRPr="00854AB7">
        <w:rPr>
          <w:rFonts w:ascii="Times New Roman" w:hAnsi="Times New Roman" w:cs="Times New Roman"/>
          <w:sz w:val="24"/>
          <w:szCs w:val="24"/>
        </w:rPr>
        <w:t>Slicer-level testing confirms the dashboard remains reliable even in small, high-value segments (e.g. Critical Risk + No Reminder, n=23) — useful for staff drilling into specific outreach lists, provided small-sample caveats are respected.</w:t>
      </w:r>
    </w:p>
    <w:p w14:paraId="7F48239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br w:type="page"/>
      </w:r>
    </w:p>
    <w:p w14:paraId="1AAE6D90" w14:textId="65710180" w:rsidR="000C4F6B" w:rsidRPr="00854AB7" w:rsidRDefault="00000000">
      <w:pPr>
        <w:pStyle w:val="Heading1"/>
        <w:spacing w:before="300" w:after="150"/>
        <w:rPr>
          <w:rFonts w:ascii="Times New Roman" w:hAnsi="Times New Roman" w:cs="Times New Roman"/>
          <w:sz w:val="24"/>
          <w:szCs w:val="24"/>
        </w:rPr>
      </w:pPr>
      <w:r w:rsidRPr="00854AB7">
        <w:rPr>
          <w:rFonts w:ascii="Times New Roman" w:hAnsi="Times New Roman" w:cs="Times New Roman"/>
          <w:sz w:val="24"/>
          <w:szCs w:val="24"/>
        </w:rPr>
        <w:lastRenderedPageBreak/>
        <w:t xml:space="preserve">Part </w:t>
      </w:r>
      <w:r w:rsidR="006A1875">
        <w:rPr>
          <w:rFonts w:ascii="Times New Roman" w:hAnsi="Times New Roman" w:cs="Times New Roman"/>
          <w:sz w:val="24"/>
          <w:szCs w:val="24"/>
        </w:rPr>
        <w:t>6</w:t>
      </w:r>
      <w:r w:rsidRPr="00854AB7">
        <w:rPr>
          <w:rFonts w:ascii="Times New Roman" w:hAnsi="Times New Roman" w:cs="Times New Roman"/>
          <w:sz w:val="24"/>
          <w:szCs w:val="24"/>
        </w:rPr>
        <w:t>: Assumptions, Limitations, Risks &amp; Remaining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C4F6B" w:rsidRPr="00854AB7" w14:paraId="5E7512A8" w14:textId="77777777">
        <w:tblPrEx>
          <w:tblCellMar>
            <w:top w:w="0" w:type="dxa"/>
            <w:bottom w:w="0" w:type="dxa"/>
          </w:tblCellMar>
        </w:tblPrEx>
        <w:trPr>
          <w:tblHeader/>
        </w:trPr>
        <w:tc>
          <w:tcPr>
            <w:tcW w:w="4000" w:type="dxa"/>
            <w:shd w:val="clear" w:color="auto" w:fill="1F3864"/>
          </w:tcPr>
          <w:p w14:paraId="30ADF1CC"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Item</w:t>
            </w:r>
          </w:p>
        </w:tc>
        <w:tc>
          <w:tcPr>
            <w:tcW w:w="5360" w:type="dxa"/>
            <w:shd w:val="clear" w:color="auto" w:fill="1F3864"/>
          </w:tcPr>
          <w:p w14:paraId="1C21F9B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b/>
                <w:bCs/>
                <w:color w:val="FFFFFF"/>
                <w:sz w:val="24"/>
                <w:szCs w:val="24"/>
              </w:rPr>
              <w:t>Status</w:t>
            </w:r>
          </w:p>
        </w:tc>
      </w:tr>
      <w:tr w:rsidR="000C4F6B" w:rsidRPr="00854AB7" w14:paraId="6562BBC6" w14:textId="77777777">
        <w:tblPrEx>
          <w:tblCellMar>
            <w:top w:w="0" w:type="dxa"/>
            <w:bottom w:w="0" w:type="dxa"/>
          </w:tblCellMar>
        </w:tblPrEx>
        <w:tc>
          <w:tcPr>
            <w:tcW w:w="4000" w:type="dxa"/>
            <w:shd w:val="clear" w:color="auto" w:fill="FFFFFF"/>
          </w:tcPr>
          <w:p w14:paraId="4C598D9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Dashboard KPI cards untested against source data (Week 6 risk)</w:t>
            </w:r>
          </w:p>
        </w:tc>
        <w:tc>
          <w:tcPr>
            <w:tcW w:w="5360" w:type="dxa"/>
            <w:shd w:val="clear" w:color="auto" w:fill="FFFFFF"/>
          </w:tcPr>
          <w:p w14:paraId="22991260"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RESOLVED — Test 1 confirms all headline KPIs reproduce exactly from the cleaned dataset.</w:t>
            </w:r>
          </w:p>
        </w:tc>
      </w:tr>
      <w:tr w:rsidR="000C4F6B" w:rsidRPr="00854AB7" w14:paraId="77A95791" w14:textId="77777777">
        <w:tblPrEx>
          <w:tblCellMar>
            <w:top w:w="0" w:type="dxa"/>
            <w:bottom w:w="0" w:type="dxa"/>
          </w:tblCellMar>
        </w:tblPrEx>
        <w:tc>
          <w:tcPr>
            <w:tcW w:w="4000" w:type="dxa"/>
            <w:shd w:val="clear" w:color="auto" w:fill="F2F2F2"/>
          </w:tcPr>
          <w:p w14:paraId="17CA7F09"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"No-Show Rate by Distance" card silently defaulted to the overall rate</w:t>
            </w:r>
          </w:p>
        </w:tc>
        <w:tc>
          <w:tcPr>
            <w:tcW w:w="5360" w:type="dxa"/>
            <w:shd w:val="clear" w:color="auto" w:fill="F2F2F2"/>
          </w:tcPr>
          <w:p w14:paraId="4E784985"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RESOLVED — Test 2 fix applied and verified on retest (57%).</w:t>
            </w:r>
          </w:p>
        </w:tc>
      </w:tr>
      <w:tr w:rsidR="000C4F6B" w:rsidRPr="00854AB7" w14:paraId="332D6970" w14:textId="77777777">
        <w:tblPrEx>
          <w:tblCellMar>
            <w:top w:w="0" w:type="dxa"/>
            <w:bottom w:w="0" w:type="dxa"/>
          </w:tblCellMar>
        </w:tblPrEx>
        <w:tc>
          <w:tcPr>
            <w:tcW w:w="4000" w:type="dxa"/>
            <w:shd w:val="clear" w:color="auto" w:fill="FFFFFF"/>
          </w:tcPr>
          <w:p w14:paraId="3691573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Critical Risk Count (97) vs rate-eligible base (94) could be misread as inconsistent</w:t>
            </w:r>
          </w:p>
        </w:tc>
        <w:tc>
          <w:tcPr>
            <w:tcW w:w="5360" w:type="dxa"/>
            <w:shd w:val="clear" w:color="auto" w:fill="FFFFFF"/>
          </w:tcPr>
          <w:p w14:paraId="00CC2829" w14:textId="19582673"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IDENTIFIED, ACTION RECOMMENDED — labelling fix specified</w:t>
            </w:r>
            <w:r w:rsidR="006A1875">
              <w:rPr>
                <w:rFonts w:ascii="Times New Roman" w:hAnsi="Times New Roman" w:cs="Times New Roman"/>
                <w:sz w:val="24"/>
                <w:szCs w:val="24"/>
              </w:rPr>
              <w:t xml:space="preserve"> and</w:t>
            </w:r>
            <w:r w:rsidRPr="00854AB7">
              <w:rPr>
                <w:rFonts w:ascii="Times New Roman" w:hAnsi="Times New Roman" w:cs="Times New Roman"/>
                <w:sz w:val="24"/>
                <w:szCs w:val="24"/>
              </w:rPr>
              <w:t xml:space="preserve"> applied in the live dashboard.</w:t>
            </w:r>
          </w:p>
        </w:tc>
      </w:tr>
      <w:tr w:rsidR="000C4F6B" w:rsidRPr="00854AB7" w14:paraId="2128005D" w14:textId="77777777">
        <w:tblPrEx>
          <w:tblCellMar>
            <w:top w:w="0" w:type="dxa"/>
            <w:bottom w:w="0" w:type="dxa"/>
          </w:tblCellMar>
        </w:tblPrEx>
        <w:tc>
          <w:tcPr>
            <w:tcW w:w="4000" w:type="dxa"/>
            <w:shd w:val="clear" w:color="auto" w:fill="F2F2F2"/>
          </w:tcPr>
          <w:p w14:paraId="5AF0ABB7"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Dataset remains fictional/simulated</w:t>
            </w:r>
          </w:p>
        </w:tc>
        <w:tc>
          <w:tcPr>
            <w:tcW w:w="5360" w:type="dxa"/>
            <w:shd w:val="clear" w:color="auto" w:fill="F2F2F2"/>
          </w:tcPr>
          <w:p w14:paraId="5DF87EDE"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UNRESOLVED / ongoing, as in Weeks 5–6 — all findings describe simulated, not real-world, patient behaviour.</w:t>
            </w:r>
          </w:p>
        </w:tc>
      </w:tr>
      <w:tr w:rsidR="000C4F6B" w:rsidRPr="00854AB7" w14:paraId="2061E579" w14:textId="77777777">
        <w:tblPrEx>
          <w:tblCellMar>
            <w:top w:w="0" w:type="dxa"/>
            <w:bottom w:w="0" w:type="dxa"/>
          </w:tblCellMar>
        </w:tblPrEx>
        <w:tc>
          <w:tcPr>
            <w:tcW w:w="4000" w:type="dxa"/>
            <w:shd w:val="clear" w:color="auto" w:fill="FFFFFF"/>
          </w:tcPr>
          <w:p w14:paraId="16A2B0FA"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Cancelled-appointment exclusion convention</w:t>
            </w:r>
          </w:p>
        </w:tc>
        <w:tc>
          <w:tcPr>
            <w:tcW w:w="5360" w:type="dxa"/>
            <w:shd w:val="clear" w:color="auto" w:fill="FFFFFF"/>
          </w:tcPr>
          <w:p w14:paraId="7A6C1B58" w14:textId="30DC8C0D"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t>UNRESOLVED — still pending formal confirmation from HealthConnect business stakeholders; this convention is exactly what produced the 97-vs-94 distinction.</w:t>
            </w:r>
          </w:p>
        </w:tc>
      </w:tr>
    </w:tbl>
    <w:p w14:paraId="66AD1903" w14:textId="77777777" w:rsidR="000C4F6B" w:rsidRPr="00854AB7" w:rsidRDefault="00000000">
      <w:pPr>
        <w:rPr>
          <w:rFonts w:ascii="Times New Roman" w:hAnsi="Times New Roman" w:cs="Times New Roman"/>
          <w:sz w:val="24"/>
          <w:szCs w:val="24"/>
        </w:rPr>
      </w:pPr>
      <w:r w:rsidRPr="00854AB7">
        <w:rPr>
          <w:rFonts w:ascii="Times New Roman" w:hAnsi="Times New Roman" w:cs="Times New Roman"/>
          <w:sz w:val="24"/>
          <w:szCs w:val="24"/>
        </w:rPr>
        <w:br w:type="page"/>
      </w:r>
    </w:p>
    <w:p w14:paraId="19A581ED" w14:textId="14653042" w:rsidR="000C4F6B" w:rsidRPr="00854AB7" w:rsidRDefault="00000000">
      <w:pPr>
        <w:pStyle w:val="Heading1"/>
        <w:spacing w:before="300" w:after="150"/>
        <w:rPr>
          <w:rFonts w:ascii="Times New Roman" w:hAnsi="Times New Roman" w:cs="Times New Roman"/>
          <w:sz w:val="24"/>
          <w:szCs w:val="24"/>
        </w:rPr>
      </w:pPr>
      <w:r w:rsidRPr="00854AB7">
        <w:rPr>
          <w:rFonts w:ascii="Times New Roman" w:hAnsi="Times New Roman" w:cs="Times New Roman"/>
          <w:sz w:val="24"/>
          <w:szCs w:val="24"/>
        </w:rPr>
        <w:lastRenderedPageBreak/>
        <w:t xml:space="preserve">Part </w:t>
      </w:r>
      <w:r w:rsidR="006A1875">
        <w:rPr>
          <w:rFonts w:ascii="Times New Roman" w:hAnsi="Times New Roman" w:cs="Times New Roman"/>
          <w:sz w:val="24"/>
          <w:szCs w:val="24"/>
        </w:rPr>
        <w:t>7</w:t>
      </w:r>
      <w:r w:rsidRPr="00854AB7">
        <w:rPr>
          <w:rFonts w:ascii="Times New Roman" w:hAnsi="Times New Roman" w:cs="Times New Roman"/>
          <w:sz w:val="24"/>
          <w:szCs w:val="24"/>
        </w:rPr>
        <w:t>: Week 7 Project Summary</w:t>
      </w:r>
    </w:p>
    <w:p w14:paraId="7D7621E8" w14:textId="77777777" w:rsidR="000C4F6B" w:rsidRPr="00854AB7" w:rsidRDefault="00000000">
      <w:pPr>
        <w:spacing w:before="140" w:after="60"/>
        <w:rPr>
          <w:rFonts w:ascii="Times New Roman" w:hAnsi="Times New Roman" w:cs="Times New Roman"/>
          <w:sz w:val="24"/>
          <w:szCs w:val="24"/>
        </w:rPr>
      </w:pPr>
      <w:r w:rsidRPr="00854AB7">
        <w:rPr>
          <w:rFonts w:ascii="Times New Roman" w:hAnsi="Times New Roman" w:cs="Times New Roman"/>
          <w:b/>
          <w:bCs/>
          <w:color w:val="1F3864"/>
          <w:sz w:val="24"/>
          <w:szCs w:val="24"/>
        </w:rPr>
        <w:t>1. What was planned to be tested</w:t>
      </w:r>
    </w:p>
    <w:p w14:paraId="37FFC60E"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The Week 6 Power BI dashboard's KPI cards, card-level measures, cross-page slicer behaviour, and the manually typed Validation-page significance table.</w:t>
      </w:r>
    </w:p>
    <w:p w14:paraId="6A5DDBD4" w14:textId="77777777" w:rsidR="000C4F6B" w:rsidRPr="00854AB7" w:rsidRDefault="00000000">
      <w:pPr>
        <w:spacing w:before="140" w:after="60"/>
        <w:rPr>
          <w:rFonts w:ascii="Times New Roman" w:hAnsi="Times New Roman" w:cs="Times New Roman"/>
          <w:sz w:val="24"/>
          <w:szCs w:val="24"/>
        </w:rPr>
      </w:pPr>
      <w:r w:rsidRPr="00854AB7">
        <w:rPr>
          <w:rFonts w:ascii="Times New Roman" w:hAnsi="Times New Roman" w:cs="Times New Roman"/>
          <w:b/>
          <w:bCs/>
          <w:color w:val="1F3864"/>
          <w:sz w:val="24"/>
          <w:szCs w:val="24"/>
        </w:rPr>
        <w:t>2. What was actually tested</w:t>
      </w:r>
    </w:p>
    <w:p w14:paraId="2DC73E91"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All headline Overview-page KPIs against an independent recalculation; the standalone "No-Show Rate by Distance" card; the Critical Risk Count card's relationship to its adjacent rate; six slicer combinations plus two small-sample edge cases; and the Factor/Real Effect table against the Week 6 statistical results.</w:t>
      </w:r>
    </w:p>
    <w:p w14:paraId="4FB7FF64" w14:textId="77777777" w:rsidR="000C4F6B" w:rsidRPr="00854AB7" w:rsidRDefault="00000000">
      <w:pPr>
        <w:spacing w:before="140" w:after="60"/>
        <w:rPr>
          <w:rFonts w:ascii="Times New Roman" w:hAnsi="Times New Roman" w:cs="Times New Roman"/>
          <w:sz w:val="24"/>
          <w:szCs w:val="24"/>
        </w:rPr>
      </w:pPr>
      <w:r w:rsidRPr="00854AB7">
        <w:rPr>
          <w:rFonts w:ascii="Times New Roman" w:hAnsi="Times New Roman" w:cs="Times New Roman"/>
          <w:b/>
          <w:bCs/>
          <w:color w:val="1F3864"/>
          <w:sz w:val="24"/>
          <w:szCs w:val="24"/>
        </w:rPr>
        <w:t>3. Most important testing results</w:t>
      </w:r>
    </w:p>
    <w:p w14:paraId="60CD7A70"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One dashboard card (No-Show Rate by Distance) was found to be silently returning the wrong figure and was corrected and re-verified. One further card (Critical Risk Count) was found numerically correct but ambiguously labelled. All other tested components passed without modification.</w:t>
      </w:r>
    </w:p>
    <w:p w14:paraId="45DF1618" w14:textId="77777777" w:rsidR="000C4F6B" w:rsidRPr="00854AB7" w:rsidRDefault="00000000">
      <w:pPr>
        <w:spacing w:before="140" w:after="60"/>
        <w:rPr>
          <w:rFonts w:ascii="Times New Roman" w:hAnsi="Times New Roman" w:cs="Times New Roman"/>
          <w:sz w:val="24"/>
          <w:szCs w:val="24"/>
        </w:rPr>
      </w:pPr>
      <w:r w:rsidRPr="00854AB7">
        <w:rPr>
          <w:rFonts w:ascii="Times New Roman" w:hAnsi="Times New Roman" w:cs="Times New Roman"/>
          <w:b/>
          <w:bCs/>
          <w:color w:val="1F3864"/>
          <w:sz w:val="24"/>
          <w:szCs w:val="24"/>
        </w:rPr>
        <w:t>4. Issues or weaknesses identified</w:t>
      </w:r>
    </w:p>
    <w:p w14:paraId="4350F084" w14:textId="77777777" w:rsidR="006A1875"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 xml:space="preserve">(1) Distance KPI card defaulted to the overall rate instead of filtering to &gt;15km. </w:t>
      </w:r>
    </w:p>
    <w:p w14:paraId="77C26045" w14:textId="77777777" w:rsidR="006A1875"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(2) Critical Risk Count's 97-total vs 94-eligible distinction is not visible on the card face.</w:t>
      </w:r>
    </w:p>
    <w:p w14:paraId="5B5C84E3" w14:textId="77777777" w:rsidR="000C4F6B" w:rsidRPr="00854AB7" w:rsidRDefault="00000000">
      <w:pPr>
        <w:spacing w:before="140" w:after="60"/>
        <w:rPr>
          <w:rFonts w:ascii="Times New Roman" w:hAnsi="Times New Roman" w:cs="Times New Roman"/>
          <w:sz w:val="24"/>
          <w:szCs w:val="24"/>
        </w:rPr>
      </w:pPr>
      <w:r w:rsidRPr="00854AB7">
        <w:rPr>
          <w:rFonts w:ascii="Times New Roman" w:hAnsi="Times New Roman" w:cs="Times New Roman"/>
          <w:b/>
          <w:bCs/>
          <w:color w:val="1F3864"/>
          <w:sz w:val="24"/>
          <w:szCs w:val="24"/>
        </w:rPr>
        <w:t>5. Improvements/refinements made</w:t>
      </w:r>
    </w:p>
    <w:p w14:paraId="0762D514"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The distance KPI card was corrected in Power BI Desktop and confirmed via retest (51% to 57%).</w:t>
      </w:r>
    </w:p>
    <w:p w14:paraId="75952738" w14:textId="77777777" w:rsidR="000C4F6B" w:rsidRPr="00854AB7" w:rsidRDefault="00000000">
      <w:pPr>
        <w:spacing w:before="140" w:after="60"/>
        <w:rPr>
          <w:rFonts w:ascii="Times New Roman" w:hAnsi="Times New Roman" w:cs="Times New Roman"/>
          <w:sz w:val="24"/>
          <w:szCs w:val="24"/>
        </w:rPr>
      </w:pPr>
      <w:r w:rsidRPr="00854AB7">
        <w:rPr>
          <w:rFonts w:ascii="Times New Roman" w:hAnsi="Times New Roman" w:cs="Times New Roman"/>
          <w:b/>
          <w:bCs/>
          <w:color w:val="1F3864"/>
          <w:sz w:val="24"/>
          <w:szCs w:val="24"/>
        </w:rPr>
        <w:t>6. Retesting results</w:t>
      </w:r>
    </w:p>
    <w:p w14:paraId="760E9011" w14:textId="76F43CBC"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 xml:space="preserve">Test 2 retest: PASS (57%, matching the expected 56.9% &gt;15km rate). </w:t>
      </w:r>
    </w:p>
    <w:p w14:paraId="4371DCB1" w14:textId="2EC4F69F" w:rsidR="000C4F6B" w:rsidRPr="00854AB7" w:rsidRDefault="006A1875">
      <w:pPr>
        <w:spacing w:before="140" w:after="60"/>
        <w:rPr>
          <w:rFonts w:ascii="Times New Roman" w:hAnsi="Times New Roman" w:cs="Times New Roman"/>
          <w:sz w:val="24"/>
          <w:szCs w:val="24"/>
        </w:rPr>
      </w:pPr>
      <w:r>
        <w:rPr>
          <w:rFonts w:ascii="Times New Roman" w:hAnsi="Times New Roman" w:cs="Times New Roman"/>
          <w:b/>
          <w:bCs/>
          <w:color w:val="1F3864"/>
          <w:sz w:val="24"/>
          <w:szCs w:val="24"/>
        </w:rPr>
        <w:t>7</w:t>
      </w:r>
      <w:r w:rsidR="00000000" w:rsidRPr="00854AB7">
        <w:rPr>
          <w:rFonts w:ascii="Times New Roman" w:hAnsi="Times New Roman" w:cs="Times New Roman"/>
          <w:b/>
          <w:bCs/>
          <w:color w:val="1F3864"/>
          <w:sz w:val="24"/>
          <w:szCs w:val="24"/>
        </w:rPr>
        <w:t>. Important decisions made</w:t>
      </w:r>
    </w:p>
    <w:p w14:paraId="022C598E" w14:textId="77777777" w:rsidR="000C4F6B" w:rsidRPr="00854AB7" w:rsidRDefault="00000000">
      <w:pPr>
        <w:spacing w:after="120"/>
        <w:rPr>
          <w:rFonts w:ascii="Times New Roman" w:hAnsi="Times New Roman" w:cs="Times New Roman"/>
          <w:sz w:val="24"/>
          <w:szCs w:val="24"/>
        </w:rPr>
      </w:pPr>
      <w:r w:rsidRPr="00854AB7">
        <w:rPr>
          <w:rFonts w:ascii="Times New Roman" w:hAnsi="Times New Roman" w:cs="Times New Roman"/>
          <w:sz w:val="24"/>
          <w:szCs w:val="24"/>
        </w:rPr>
        <w:t>Chose to fix and retest the distance KPI card immediately, since it was a clear-cut defect, while treating the Critical Risk Count ambiguity as a recommended labelling fix rather than an error, since both numbers it could show are individually correct.</w:t>
      </w:r>
    </w:p>
    <w:sectPr w:rsidR="000C4F6B" w:rsidRPr="00854AB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21E7B"/>
    <w:multiLevelType w:val="hybridMultilevel"/>
    <w:tmpl w:val="069AABD0"/>
    <w:lvl w:ilvl="0" w:tplc="DBC809F2">
      <w:start w:val="1"/>
      <w:numFmt w:val="bullet"/>
      <w:lvlText w:val="●"/>
      <w:lvlJc w:val="left"/>
      <w:pPr>
        <w:ind w:left="720" w:hanging="360"/>
      </w:pPr>
    </w:lvl>
    <w:lvl w:ilvl="1" w:tplc="F520882C">
      <w:start w:val="1"/>
      <w:numFmt w:val="bullet"/>
      <w:lvlText w:val="○"/>
      <w:lvlJc w:val="left"/>
      <w:pPr>
        <w:ind w:left="1440" w:hanging="360"/>
      </w:pPr>
    </w:lvl>
    <w:lvl w:ilvl="2" w:tplc="8BCCAD86">
      <w:start w:val="1"/>
      <w:numFmt w:val="bullet"/>
      <w:lvlText w:val="■"/>
      <w:lvlJc w:val="left"/>
      <w:pPr>
        <w:ind w:left="2160" w:hanging="360"/>
      </w:pPr>
    </w:lvl>
    <w:lvl w:ilvl="3" w:tplc="6A1AC588">
      <w:start w:val="1"/>
      <w:numFmt w:val="bullet"/>
      <w:lvlText w:val="●"/>
      <w:lvlJc w:val="left"/>
      <w:pPr>
        <w:ind w:left="2880" w:hanging="360"/>
      </w:pPr>
    </w:lvl>
    <w:lvl w:ilvl="4" w:tplc="8AAA02A2">
      <w:start w:val="1"/>
      <w:numFmt w:val="bullet"/>
      <w:lvlText w:val="○"/>
      <w:lvlJc w:val="left"/>
      <w:pPr>
        <w:ind w:left="3600" w:hanging="360"/>
      </w:pPr>
    </w:lvl>
    <w:lvl w:ilvl="5" w:tplc="3F6EC790">
      <w:start w:val="1"/>
      <w:numFmt w:val="bullet"/>
      <w:lvlText w:val="■"/>
      <w:lvlJc w:val="left"/>
      <w:pPr>
        <w:ind w:left="4320" w:hanging="360"/>
      </w:pPr>
    </w:lvl>
    <w:lvl w:ilvl="6" w:tplc="8A2ACF4A">
      <w:start w:val="1"/>
      <w:numFmt w:val="bullet"/>
      <w:lvlText w:val="●"/>
      <w:lvlJc w:val="left"/>
      <w:pPr>
        <w:ind w:left="5040" w:hanging="360"/>
      </w:pPr>
    </w:lvl>
    <w:lvl w:ilvl="7" w:tplc="D938B8FE">
      <w:start w:val="1"/>
      <w:numFmt w:val="bullet"/>
      <w:lvlText w:val="●"/>
      <w:lvlJc w:val="left"/>
      <w:pPr>
        <w:ind w:left="5760" w:hanging="360"/>
      </w:pPr>
    </w:lvl>
    <w:lvl w:ilvl="8" w:tplc="88FE006C">
      <w:start w:val="1"/>
      <w:numFmt w:val="bullet"/>
      <w:lvlText w:val="●"/>
      <w:lvlJc w:val="left"/>
      <w:pPr>
        <w:ind w:left="6480" w:hanging="360"/>
      </w:pPr>
    </w:lvl>
  </w:abstractNum>
  <w:num w:numId="1" w16cid:durableId="962272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F6B"/>
    <w:rsid w:val="000C4F6B"/>
    <w:rsid w:val="006A1875"/>
    <w:rsid w:val="00854AB7"/>
    <w:rsid w:val="0092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7F56D"/>
  <w15:docId w15:val="{C994A56F-08E5-4F09-A6F1-9200A691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Lilian Alexander</cp:lastModifiedBy>
  <cp:revision>2</cp:revision>
  <dcterms:created xsi:type="dcterms:W3CDTF">2026-09-20T15:31:00Z</dcterms:created>
  <dcterms:modified xsi:type="dcterms:W3CDTF">2026-09-20T16:12:00Z</dcterms:modified>
</cp:coreProperties>
</file>