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rPr>
          <w:rFonts w:hint="eastAsia"/>
        </w:rPr>
        <w:t>信息安全测评服务项目立项报告</w:t>
      </w:r>
    </w:p>
    <w:p>
      <w:pPr>
        <w:numPr>
          <w:ilvl w:val="0"/>
          <w:numId w:val="1"/>
        </w:numPr>
        <w:tabs>
          <w:tab w:val="left" w:pos="672"/>
          <w:tab w:val="clear" w:pos="1366"/>
        </w:tabs>
        <w:ind w:hanging="1366"/>
        <w:rPr>
          <w:rFonts w:ascii="楷体_GB2312" w:eastAsia="楷体_GB2312"/>
          <w:b/>
          <w:sz w:val="32"/>
          <w:szCs w:val="32"/>
        </w:rPr>
      </w:pPr>
      <w:r>
        <w:rPr>
          <w:rFonts w:hint="eastAsia" w:ascii="楷体_GB2312" w:eastAsia="楷体_GB2312"/>
          <w:b/>
          <w:sz w:val="32"/>
          <w:szCs w:val="32"/>
        </w:rPr>
        <w:t>项目名称</w:t>
      </w:r>
    </w:p>
    <w:p>
      <w:pPr>
        <w:ind w:firstLine="640" w:firstLineChars="200"/>
        <w:rPr>
          <w:rFonts w:ascii="仿宋_GB2312" w:eastAsia="仿宋_GB2312"/>
          <w:sz w:val="32"/>
          <w:szCs w:val="32"/>
        </w:rPr>
      </w:pPr>
      <w:r>
        <w:rPr>
          <w:rFonts w:hint="eastAsia" w:ascii="仿宋_GB2312" w:hAnsi="华文中宋" w:eastAsia="仿宋_GB2312"/>
          <w:sz w:val="32"/>
          <w:szCs w:val="32"/>
        </w:rPr>
        <w:t>信息安全测评服务项目</w:t>
      </w:r>
    </w:p>
    <w:p>
      <w:pPr>
        <w:numPr>
          <w:ilvl w:val="0"/>
          <w:numId w:val="1"/>
        </w:numPr>
        <w:tabs>
          <w:tab w:val="left" w:pos="672"/>
          <w:tab w:val="clear" w:pos="1366"/>
        </w:tabs>
        <w:ind w:hanging="1366"/>
        <w:rPr>
          <w:rFonts w:ascii="楷体_GB2312" w:eastAsia="楷体_GB2312"/>
          <w:b/>
          <w:sz w:val="32"/>
          <w:szCs w:val="32"/>
        </w:rPr>
      </w:pPr>
      <w:r>
        <w:rPr>
          <w:rFonts w:hint="eastAsia" w:ascii="楷体_GB2312" w:eastAsia="楷体_GB2312"/>
          <w:b/>
          <w:sz w:val="32"/>
          <w:szCs w:val="32"/>
        </w:rPr>
        <w:t>项目必要性及可行性</w:t>
      </w:r>
    </w:p>
    <w:p>
      <w:pPr>
        <w:ind w:firstLine="640" w:firstLineChars="200"/>
        <w:rPr>
          <w:rFonts w:ascii="仿宋_GB2312" w:hAnsi="华文中宋" w:eastAsia="仿宋_GB2312"/>
          <w:sz w:val="32"/>
          <w:szCs w:val="32"/>
        </w:rPr>
      </w:pPr>
      <w:r>
        <w:rPr>
          <w:rFonts w:hint="eastAsia" w:ascii="仿宋_GB2312" w:hAnsi="华文中宋" w:eastAsia="仿宋_GB2312"/>
          <w:sz w:val="32"/>
          <w:szCs w:val="32"/>
        </w:rPr>
        <w:t>eMAS</w:t>
      </w:r>
      <w:r>
        <w:rPr>
          <w:rFonts w:hint="eastAsia" w:ascii="仿宋_GB2312" w:hAnsi="华文中宋" w:eastAsia="仿宋_GB2312"/>
          <w:sz w:val="32"/>
          <w:szCs w:val="32"/>
          <w:lang w:val="en-US" w:eastAsia="zh-CN"/>
        </w:rPr>
        <w:t>2.0</w:t>
      </w:r>
      <w:r>
        <w:rPr>
          <w:rFonts w:hint="eastAsia" w:ascii="仿宋_GB2312" w:hAnsi="华文中宋" w:eastAsia="仿宋_GB2312"/>
          <w:sz w:val="32"/>
          <w:szCs w:val="32"/>
        </w:rPr>
        <w:t>项目和再·型-地震巨灾模型2.0项目，作为对外提供服务的信息系统，面临的信息安全风险更高，监管对这类系统的安全要求也更高。</w:t>
      </w:r>
      <w:r>
        <w:rPr>
          <w:rFonts w:hint="eastAsia" w:ascii="仿宋_GB2312" w:hAnsi="Times New Roman" w:eastAsia="仿宋_GB2312"/>
          <w:sz w:val="32"/>
          <w:szCs w:val="30"/>
          <w:lang w:val="en-US" w:eastAsia="zh-CN"/>
        </w:rPr>
        <w:t>eMAS2.0项目的苹果交易场景更是涉及资金流动，为保证交易资金安全、</w:t>
      </w:r>
      <w:r>
        <w:rPr>
          <w:rFonts w:hint="eastAsia" w:ascii="仿宋_GB2312" w:hAnsi="华文中宋" w:eastAsia="仿宋_GB2312"/>
          <w:sz w:val="32"/>
          <w:szCs w:val="32"/>
        </w:rPr>
        <w:t>为提高该类系统安全性及稳定性，防止来自外部的非法访问和恶意攻击，有效预防信息安全风险的发生，需要对相应的业务系统开展渗透测试、代码审计等专业安全评测。渗透测试、代码审计等安全评测是专业安全公司的常规外包服务主要内容之一，这些专业安全公司组建了成熟的、专业能力强的技术团队，长期服务于各大金融机构。</w:t>
      </w:r>
    </w:p>
    <w:p>
      <w:pPr>
        <w:numPr>
          <w:ilvl w:val="0"/>
          <w:numId w:val="1"/>
        </w:numPr>
        <w:tabs>
          <w:tab w:val="left" w:pos="672"/>
          <w:tab w:val="clear" w:pos="1366"/>
        </w:tabs>
        <w:ind w:hanging="1366"/>
        <w:rPr>
          <w:rFonts w:ascii="楷体_GB2312" w:eastAsia="楷体_GB2312"/>
          <w:b/>
          <w:sz w:val="32"/>
          <w:szCs w:val="32"/>
        </w:rPr>
      </w:pPr>
      <w:r>
        <w:rPr>
          <w:rFonts w:hint="eastAsia" w:ascii="楷体_GB2312" w:eastAsia="楷体_GB2312"/>
          <w:b/>
          <w:sz w:val="32"/>
          <w:szCs w:val="32"/>
        </w:rPr>
        <w:t>项目主要内容</w:t>
      </w:r>
    </w:p>
    <w:p>
      <w:pPr>
        <w:spacing w:line="360" w:lineRule="auto"/>
        <w:ind w:firstLine="565" w:firstLineChars="176"/>
        <w:jc w:val="left"/>
        <w:rPr>
          <w:rFonts w:ascii="宋体" w:hAnsi="宋体"/>
          <w:szCs w:val="21"/>
        </w:rPr>
      </w:pPr>
      <w:r>
        <w:rPr>
          <w:rFonts w:hint="eastAsia" w:ascii="仿宋_GB2312" w:hAnsi="Calibri" w:eastAsia="仿宋_GB2312"/>
          <w:b/>
          <w:sz w:val="32"/>
          <w:szCs w:val="32"/>
        </w:rPr>
        <w:t>渗透测试：</w:t>
      </w:r>
      <w:r>
        <w:rPr>
          <w:rFonts w:hint="eastAsia" w:ascii="仿宋_GB2312" w:hAnsi="Calibri" w:eastAsia="仿宋_GB2312"/>
          <w:sz w:val="32"/>
          <w:szCs w:val="32"/>
        </w:rPr>
        <w:t>渗透测试是指由信息安全工程师利用安全工具并结合实践经验，同时采用各种攻击技术对系统进行非破坏性质的侵入测试和模拟黑客攻击。这种测试方法可以非常有效的发现最严重的安全漏洞，尤其是与全面的代码审计相比，其更高效。渗透测试主要包括：信息收集类（互联网可收集到高价车定价系统的敏感信息），配置管理类（HTTP方法测试、应用管理界面测试、信息泄露等），认证类（用户枚举、密码猜解、密码重置测试等），会话类（cookie测试、会话固定测试等），授权类（URL越权、路径遍历、业务逻辑、文件下载测试等）、数据验证类（SQL注入、跨站脚本、代码注入、URL跳转、文件上传测试等）、系统应用漏洞（溢出、0day漏洞等）等。</w:t>
      </w:r>
    </w:p>
    <w:p>
      <w:pPr>
        <w:spacing w:line="360" w:lineRule="auto"/>
        <w:ind w:firstLine="565" w:firstLineChars="176"/>
        <w:jc w:val="left"/>
        <w:rPr>
          <w:rFonts w:ascii="仿宋_GB2312" w:hAnsi="Calibri" w:eastAsia="仿宋_GB2312"/>
          <w:sz w:val="32"/>
          <w:szCs w:val="32"/>
        </w:rPr>
      </w:pPr>
      <w:r>
        <w:rPr>
          <w:rFonts w:hint="eastAsia" w:ascii="仿宋_GB2312" w:hAnsi="Calibri" w:eastAsia="仿宋_GB2312"/>
          <w:b/>
          <w:sz w:val="32"/>
          <w:szCs w:val="32"/>
        </w:rPr>
        <w:t>源代码安全审计</w:t>
      </w:r>
      <w:r>
        <w:rPr>
          <w:rFonts w:hint="eastAsia" w:ascii="仿宋_GB2312" w:hAnsi="Calibri" w:eastAsia="仿宋_GB2312"/>
          <w:sz w:val="32"/>
          <w:szCs w:val="32"/>
        </w:rPr>
        <w:t>：源代码安全审计以发现应用程序编码过程中造成的安全漏洞为目的， 通过源代码静态分析工具，对已有的代码进行扫描、分析，并对导致安全漏洞的错误代码进行定位和验证，然后提供补救建议。</w:t>
      </w:r>
    </w:p>
    <w:p>
      <w:pPr>
        <w:spacing w:line="360" w:lineRule="auto"/>
        <w:ind w:firstLine="565" w:firstLineChars="176"/>
        <w:jc w:val="left"/>
        <w:rPr>
          <w:rFonts w:ascii="仿宋_GB2312" w:hAnsi="Calibri" w:eastAsia="仿宋_GB2312"/>
          <w:b/>
          <w:sz w:val="32"/>
          <w:szCs w:val="32"/>
        </w:rPr>
      </w:pPr>
      <w:r>
        <w:rPr>
          <w:rFonts w:hint="eastAsia" w:ascii="仿宋_GB2312" w:hAnsi="Calibri" w:eastAsia="仿宋_GB2312"/>
          <w:b/>
          <w:sz w:val="32"/>
          <w:szCs w:val="32"/>
        </w:rPr>
        <w:t>安全加固：</w:t>
      </w:r>
      <w:r>
        <w:rPr>
          <w:rFonts w:hint="eastAsia" w:ascii="仿宋_GB2312" w:hAnsi="Calibri" w:eastAsia="仿宋_GB2312"/>
          <w:sz w:val="32"/>
          <w:szCs w:val="32"/>
        </w:rPr>
        <w:t>安全加固是针对系统脆弱性采取的一种有效的安全手段，可以提高系统抵御外来的入侵和蠕虫病毒袭击的能力，缩小影响范围，使被测系统可以长期保持在高度可信的状态。为了减小和避免安全加固操作对操作系统、数据库、应用系统和网络设备的影响，在加固方案设计和加固实施过程中会遵循标准性、规范性、可控性、整体性、最小影响等原则。主要包含主机和应用系统安全加固两个方面。</w:t>
      </w:r>
    </w:p>
    <w:p>
      <w:pPr>
        <w:numPr>
          <w:ilvl w:val="0"/>
          <w:numId w:val="1"/>
        </w:numPr>
        <w:tabs>
          <w:tab w:val="left" w:pos="672"/>
          <w:tab w:val="clear" w:pos="1366"/>
        </w:tabs>
        <w:ind w:hanging="1366"/>
        <w:rPr>
          <w:rFonts w:ascii="楷体_GB2312" w:eastAsia="楷体_GB2312"/>
          <w:b/>
          <w:sz w:val="32"/>
          <w:szCs w:val="32"/>
        </w:rPr>
      </w:pPr>
      <w:r>
        <w:rPr>
          <w:rFonts w:hint="eastAsia" w:ascii="楷体_GB2312" w:eastAsia="楷体_GB2312"/>
          <w:b/>
          <w:sz w:val="32"/>
          <w:szCs w:val="32"/>
        </w:rPr>
        <w:t>实施计划</w:t>
      </w:r>
    </w:p>
    <w:p>
      <w:pPr>
        <w:ind w:firstLine="640" w:firstLineChars="200"/>
        <w:rPr>
          <w:rFonts w:ascii="仿宋_GB2312" w:eastAsia="仿宋_GB2312"/>
          <w:sz w:val="32"/>
          <w:szCs w:val="32"/>
        </w:rPr>
      </w:pPr>
      <w:r>
        <w:rPr>
          <w:rFonts w:hint="eastAsia" w:ascii="仿宋_GB2312" w:eastAsia="仿宋_GB2312"/>
          <w:sz w:val="32"/>
          <w:szCs w:val="32"/>
        </w:rPr>
        <w:t>预计启动时间：2019年8月</w:t>
      </w:r>
    </w:p>
    <w:p>
      <w:pPr>
        <w:ind w:firstLine="640" w:firstLineChars="200"/>
        <w:rPr>
          <w:rFonts w:ascii="楷体_GB2312" w:eastAsia="楷体_GB2312"/>
          <w:b/>
          <w:sz w:val="32"/>
          <w:szCs w:val="32"/>
        </w:rPr>
      </w:pPr>
      <w:r>
        <w:rPr>
          <w:rFonts w:hint="eastAsia" w:ascii="仿宋_GB2312" w:eastAsia="仿宋_GB2312"/>
          <w:sz w:val="32"/>
          <w:szCs w:val="32"/>
        </w:rPr>
        <w:t>预计完成时间：20</w:t>
      </w:r>
      <w:r>
        <w:rPr>
          <w:rFonts w:ascii="仿宋_GB2312" w:eastAsia="仿宋_GB2312"/>
          <w:sz w:val="32"/>
          <w:szCs w:val="32"/>
        </w:rPr>
        <w:t>19</w:t>
      </w:r>
      <w:r>
        <w:rPr>
          <w:rFonts w:hint="eastAsia" w:ascii="仿宋_GB2312" w:eastAsia="仿宋_GB2312"/>
          <w:sz w:val="32"/>
          <w:szCs w:val="32"/>
        </w:rPr>
        <w:t>年</w:t>
      </w:r>
      <w:r>
        <w:rPr>
          <w:rFonts w:ascii="仿宋_GB2312" w:eastAsia="仿宋_GB2312"/>
          <w:sz w:val="32"/>
          <w:szCs w:val="32"/>
        </w:rPr>
        <w:t>9</w:t>
      </w:r>
      <w:r>
        <w:rPr>
          <w:rFonts w:hint="eastAsia" w:ascii="仿宋_GB2312" w:eastAsia="仿宋_GB2312"/>
          <w:sz w:val="32"/>
          <w:szCs w:val="32"/>
        </w:rPr>
        <w:t>月</w:t>
      </w:r>
    </w:p>
    <w:p>
      <w:pPr>
        <w:numPr>
          <w:ilvl w:val="0"/>
          <w:numId w:val="1"/>
        </w:numPr>
        <w:tabs>
          <w:tab w:val="left" w:pos="672"/>
          <w:tab w:val="clear" w:pos="1366"/>
        </w:tabs>
        <w:ind w:hanging="1366"/>
        <w:rPr>
          <w:rFonts w:ascii="楷体_GB2312" w:eastAsia="楷体_GB2312"/>
          <w:b/>
          <w:sz w:val="32"/>
          <w:szCs w:val="32"/>
        </w:rPr>
      </w:pPr>
      <w:r>
        <w:rPr>
          <w:rFonts w:hint="eastAsia" w:ascii="楷体_GB2312" w:eastAsia="楷体_GB2312"/>
          <w:b/>
          <w:sz w:val="32"/>
          <w:szCs w:val="32"/>
        </w:rPr>
        <w:t>采购方式</w:t>
      </w:r>
    </w:p>
    <w:p>
      <w:pPr>
        <w:ind w:firstLine="640" w:firstLineChars="200"/>
        <w:rPr>
          <w:rFonts w:ascii="仿宋_GB2312" w:eastAsia="仿宋_GB2312"/>
          <w:sz w:val="32"/>
          <w:szCs w:val="32"/>
        </w:rPr>
      </w:pPr>
      <w:r>
        <w:rPr>
          <w:rFonts w:hint="eastAsia" w:ascii="仿宋_GB2312" w:eastAsia="仿宋_GB2312"/>
          <w:sz w:val="32"/>
          <w:szCs w:val="32"/>
        </w:rPr>
        <w:t>拟采用单一来源的方式采购</w:t>
      </w:r>
    </w:p>
    <w:p>
      <w:pPr>
        <w:numPr>
          <w:ilvl w:val="0"/>
          <w:numId w:val="1"/>
        </w:numPr>
        <w:tabs>
          <w:tab w:val="left" w:pos="672"/>
          <w:tab w:val="clear" w:pos="1366"/>
        </w:tabs>
        <w:ind w:hanging="1366"/>
        <w:rPr>
          <w:rFonts w:ascii="楷体_GB2312" w:eastAsia="楷体_GB2312"/>
          <w:b/>
          <w:sz w:val="32"/>
          <w:szCs w:val="32"/>
        </w:rPr>
      </w:pPr>
      <w:r>
        <w:rPr>
          <w:rFonts w:hint="eastAsia" w:ascii="楷体_GB2312" w:eastAsia="楷体_GB2312"/>
          <w:b/>
          <w:sz w:val="32"/>
          <w:szCs w:val="32"/>
        </w:rPr>
        <w:t>预算安排</w:t>
      </w:r>
    </w:p>
    <w:p>
      <w:pPr>
        <w:spacing w:line="360" w:lineRule="auto"/>
        <w:ind w:firstLine="640" w:firstLineChars="200"/>
        <w:rPr>
          <w:rFonts w:ascii="楷体_GB2312" w:eastAsia="楷体_GB2312"/>
          <w:sz w:val="32"/>
          <w:szCs w:val="32"/>
        </w:rPr>
      </w:pPr>
      <w:r>
        <w:rPr>
          <w:rFonts w:hint="eastAsia" w:ascii="仿宋_GB2312" w:hAnsi="华文中宋" w:eastAsia="仿宋_GB2312"/>
          <w:sz w:val="32"/>
          <w:szCs w:val="32"/>
        </w:rPr>
        <w:t>项目预算：本项目总预算合计10万元人民币，包括eMAS</w:t>
      </w:r>
      <w:r>
        <w:rPr>
          <w:rFonts w:hint="eastAsia" w:ascii="仿宋_GB2312" w:hAnsi="华文中宋" w:eastAsia="仿宋_GB2312"/>
          <w:sz w:val="32"/>
          <w:szCs w:val="32"/>
          <w:lang w:val="en-US" w:eastAsia="zh-CN"/>
        </w:rPr>
        <w:t>2.0</w:t>
      </w:r>
      <w:bookmarkStart w:id="0" w:name="_GoBack"/>
      <w:bookmarkEnd w:id="0"/>
      <w:r>
        <w:rPr>
          <w:rFonts w:hint="eastAsia" w:ascii="仿宋_GB2312" w:hAnsi="华文中宋" w:eastAsia="仿宋_GB2312"/>
          <w:sz w:val="32"/>
          <w:szCs w:val="32"/>
        </w:rPr>
        <w:t>平台和再·型-地震巨灾模型2.0两个项目，拟从“电子设备运转费”中调剂支出，不超电子设备运转费总预算。</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华文中宋">
    <w:panose1 w:val="02010600040101010101"/>
    <w:charset w:val="86"/>
    <w:family w:val="auto"/>
    <w:pitch w:val="default"/>
    <w:sig w:usb0="00000287" w:usb1="080F0000" w:usb2="00000000" w:usb3="00000000" w:csb0="0004009F" w:csb1="DFD70000"/>
  </w:font>
  <w:font w:name="楷体_GB2312">
    <w:altName w:val="楷体"/>
    <w:panose1 w:val="00000000000000000000"/>
    <w:charset w:val="86"/>
    <w:family w:val="modern"/>
    <w:pitch w:val="default"/>
    <w:sig w:usb0="00000000" w:usb1="00000000" w:usb2="00000010" w:usb3="00000000" w:csb0="00040000" w:csb1="00000000"/>
  </w:font>
  <w:font w:name="仿宋_GB2312">
    <w:altName w:val="仿宋"/>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CC2DA8"/>
    <w:multiLevelType w:val="multilevel"/>
    <w:tmpl w:val="0CCC2DA8"/>
    <w:lvl w:ilvl="0" w:tentative="0">
      <w:start w:val="1"/>
      <w:numFmt w:val="japaneseCounting"/>
      <w:lvlText w:val="%1、"/>
      <w:lvlJc w:val="left"/>
      <w:pPr>
        <w:tabs>
          <w:tab w:val="left" w:pos="1366"/>
        </w:tabs>
        <w:ind w:left="1366" w:hanging="720"/>
      </w:pPr>
      <w:rPr>
        <w:rFonts w:hint="default"/>
      </w:rPr>
    </w:lvl>
    <w:lvl w:ilvl="1" w:tentative="0">
      <w:start w:val="1"/>
      <w:numFmt w:val="lowerLetter"/>
      <w:lvlText w:val="%2)"/>
      <w:lvlJc w:val="left"/>
      <w:pPr>
        <w:tabs>
          <w:tab w:val="left" w:pos="1486"/>
        </w:tabs>
        <w:ind w:left="1486" w:hanging="420"/>
      </w:pPr>
    </w:lvl>
    <w:lvl w:ilvl="2" w:tentative="0">
      <w:start w:val="1"/>
      <w:numFmt w:val="lowerRoman"/>
      <w:lvlText w:val="%3."/>
      <w:lvlJc w:val="right"/>
      <w:pPr>
        <w:tabs>
          <w:tab w:val="left" w:pos="1906"/>
        </w:tabs>
        <w:ind w:left="1906" w:hanging="420"/>
      </w:pPr>
    </w:lvl>
    <w:lvl w:ilvl="3" w:tentative="0">
      <w:start w:val="1"/>
      <w:numFmt w:val="decimal"/>
      <w:lvlText w:val="%4."/>
      <w:lvlJc w:val="left"/>
      <w:pPr>
        <w:tabs>
          <w:tab w:val="left" w:pos="2326"/>
        </w:tabs>
        <w:ind w:left="2326" w:hanging="420"/>
      </w:pPr>
    </w:lvl>
    <w:lvl w:ilvl="4" w:tentative="0">
      <w:start w:val="1"/>
      <w:numFmt w:val="lowerLetter"/>
      <w:lvlText w:val="%5)"/>
      <w:lvlJc w:val="left"/>
      <w:pPr>
        <w:tabs>
          <w:tab w:val="left" w:pos="2746"/>
        </w:tabs>
        <w:ind w:left="2746" w:hanging="420"/>
      </w:pPr>
    </w:lvl>
    <w:lvl w:ilvl="5" w:tentative="0">
      <w:start w:val="1"/>
      <w:numFmt w:val="lowerRoman"/>
      <w:lvlText w:val="%6."/>
      <w:lvlJc w:val="right"/>
      <w:pPr>
        <w:tabs>
          <w:tab w:val="left" w:pos="3166"/>
        </w:tabs>
        <w:ind w:left="3166" w:hanging="420"/>
      </w:pPr>
    </w:lvl>
    <w:lvl w:ilvl="6" w:tentative="0">
      <w:start w:val="1"/>
      <w:numFmt w:val="decimal"/>
      <w:lvlText w:val="%7."/>
      <w:lvlJc w:val="left"/>
      <w:pPr>
        <w:tabs>
          <w:tab w:val="left" w:pos="3586"/>
        </w:tabs>
        <w:ind w:left="3586" w:hanging="420"/>
      </w:pPr>
    </w:lvl>
    <w:lvl w:ilvl="7" w:tentative="0">
      <w:start w:val="1"/>
      <w:numFmt w:val="lowerLetter"/>
      <w:lvlText w:val="%8)"/>
      <w:lvlJc w:val="left"/>
      <w:pPr>
        <w:tabs>
          <w:tab w:val="left" w:pos="4006"/>
        </w:tabs>
        <w:ind w:left="4006" w:hanging="420"/>
      </w:pPr>
    </w:lvl>
    <w:lvl w:ilvl="8" w:tentative="0">
      <w:start w:val="1"/>
      <w:numFmt w:val="lowerRoman"/>
      <w:lvlText w:val="%9."/>
      <w:lvlJc w:val="right"/>
      <w:pPr>
        <w:tabs>
          <w:tab w:val="left" w:pos="4426"/>
        </w:tabs>
        <w:ind w:left="4426"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489D"/>
    <w:rsid w:val="00000C59"/>
    <w:rsid w:val="00013339"/>
    <w:rsid w:val="0002675F"/>
    <w:rsid w:val="000757A9"/>
    <w:rsid w:val="0009489D"/>
    <w:rsid w:val="000B64E1"/>
    <w:rsid w:val="00154B4D"/>
    <w:rsid w:val="0018572F"/>
    <w:rsid w:val="001E4F7A"/>
    <w:rsid w:val="00285395"/>
    <w:rsid w:val="00286FDB"/>
    <w:rsid w:val="00292EF8"/>
    <w:rsid w:val="002A7B85"/>
    <w:rsid w:val="002E7D32"/>
    <w:rsid w:val="002F1B2D"/>
    <w:rsid w:val="00373B36"/>
    <w:rsid w:val="003F007A"/>
    <w:rsid w:val="00433D4F"/>
    <w:rsid w:val="004364B5"/>
    <w:rsid w:val="00486A4B"/>
    <w:rsid w:val="00495CB6"/>
    <w:rsid w:val="00544D22"/>
    <w:rsid w:val="005531A2"/>
    <w:rsid w:val="005A1471"/>
    <w:rsid w:val="005B5ABC"/>
    <w:rsid w:val="005F45FC"/>
    <w:rsid w:val="006026B6"/>
    <w:rsid w:val="00621C60"/>
    <w:rsid w:val="0062469D"/>
    <w:rsid w:val="006264FA"/>
    <w:rsid w:val="00672427"/>
    <w:rsid w:val="00675502"/>
    <w:rsid w:val="006871A3"/>
    <w:rsid w:val="006A5035"/>
    <w:rsid w:val="006A6A2B"/>
    <w:rsid w:val="007110C6"/>
    <w:rsid w:val="0071155D"/>
    <w:rsid w:val="007403DC"/>
    <w:rsid w:val="00756C4B"/>
    <w:rsid w:val="00787A13"/>
    <w:rsid w:val="007910D8"/>
    <w:rsid w:val="0085550E"/>
    <w:rsid w:val="0086328B"/>
    <w:rsid w:val="00864482"/>
    <w:rsid w:val="00897979"/>
    <w:rsid w:val="00897F35"/>
    <w:rsid w:val="008A2FDD"/>
    <w:rsid w:val="008A33D9"/>
    <w:rsid w:val="008D5AEE"/>
    <w:rsid w:val="00926963"/>
    <w:rsid w:val="00936B59"/>
    <w:rsid w:val="00940423"/>
    <w:rsid w:val="00962502"/>
    <w:rsid w:val="009A1FF3"/>
    <w:rsid w:val="009A27EF"/>
    <w:rsid w:val="009C00DE"/>
    <w:rsid w:val="00A17F47"/>
    <w:rsid w:val="00A20972"/>
    <w:rsid w:val="00A22AD6"/>
    <w:rsid w:val="00A3478F"/>
    <w:rsid w:val="00A40FE2"/>
    <w:rsid w:val="00A478E0"/>
    <w:rsid w:val="00A54C14"/>
    <w:rsid w:val="00A93BC9"/>
    <w:rsid w:val="00AA55F5"/>
    <w:rsid w:val="00AA6827"/>
    <w:rsid w:val="00AB51D3"/>
    <w:rsid w:val="00AD32C3"/>
    <w:rsid w:val="00B53BC1"/>
    <w:rsid w:val="00C116DB"/>
    <w:rsid w:val="00C4622C"/>
    <w:rsid w:val="00C514CC"/>
    <w:rsid w:val="00C625E9"/>
    <w:rsid w:val="00C74622"/>
    <w:rsid w:val="00C955FC"/>
    <w:rsid w:val="00C97BB4"/>
    <w:rsid w:val="00D4746F"/>
    <w:rsid w:val="00D76274"/>
    <w:rsid w:val="00D933C6"/>
    <w:rsid w:val="00DB1AF9"/>
    <w:rsid w:val="00DC4D47"/>
    <w:rsid w:val="00DE027F"/>
    <w:rsid w:val="00DE0EBC"/>
    <w:rsid w:val="00E129C0"/>
    <w:rsid w:val="00F01B9E"/>
    <w:rsid w:val="00F4689A"/>
    <w:rsid w:val="00F8467D"/>
    <w:rsid w:val="00F953A8"/>
    <w:rsid w:val="00FF4C27"/>
    <w:rsid w:val="016049FB"/>
    <w:rsid w:val="02937F36"/>
    <w:rsid w:val="04050AB5"/>
    <w:rsid w:val="04347EA8"/>
    <w:rsid w:val="06017746"/>
    <w:rsid w:val="06ED2991"/>
    <w:rsid w:val="086B27A4"/>
    <w:rsid w:val="08A16C22"/>
    <w:rsid w:val="099B05F2"/>
    <w:rsid w:val="0C1650E7"/>
    <w:rsid w:val="0DFC1525"/>
    <w:rsid w:val="127F32A9"/>
    <w:rsid w:val="13CF54BD"/>
    <w:rsid w:val="14AA4B4E"/>
    <w:rsid w:val="17FD0B4A"/>
    <w:rsid w:val="1A222146"/>
    <w:rsid w:val="1DEC0344"/>
    <w:rsid w:val="1E2E078F"/>
    <w:rsid w:val="20A86306"/>
    <w:rsid w:val="22B02B3F"/>
    <w:rsid w:val="23555409"/>
    <w:rsid w:val="237C5181"/>
    <w:rsid w:val="252C3639"/>
    <w:rsid w:val="2AAB4582"/>
    <w:rsid w:val="2AF667E4"/>
    <w:rsid w:val="2B431AC8"/>
    <w:rsid w:val="34A17B6C"/>
    <w:rsid w:val="3719136F"/>
    <w:rsid w:val="377C34E3"/>
    <w:rsid w:val="381A1571"/>
    <w:rsid w:val="3904400B"/>
    <w:rsid w:val="39DA132B"/>
    <w:rsid w:val="45A65CCC"/>
    <w:rsid w:val="4FD46550"/>
    <w:rsid w:val="545817D4"/>
    <w:rsid w:val="55617795"/>
    <w:rsid w:val="568346A3"/>
    <w:rsid w:val="57216A3C"/>
    <w:rsid w:val="59940083"/>
    <w:rsid w:val="5C5D43A0"/>
    <w:rsid w:val="5D725B4B"/>
    <w:rsid w:val="60363376"/>
    <w:rsid w:val="62BC4760"/>
    <w:rsid w:val="65723A93"/>
    <w:rsid w:val="6AE21AE1"/>
    <w:rsid w:val="6D2531AF"/>
    <w:rsid w:val="72D12E0C"/>
    <w:rsid w:val="755744B8"/>
    <w:rsid w:val="76F13F6D"/>
    <w:rsid w:val="775D5753"/>
    <w:rsid w:val="78404A35"/>
    <w:rsid w:val="79187EA7"/>
    <w:rsid w:val="796320D7"/>
    <w:rsid w:val="7A93692B"/>
    <w:rsid w:val="7E9C34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8"/>
    <w:qFormat/>
    <w:uiPriority w:val="9"/>
    <w:pPr>
      <w:keepNext/>
      <w:keepLines/>
      <w:pageBreakBefore/>
      <w:spacing w:before="340" w:after="330" w:line="578" w:lineRule="auto"/>
      <w:jc w:val="center"/>
      <w:outlineLvl w:val="0"/>
    </w:pPr>
    <w:rPr>
      <w:rFonts w:ascii="华文中宋" w:hAnsi="华文中宋" w:eastAsia="华文中宋"/>
      <w:b/>
      <w:bCs/>
      <w:kern w:val="44"/>
      <w:sz w:val="36"/>
      <w:szCs w:val="44"/>
    </w:rPr>
  </w:style>
  <w:style w:type="character" w:default="1" w:styleId="7">
    <w:name w:val="Default Paragraph Font"/>
    <w:semiHidden/>
    <w:unhideWhenUsed/>
    <w:uiPriority w:val="1"/>
  </w:style>
  <w:style w:type="table" w:default="1" w:styleId="5">
    <w:name w:val="Normal Table"/>
    <w:semiHidden/>
    <w:unhideWhenUsed/>
    <w:uiPriority w:val="99"/>
    <w:tblPr>
      <w:tblLayout w:type="fixed"/>
      <w:tblCellMar>
        <w:top w:w="0" w:type="dxa"/>
        <w:left w:w="108" w:type="dxa"/>
        <w:bottom w:w="0" w:type="dxa"/>
        <w:right w:w="108" w:type="dxa"/>
      </w:tblCellMar>
    </w:tblPr>
  </w:style>
  <w:style w:type="paragraph" w:styleId="3">
    <w:name w:val="footer"/>
    <w:basedOn w:val="1"/>
    <w:link w:val="11"/>
    <w:unhideWhenUsed/>
    <w:uiPriority w:val="99"/>
    <w:pPr>
      <w:tabs>
        <w:tab w:val="center" w:pos="4153"/>
        <w:tab w:val="right" w:pos="8306"/>
      </w:tabs>
      <w:snapToGrid w:val="0"/>
      <w:jc w:val="left"/>
    </w:pPr>
    <w:rPr>
      <w:sz w:val="18"/>
      <w:szCs w:val="18"/>
    </w:rPr>
  </w:style>
  <w:style w:type="paragraph" w:styleId="4">
    <w:name w:val="header"/>
    <w:basedOn w:val="1"/>
    <w:link w:val="10"/>
    <w:unhideWhenUsed/>
    <w:uiPriority w:val="99"/>
    <w:pPr>
      <w:pBdr>
        <w:bottom w:val="single" w:color="auto" w:sz="6" w:space="1"/>
      </w:pBdr>
      <w:tabs>
        <w:tab w:val="center" w:pos="4153"/>
        <w:tab w:val="right" w:pos="8306"/>
      </w:tabs>
      <w:snapToGrid w:val="0"/>
      <w:jc w:val="center"/>
    </w:pPr>
    <w:rPr>
      <w:sz w:val="18"/>
      <w:szCs w:val="18"/>
    </w:rPr>
  </w:style>
  <w:style w:type="table" w:styleId="6">
    <w:name w:val="Table Grid"/>
    <w:basedOn w:val="5"/>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8">
    <w:name w:val="标题 1 Char"/>
    <w:basedOn w:val="7"/>
    <w:link w:val="2"/>
    <w:uiPriority w:val="9"/>
    <w:rPr>
      <w:rFonts w:ascii="华文中宋" w:hAnsi="华文中宋" w:eastAsia="华文中宋"/>
      <w:b/>
      <w:bCs/>
      <w:kern w:val="44"/>
      <w:sz w:val="36"/>
      <w:szCs w:val="44"/>
    </w:rPr>
  </w:style>
  <w:style w:type="paragraph" w:styleId="9">
    <w:name w:val="List Paragraph"/>
    <w:basedOn w:val="1"/>
    <w:qFormat/>
    <w:uiPriority w:val="34"/>
    <w:pPr>
      <w:ind w:firstLine="420" w:firstLineChars="200"/>
    </w:pPr>
  </w:style>
  <w:style w:type="character" w:customStyle="1" w:styleId="10">
    <w:name w:val="页眉 Char"/>
    <w:basedOn w:val="7"/>
    <w:link w:val="4"/>
    <w:uiPriority w:val="99"/>
    <w:rPr>
      <w:sz w:val="18"/>
      <w:szCs w:val="18"/>
    </w:rPr>
  </w:style>
  <w:style w:type="character" w:customStyle="1" w:styleId="11">
    <w:name w:val="页脚 Char"/>
    <w:basedOn w:val="7"/>
    <w:link w:val="3"/>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3</Pages>
  <Words>146</Words>
  <Characters>837</Characters>
  <Lines>6</Lines>
  <Paragraphs>1</Paragraphs>
  <TotalTime>1</TotalTime>
  <ScaleCrop>false</ScaleCrop>
  <LinksUpToDate>false</LinksUpToDate>
  <CharactersWithSpaces>982</CharactersWithSpaces>
  <Application>WPS Office_11.1.0.8813_F1E327BC-269C-435d-A152-05C5408002CA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2016-09-23T05:12:00Z</dcterms:created>
  <dc:creator>王梦雅</dc:creator>
  <cp:lastModifiedBy>刘灿</cp:lastModifiedBy>
  <dcterms:modified xsi:type="dcterms:W3CDTF">2019-07-30T03:00:48Z</dcterms:modified>
  <cp:revision>58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2052-11.1.0.8813</vt:lpwstr>
  </property>
</Properties>
</file>