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Commentary and Recommendations</w:t>
      </w:r>
    </w:p>
    <w:p>
      <w:pPr>
        <w:pStyle w:val="BodyText"/>
      </w:pPr>
      <w:r>
        <w:rPr>
          <w:b/>
        </w:rPr>
        <w:t>Prepared for Shawna Lindsay</w:t>
      </w:r>
    </w:p>
    <w:p>
      <w:pPr>
        <w:pStyle w:val="BodyText"/>
      </w:pPr>
      <w:r>
        <w:t>June 2026</w:t>
      </w:r>
    </w:p>
    <w:p>
      <w:pPr>
        <w:spacing w:before="0" w:after="360"/>
        <w:pBdr>
          <w:bottom w:val="single" w:sz="6" w:space="1" w:color="auto"/>
        </w:pBdr>
      </w:pPr>
    </w:p>
    <w:p>
      <w:pPr>
        <w:pStyle w:val="Heading2"/>
      </w:pPr>
      <w:r>
        <w:t>Contents</w:t>
      </w:r>
    </w:p>
    <w:p>
      <w:pPr>
        <w:pStyle w:val="Compact"/>
        <w:numPr>
          <w:ilvl w:val="0"/>
          <w:numId w:val="34"/>
        </w:numPr>
      </w:pPr>
      <w:r>
        <w:t>Executive Summary</w:t>
      </w:r>
    </w:p>
    <w:p>
      <w:pPr>
        <w:pStyle w:val="Compact"/>
        <w:numPr>
          <w:ilvl w:val="0"/>
          <w:numId w:val="34"/>
        </w:numPr>
      </w:pPr>
      <w:r>
        <w:t>What the Plan Shows</w:t>
      </w:r>
    </w:p>
    <w:p>
      <w:pPr>
        <w:pStyle w:val="Compact"/>
        <w:numPr>
          <w:ilvl w:val="0"/>
          <w:numId w:val="34"/>
        </w:numPr>
      </w:pPr>
      <w:r>
        <w:t>Retirement Income Strategy</w:t>
      </w:r>
    </w:p>
    <w:p>
      <w:pPr>
        <w:pStyle w:val="Compact"/>
        <w:numPr>
          <w:ilvl w:val="0"/>
          <w:numId w:val="34"/>
        </w:numPr>
      </w:pPr>
      <w:r>
        <w:t>Investment Strategy</w:t>
      </w:r>
    </w:p>
    <w:p>
      <w:pPr>
        <w:pStyle w:val="Compact"/>
        <w:numPr>
          <w:ilvl w:val="0"/>
          <w:numId w:val="34"/>
        </w:numPr>
      </w:pPr>
      <w:r>
        <w:t>Asset Location and Tax Efficiency</w:t>
      </w:r>
    </w:p>
    <w:p>
      <w:pPr>
        <w:pStyle w:val="Compact"/>
        <w:numPr>
          <w:ilvl w:val="0"/>
          <w:numId w:val="34"/>
        </w:numPr>
      </w:pPr>
      <w:r>
        <w:t>Severance and 2026 Planning</w:t>
      </w:r>
    </w:p>
    <w:p>
      <w:pPr>
        <w:pStyle w:val="Compact"/>
        <w:numPr>
          <w:ilvl w:val="0"/>
          <w:numId w:val="34"/>
        </w:numPr>
      </w:pPr>
      <w:r>
        <w:t>Risk Management and Insurance</w:t>
      </w:r>
    </w:p>
    <w:p>
      <w:pPr>
        <w:pStyle w:val="Compact"/>
        <w:numPr>
          <w:ilvl w:val="0"/>
          <w:numId w:val="34"/>
        </w:numPr>
      </w:pPr>
      <w:r>
        <w:t>Estate and Legacy Planning</w:t>
      </w:r>
    </w:p>
    <w:p>
      <w:pPr>
        <w:pStyle w:val="Compact"/>
        <w:numPr>
          <w:ilvl w:val="0"/>
          <w:numId w:val="34"/>
        </w:numPr>
      </w:pPr>
      <w:r>
        <w:t>Recommended Action Plan</w:t>
      </w:r>
    </w:p>
    <w:p>
      <w:pPr>
        <w:pStyle w:val="Compact"/>
        <w:numPr>
          <w:ilvl w:val="0"/>
          <w:numId w:val="34"/>
        </w:numPr>
      </w:pPr>
      <w:r>
        <w:t>Ongoing Review</w:t>
      </w:r>
    </w:p>
    <w:p>
      <w:pPr>
        <w:pStyle w:val="Compact"/>
        <w:numPr>
          <w:ilvl w:val="0"/>
          <w:numId w:val="34"/>
        </w:numPr>
      </w:pPr>
      <w:r>
        <w:t>Final Comments</w:t>
      </w:r>
    </w:p>
    <w:p>
      <w:pPr>
        <w:pStyle w:val="FirstParagraph"/>
      </w:pPr>
      <w:r>
        <w:t>Appendix A - Annuities and segregated funds</w:t>
        <w:br/>
      </w:r>
      <w:r>
        <w:t>Appendix B - Trusts</w:t>
        <w:br/>
      </w:r>
      <w:r>
        <w:t>Appendix C - A note about estate litigation</w:t>
        <w:br/>
      </w:r>
      <w:r>
        <w:t>Appendix D - Family wealth transfer plan</w:t>
      </w:r>
    </w:p>
    <w:p>
      <w:pPr>
        <w:spacing w:before="0" w:after="360"/>
        <w:pBdr>
          <w:bottom w:val="single" w:sz="6" w:space="1" w:color="auto"/>
        </w:pBdr>
      </w:pPr>
    </w:p>
    <w:p>
      <w:pPr>
        <w:pStyle w:val="Heading2"/>
      </w:pPr>
      <w:r>
        <w:t>1. Executive Summary</w:t>
      </w:r>
    </w:p>
    <w:p>
      <w:pPr>
        <w:pStyle w:val="FirstParagraph"/>
      </w:pPr>
      <w:r>
        <w:t>You are entering retirement from a strong financial position. You have no debt, significant registered and non-registered assets, a fully paid home, and enough projected retirement income to support your desired lifestyle of approximately $5,000 per month, indexed to inflation, through age 95.</w:t>
      </w:r>
    </w:p>
    <w:p>
      <w:pPr>
        <w:pStyle w:val="BodyText"/>
      </w:pPr>
      <w:r>
        <w:t>The main planning issue is not whether you can retire. Based on the projections, you can. The main issue is how to arrange your assets so that your retirement income is reliable, tax-efficient, and protected from unnecessary risk.</w:t>
      </w:r>
    </w:p>
    <w:p>
      <w:pPr>
        <w:pStyle w:val="BodyText"/>
      </w:pPr>
      <w:r>
        <w:t>Your plan is built around three priorities:</w:t>
      </w:r>
    </w:p>
    <w:p>
      <w:pPr>
        <w:pStyle w:val="Compact"/>
        <w:numPr>
          <w:ilvl w:val="0"/>
          <w:numId w:val="35"/>
        </w:numPr>
      </w:pPr>
      <w:r>
        <w:t>Investing your severance and savings carefully after retirement</w:t>
      </w:r>
    </w:p>
    <w:p>
      <w:pPr>
        <w:pStyle w:val="Compact"/>
        <w:numPr>
          <w:ilvl w:val="0"/>
          <w:numId w:val="35"/>
        </w:numPr>
      </w:pPr>
      <w:r>
        <w:t>Creating a sustainable retirement income plan</w:t>
      </w:r>
    </w:p>
    <w:p>
      <w:pPr>
        <w:pStyle w:val="Compact"/>
        <w:numPr>
          <w:ilvl w:val="0"/>
          <w:numId w:val="35"/>
        </w:numPr>
      </w:pPr>
      <w:r>
        <w:t>Preserving flexibility for travel, lifestyle, health needs, and estate planning</w:t>
      </w:r>
    </w:p>
    <w:p>
      <w:pPr>
        <w:pStyle w:val="BodyText"/>
      </w:pPr>
      <w:r>
        <w:t>Because you are now retired, the focus should shift from building wealth to protecting wealth, producing dependable income, and reducing the chance that market volatility forces you to sell investments at the wrong time.</w:t>
      </w:r>
    </w:p>
    <w:p>
      <w:pPr>
        <w:pStyle w:val="BodyText"/>
      </w:pPr>
      <w:r>
        <w:t>The key recommendations are:</w:t>
      </w:r>
    </w:p>
    <w:p>
      <w:pPr>
        <w:pStyle w:val="Compact"/>
        <w:numPr>
          <w:ilvl w:val="0"/>
          <w:numId w:val="36"/>
        </w:numPr>
      </w:pPr>
      <w:r>
        <w:t>Reduce portfolio risk by rebalancing away from the current high equity exposure.</w:t>
      </w:r>
    </w:p>
    <w:p>
      <w:pPr>
        <w:pStyle w:val="Compact"/>
        <w:numPr>
          <w:ilvl w:val="0"/>
          <w:numId w:val="36"/>
        </w:numPr>
      </w:pPr>
      <w:r>
        <w:t>Introduce fixed income and guaranteed investments to support predictable retirement income.</w:t>
      </w:r>
    </w:p>
    <w:p>
      <w:pPr>
        <w:pStyle w:val="Compact"/>
        <w:numPr>
          <w:ilvl w:val="0"/>
          <w:numId w:val="36"/>
        </w:numPr>
      </w:pPr>
      <w:r>
        <w:t>Keep a practical cash reserve for near-term spending and emergencies.</w:t>
      </w:r>
    </w:p>
    <w:p>
      <w:pPr>
        <w:pStyle w:val="Compact"/>
        <w:numPr>
          <w:ilvl w:val="0"/>
          <w:numId w:val="36"/>
        </w:numPr>
      </w:pPr>
      <w:r>
        <w:t>Use a structured withdrawal plan across non-registered accounts, RRIFs, LIFs, CPP, OAS, and TFSAs.</w:t>
      </w:r>
    </w:p>
    <w:p>
      <w:pPr>
        <w:pStyle w:val="Compact"/>
        <w:numPr>
          <w:ilvl w:val="0"/>
          <w:numId w:val="36"/>
        </w:numPr>
      </w:pPr>
      <w:r>
        <w:t>Delay CPP and OAS to age 70, as modelled.</w:t>
      </w:r>
    </w:p>
    <w:p>
      <w:pPr>
        <w:pStyle w:val="Compact"/>
        <w:numPr>
          <w:ilvl w:val="0"/>
          <w:numId w:val="36"/>
        </w:numPr>
      </w:pPr>
      <w:r>
        <w:t>Convert registered retirement accounts to income-producing accounts as planned.</w:t>
      </w:r>
    </w:p>
    <w:p>
      <w:pPr>
        <w:pStyle w:val="Compact"/>
        <w:numPr>
          <w:ilvl w:val="0"/>
          <w:numId w:val="36"/>
        </w:numPr>
      </w:pPr>
      <w:r>
        <w:t>Continue using the TFSA strategically for tax-free growth and later-life flexibility.</w:t>
      </w:r>
    </w:p>
    <w:p>
      <w:pPr>
        <w:pStyle w:val="Compact"/>
        <w:numPr>
          <w:ilvl w:val="0"/>
          <w:numId w:val="36"/>
        </w:numPr>
      </w:pPr>
      <w:r>
        <w:t>Review insurance, estate planning, beneficiary designations, and incapacity documents.</w:t>
      </w:r>
    </w:p>
    <w:p>
      <w:pPr>
        <w:pStyle w:val="Compact"/>
        <w:numPr>
          <w:ilvl w:val="0"/>
          <w:numId w:val="36"/>
        </w:numPr>
      </w:pPr>
      <w:r>
        <w:t>Consolidate and simplify your investment structure with a qualified advisor or portfolio manager.</w:t>
      </w:r>
    </w:p>
    <w:p>
      <w:pPr>
        <w:pStyle w:val="BodyText"/>
      </w:pPr>
      <w:r>
        <w:t>The plan is strong, but it should not be treated as a one-time document. It should be reviewed annually and updated when markets, tax rules, health, spending, family circumstances, or estate goals change.</w:t>
      </w:r>
    </w:p>
    <w:p>
      <w:pPr>
        <w:spacing w:before="120" w:after="280"/>
        <w:pBdr>
          <w:bottom w:val="single" w:sz="6" w:space="1" w:color="auto"/>
        </w:pBdr>
      </w:pPr>
    </w:p>
    <w:p>
      <w:pPr>
        <w:pStyle w:val="Heading2"/>
      </w:pPr>
      <w:r>
        <w:t>2. What the Plan Shows</w:t>
      </w:r>
    </w:p>
    <w:p>
      <w:pPr>
        <w:pStyle w:val="Heading3"/>
      </w:pPr>
      <w:r>
        <w:t>Your starting position</w:t>
      </w:r>
    </w:p>
    <w:p>
      <w:pPr>
        <w:pStyle w:val="FirstParagraph"/>
      </w:pPr>
      <w:r>
        <w:t>You begin retirement with approximately:</w:t>
      </w:r>
    </w:p>
    <w:tbl>
      <w:tblPr>
        <w:tblStyle w:val="Table"/>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pStyle w:val="Compact"/>
              <w:spacing w:before="36" w:after="36"/>
            </w:pPr>
            <w:r>
              <w:rPr>
                <w:b w:val="0"/>
              </w:rPr>
              <w:t>Category</w:t>
            </w:r>
          </w:p>
        </w:tc>
        <w:tc>
          <w:tcPr>
            <w:tcW w:type="dxa" w:w="4680"/>
            <w:vAlign w:val="top"/>
          </w:tcPr>
          <w:p>
            <w:pPr>
              <w:pStyle w:val="Compact"/>
              <w:spacing w:before="36" w:after="36"/>
            </w:pPr>
            <w:r>
              <w:rPr>
                <w:b w:val="0"/>
              </w:rPr>
              <w:t>Amount</w:t>
            </w:r>
          </w:p>
        </w:tc>
      </w:tr>
      <w:tr>
        <w:tc>
          <w:tcPr>
            <w:tcW w:type="dxa" w:w="4680"/>
            <w:vAlign w:val="top"/>
          </w:tcPr>
          <w:p>
            <w:pPr>
              <w:pStyle w:val="Compact"/>
              <w:spacing w:before="36" w:after="36"/>
            </w:pPr>
            <w:r>
              <w:t>Financial assets</w:t>
            </w:r>
          </w:p>
        </w:tc>
        <w:tc>
          <w:tcPr>
            <w:tcW w:type="dxa" w:w="4680"/>
            <w:vAlign w:val="top"/>
          </w:tcPr>
          <w:p>
            <w:pPr>
              <w:pStyle w:val="Compact"/>
              <w:spacing w:before="36" w:after="36"/>
            </w:pPr>
            <w:r>
              <w:t>$1,518,518</w:t>
            </w:r>
          </w:p>
        </w:tc>
      </w:tr>
      <w:tr>
        <w:tc>
          <w:tcPr>
            <w:tcW w:type="dxa" w:w="4680"/>
            <w:vAlign w:val="top"/>
          </w:tcPr>
          <w:p>
            <w:pPr>
              <w:pStyle w:val="Compact"/>
              <w:spacing w:before="36" w:after="36"/>
            </w:pPr>
            <w:r>
              <w:t>Home</w:t>
            </w:r>
          </w:p>
        </w:tc>
        <w:tc>
          <w:tcPr>
            <w:tcW w:type="dxa" w:w="4680"/>
            <w:vAlign w:val="top"/>
          </w:tcPr>
          <w:p>
            <w:pPr>
              <w:pStyle w:val="Compact"/>
              <w:spacing w:before="36" w:after="36"/>
            </w:pPr>
            <w:r>
              <w:t>$461,250</w:t>
            </w:r>
          </w:p>
        </w:tc>
      </w:tr>
      <w:tr>
        <w:tc>
          <w:tcPr>
            <w:tcW w:type="dxa" w:w="4680"/>
            <w:vAlign w:val="top"/>
          </w:tcPr>
          <w:p>
            <w:pPr>
              <w:pStyle w:val="Compact"/>
              <w:spacing w:before="36" w:after="36"/>
            </w:pPr>
            <w:r>
              <w:t>Debt</w:t>
            </w:r>
          </w:p>
        </w:tc>
        <w:tc>
          <w:tcPr>
            <w:tcW w:type="dxa" w:w="4680"/>
            <w:vAlign w:val="top"/>
          </w:tcPr>
          <w:p>
            <w:pPr>
              <w:pStyle w:val="Compact"/>
              <w:spacing w:before="36" w:after="36"/>
            </w:pPr>
            <w:r>
              <w:t>$0</w:t>
            </w:r>
          </w:p>
        </w:tc>
      </w:tr>
      <w:tr>
        <w:tc>
          <w:tcPr>
            <w:tcW w:type="dxa" w:w="4680"/>
            <w:vAlign w:val="top"/>
          </w:tcPr>
          <w:p>
            <w:pPr>
              <w:pStyle w:val="Compact"/>
              <w:spacing w:before="36" w:after="36"/>
            </w:pPr>
            <w:r>
              <w:rPr>
                <w:b/>
              </w:rPr>
              <w:t>Total net worth</w:t>
            </w:r>
          </w:p>
        </w:tc>
        <w:tc>
          <w:tcPr>
            <w:tcW w:type="dxa" w:w="4680"/>
            <w:vAlign w:val="top"/>
          </w:tcPr>
          <w:p>
            <w:pPr>
              <w:pStyle w:val="Compact"/>
              <w:spacing w:before="36" w:after="36"/>
            </w:pPr>
            <w:r>
              <w:t>$1,979,768</w:t>
            </w:r>
          </w:p>
        </w:tc>
      </w:tr>
    </w:tbl>
    <w:p>
      <w:pPr>
        <w:pStyle w:val="BodyText"/>
      </w:pPr>
      <w:r>
        <w:t>This is a very solid starting point. You have meaningful investment assets, no debt pressure, and a home that provides both lifestyle security and long-term financial flexibility.</w:t>
      </w:r>
    </w:p>
    <w:p>
      <w:pPr>
        <w:pStyle w:val="BodyText"/>
      </w:pPr>
      <w:r>
        <w:t>The absence of debt is especially important. It means your retirement income does not need to support mortgage payments, consumer debt, or other major fixed obligations. This gives the plan more breathing room.</w:t>
      </w:r>
    </w:p>
    <w:p>
      <w:pPr>
        <w:pStyle w:val="Heading3"/>
      </w:pPr>
      <w:r>
        <w:t>Your retirement spending target</w:t>
      </w:r>
    </w:p>
    <w:p>
      <w:pPr>
        <w:pStyle w:val="FirstParagraph"/>
      </w:pPr>
      <w:r>
        <w:t>The plan uses retirement spending of:</w:t>
      </w:r>
    </w:p>
    <w:p>
      <w:pPr>
        <w:pStyle w:val="Compact"/>
        <w:numPr>
          <w:ilvl w:val="0"/>
          <w:numId w:val="37"/>
        </w:numPr>
      </w:pPr>
      <w:r>
        <w:t>$60,000 per year</w:t>
      </w:r>
    </w:p>
    <w:p>
      <w:pPr>
        <w:pStyle w:val="Compact"/>
        <w:numPr>
          <w:ilvl w:val="0"/>
          <w:numId w:val="37"/>
        </w:numPr>
      </w:pPr>
      <w:r>
        <w:t>$5,000 per month</w:t>
      </w:r>
    </w:p>
    <w:p>
      <w:pPr>
        <w:pStyle w:val="Compact"/>
        <w:numPr>
          <w:ilvl w:val="0"/>
          <w:numId w:val="37"/>
        </w:numPr>
      </w:pPr>
      <w:r>
        <w:t>Indexed to inflation</w:t>
      </w:r>
    </w:p>
    <w:p>
      <w:pPr>
        <w:pStyle w:val="Compact"/>
        <w:numPr>
          <w:ilvl w:val="0"/>
          <w:numId w:val="37"/>
        </w:numPr>
      </w:pPr>
      <w:r>
        <w:t>Projected through age 95</w:t>
      </w:r>
    </w:p>
    <w:p>
      <w:pPr>
        <w:pStyle w:val="BodyText"/>
      </w:pPr>
      <w:r>
        <w:t>This is a reasonable and useful planning target. It gives you a clear spending framework while still allowing the plan to test whether your assets can support your lifestyle over a long retirement.</w:t>
      </w:r>
    </w:p>
    <w:p>
      <w:pPr>
        <w:pStyle w:val="BodyText"/>
      </w:pPr>
      <w:r>
        <w:t>Spending is one of the largest variables in retirement planning. Investment returns matter, but so does how much is withdrawn each year. If your actual spending is close to the amount modelled, the plan remains easier to manage. If spending increases significantly, the plan should be updated before the increase becomes permanent.</w:t>
      </w:r>
    </w:p>
    <w:p>
      <w:pPr>
        <w:pStyle w:val="Heading3"/>
      </w:pPr>
      <w:r>
        <w:t>The assumptions behind the projections</w:t>
      </w:r>
    </w:p>
    <w:p>
      <w:pPr>
        <w:pStyle w:val="FirstParagraph"/>
      </w:pPr>
      <w:r>
        <w:t>Every projection in the plan is built on a set of assumptions. It helps to know what they are, because the results are only as reliable as the assumptions behind them. The plan uses the following rates, which are conservative but not guaranteed:</w:t>
      </w:r>
    </w:p>
    <w:tbl>
      <w:tblPr>
        <w:tblStyle w:val="Table"/>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pStyle w:val="Compact"/>
              <w:spacing w:before="36" w:after="36"/>
            </w:pPr>
            <w:r>
              <w:rPr>
                <w:b w:val="0"/>
              </w:rPr>
              <w:t>Assumption</w:t>
            </w:r>
          </w:p>
        </w:tc>
        <w:tc>
          <w:tcPr>
            <w:tcW w:type="dxa" w:w="4680"/>
            <w:vAlign w:val="top"/>
          </w:tcPr>
          <w:p>
            <w:pPr>
              <w:pStyle w:val="Compact"/>
              <w:spacing w:before="36" w:after="36"/>
            </w:pPr>
            <w:r>
              <w:rPr>
                <w:b w:val="0"/>
              </w:rPr>
              <w:t>Rate</w:t>
            </w:r>
          </w:p>
        </w:tc>
      </w:tr>
      <w:tr>
        <w:tc>
          <w:tcPr>
            <w:tcW w:type="dxa" w:w="4680"/>
            <w:vAlign w:val="top"/>
          </w:tcPr>
          <w:p>
            <w:pPr>
              <w:pStyle w:val="Compact"/>
              <w:spacing w:before="36" w:after="36"/>
            </w:pPr>
            <w:r>
              <w:t>Inflation</w:t>
            </w:r>
          </w:p>
        </w:tc>
        <w:tc>
          <w:tcPr>
            <w:tcW w:type="dxa" w:w="4680"/>
            <w:vAlign w:val="top"/>
          </w:tcPr>
          <w:p>
            <w:pPr>
              <w:pStyle w:val="Compact"/>
              <w:spacing w:before="36" w:after="36"/>
            </w:pPr>
            <w:r>
              <w:t>2.5%</w:t>
            </w:r>
          </w:p>
        </w:tc>
      </w:tr>
      <w:tr>
        <w:tc>
          <w:tcPr>
            <w:tcW w:type="dxa" w:w="4680"/>
            <w:vAlign w:val="top"/>
          </w:tcPr>
          <w:p>
            <w:pPr>
              <w:pStyle w:val="Compact"/>
              <w:spacing w:before="36" w:after="36"/>
            </w:pPr>
            <w:r>
              <w:t>Cash and cash equivalents</w:t>
            </w:r>
          </w:p>
        </w:tc>
        <w:tc>
          <w:tcPr>
            <w:tcW w:type="dxa" w:w="4680"/>
            <w:vAlign w:val="top"/>
          </w:tcPr>
          <w:p>
            <w:pPr>
              <w:pStyle w:val="Compact"/>
              <w:spacing w:before="36" w:after="36"/>
            </w:pPr>
            <w:r>
              <w:t>1.5%</w:t>
            </w:r>
          </w:p>
        </w:tc>
      </w:tr>
      <w:tr>
        <w:tc>
          <w:tcPr>
            <w:tcW w:type="dxa" w:w="4680"/>
            <w:vAlign w:val="top"/>
          </w:tcPr>
          <w:p>
            <w:pPr>
              <w:pStyle w:val="Compact"/>
              <w:spacing w:before="36" w:after="36"/>
            </w:pPr>
            <w:r>
              <w:t>Fixed income</w:t>
            </w:r>
          </w:p>
        </w:tc>
        <w:tc>
          <w:tcPr>
            <w:tcW w:type="dxa" w:w="4680"/>
            <w:vAlign w:val="top"/>
          </w:tcPr>
          <w:p>
            <w:pPr>
              <w:pStyle w:val="Compact"/>
              <w:spacing w:before="36" w:after="36"/>
            </w:pPr>
            <w:r>
              <w:t>4.0%</w:t>
            </w:r>
          </w:p>
        </w:tc>
      </w:tr>
      <w:tr>
        <w:tc>
          <w:tcPr>
            <w:tcW w:type="dxa" w:w="4680"/>
            <w:vAlign w:val="top"/>
          </w:tcPr>
          <w:p>
            <w:pPr>
              <w:pStyle w:val="Compact"/>
              <w:spacing w:before="36" w:after="36"/>
            </w:pPr>
            <w:r>
              <w:t>Equities</w:t>
            </w:r>
          </w:p>
        </w:tc>
        <w:tc>
          <w:tcPr>
            <w:tcW w:type="dxa" w:w="4680"/>
            <w:vAlign w:val="top"/>
          </w:tcPr>
          <w:p>
            <w:pPr>
              <w:pStyle w:val="Compact"/>
              <w:spacing w:before="36" w:after="36"/>
            </w:pPr>
            <w:r>
              <w:t>5.0%</w:t>
            </w:r>
          </w:p>
        </w:tc>
      </w:tr>
    </w:tbl>
    <w:p>
      <w:pPr>
        <w:pStyle w:val="BodyText"/>
      </w:pPr>
      <w:r>
        <w:t>These are steady, smoothed figures. The real world does not move in a straight line, and actual inflation and returns will vary from year to year. That is exactly why the plan is also tested against less predictable conditions, described below.</w:t>
      </w:r>
    </w:p>
    <w:p>
      <w:pPr>
        <w:pStyle w:val="Heading3"/>
      </w:pPr>
      <w:r>
        <w:t>Stress testing the plan</w:t>
      </w:r>
    </w:p>
    <w:p>
      <w:pPr>
        <w:pStyle w:val="FirstParagraph"/>
      </w:pPr>
      <w:r>
        <w:t>To see how the plan holds up when returns and inflation are not smooth, two additional scenarios were run against real-world volatility:</w:t>
      </w:r>
    </w:p>
    <w:p>
      <w:pPr>
        <w:pStyle w:val="Compact"/>
        <w:numPr>
          <w:ilvl w:val="0"/>
          <w:numId w:val="38"/>
        </w:numPr>
      </w:pPr>
      <w:r>
        <w:rPr>
          <w:b/>
        </w:rPr>
        <w:t>Historical rates.</w:t>
      </w:r>
      <w:r>
        <w:t xml:space="preserve"> Using actual historical rates from 1965 to 2026, you have sufficient assets to sustain your lifestyle to age 95.</w:t>
      </w:r>
    </w:p>
    <w:p>
      <w:pPr>
        <w:pStyle w:val="Compact"/>
        <w:numPr>
          <w:ilvl w:val="0"/>
          <w:numId w:val="38"/>
        </w:numPr>
      </w:pPr>
      <w:r>
        <w:rPr>
          <w:b/>
        </w:rPr>
        <w:t>Random rates.</w:t>
      </w:r>
      <w:r>
        <w:t xml:space="preserve"> Using randomized rates, you begin experiencing cash-flow shortfalls in 2047 (age 84).</w:t>
      </w:r>
    </w:p>
    <w:p>
      <w:pPr>
        <w:pStyle w:val="BodyText"/>
      </w:pPr>
      <w:r>
        <w:t>The historical-rate result is reassuring. The random-rate result is the one to pay attention to. It does not mean the plan fails — it means that under a poor or unlucky sequence of returns, the plan could come under pressure in your mid-80s. You should be aware of this and monitor your investments annually to confirm there is sufficient cash flow for your living needs. This is one of the main reasons the plan recommends reducing equity exposure, holding a cash reserve, and reviewing the plan every year.</w:t>
      </w:r>
    </w:p>
    <w:p>
      <w:pPr>
        <w:pStyle w:val="Heading3"/>
      </w:pPr>
      <w:r>
        <w:t>Your income sources</w:t>
      </w:r>
    </w:p>
    <w:p>
      <w:pPr>
        <w:pStyle w:val="FirstParagraph"/>
      </w:pPr>
      <w:r>
        <w:t>Your retirement income will come from several sources:</w:t>
      </w:r>
    </w:p>
    <w:p>
      <w:pPr>
        <w:pStyle w:val="Compact"/>
        <w:numPr>
          <w:ilvl w:val="0"/>
          <w:numId w:val="39"/>
        </w:numPr>
      </w:pPr>
      <w:r>
        <w:t>Non-registered investments</w:t>
      </w:r>
    </w:p>
    <w:p>
      <w:pPr>
        <w:pStyle w:val="Compact"/>
        <w:numPr>
          <w:ilvl w:val="0"/>
          <w:numId w:val="39"/>
        </w:numPr>
      </w:pPr>
      <w:r>
        <w:t>RRSPs/RRIFs</w:t>
      </w:r>
    </w:p>
    <w:p>
      <w:pPr>
        <w:pStyle w:val="Compact"/>
        <w:numPr>
          <w:ilvl w:val="0"/>
          <w:numId w:val="39"/>
        </w:numPr>
      </w:pPr>
      <w:r>
        <w:t>DCPP/LIRA/LIF assets</w:t>
      </w:r>
    </w:p>
    <w:p>
      <w:pPr>
        <w:pStyle w:val="Compact"/>
        <w:numPr>
          <w:ilvl w:val="0"/>
          <w:numId w:val="39"/>
        </w:numPr>
      </w:pPr>
      <w:r>
        <w:t>CPP</w:t>
      </w:r>
    </w:p>
    <w:p>
      <w:pPr>
        <w:pStyle w:val="Compact"/>
        <w:numPr>
          <w:ilvl w:val="0"/>
          <w:numId w:val="39"/>
        </w:numPr>
      </w:pPr>
      <w:r>
        <w:t>OAS</w:t>
      </w:r>
    </w:p>
    <w:p>
      <w:pPr>
        <w:pStyle w:val="Compact"/>
        <w:numPr>
          <w:ilvl w:val="0"/>
          <w:numId w:val="39"/>
        </w:numPr>
      </w:pPr>
      <w:r>
        <w:t>TFSA assets</w:t>
      </w:r>
    </w:p>
    <w:p>
      <w:pPr>
        <w:pStyle w:val="Compact"/>
        <w:numPr>
          <w:ilvl w:val="0"/>
          <w:numId w:val="39"/>
        </w:numPr>
      </w:pPr>
      <w:r>
        <w:t>Employment Insurance in 2026</w:t>
      </w:r>
    </w:p>
    <w:p>
      <w:pPr>
        <w:pStyle w:val="BodyText"/>
      </w:pPr>
      <w:r>
        <w:t>This is a good mix. It gives flexibility because not all accounts are taxed the same way. The goal is to draw from the right accounts at the right time, rather than simply taking money from whichever account is easiest.</w:t>
      </w:r>
    </w:p>
    <w:p>
      <w:pPr>
        <w:pStyle w:val="BodyText"/>
      </w:pPr>
      <w:r>
        <w:t>The plan delays CPP and OAS to age 70. This increases the eventual government pension income and gives your investment assets time to support the earlier retirement years.</w:t>
      </w:r>
    </w:p>
    <w:p>
      <w:pPr>
        <w:spacing w:before="120" w:after="280"/>
        <w:pBdr>
          <w:bottom w:val="single" w:sz="6" w:space="1" w:color="auto"/>
        </w:pBdr>
      </w:pPr>
    </w:p>
    <w:p>
      <w:pPr>
        <w:pStyle w:val="Heading2"/>
      </w:pPr>
      <w:r>
        <w:t>3. Retirement Income Strategy</w:t>
      </w:r>
    </w:p>
    <w:p>
      <w:pPr>
        <w:pStyle w:val="Heading3"/>
      </w:pPr>
      <w:r>
        <w:t>Overall income plan</w:t>
      </w:r>
    </w:p>
    <w:p>
      <w:pPr>
        <w:pStyle w:val="FirstParagraph"/>
      </w:pPr>
      <w:r>
        <w:t>The plan uses your assets to bridge the gap between retirement and age 70, when CPP and OAS begin. During the early retirement years, income is drawn mainly from non-registered investments and registered retirement accounts. Later, CPP and OAS become part of the income base.</w:t>
      </w:r>
    </w:p>
    <w:p>
      <w:pPr>
        <w:pStyle w:val="BodyText"/>
      </w:pPr>
      <w:r>
        <w:t>This approach makes sense because it allows you to use your own savings first while increasing future guaranteed government benefits.</w:t>
      </w:r>
    </w:p>
    <w:p>
      <w:pPr>
        <w:pStyle w:val="BodyText"/>
      </w:pPr>
      <w:r>
        <w:t>The general withdrawal order is:</w:t>
      </w:r>
    </w:p>
    <w:p>
      <w:pPr>
        <w:pStyle w:val="Compact"/>
        <w:numPr>
          <w:ilvl w:val="0"/>
          <w:numId w:val="40"/>
        </w:numPr>
      </w:pPr>
      <w:r>
        <w:t>Non-registered investments</w:t>
      </w:r>
    </w:p>
    <w:p>
      <w:pPr>
        <w:pStyle w:val="Compact"/>
        <w:numPr>
          <w:ilvl w:val="0"/>
          <w:numId w:val="40"/>
        </w:numPr>
      </w:pPr>
      <w:r>
        <w:t>RRSP/RRIF and LIRA/LIF withdrawals</w:t>
      </w:r>
    </w:p>
    <w:p>
      <w:pPr>
        <w:pStyle w:val="Compact"/>
        <w:numPr>
          <w:ilvl w:val="0"/>
          <w:numId w:val="40"/>
        </w:numPr>
      </w:pPr>
      <w:r>
        <w:t>CPP</w:t>
      </w:r>
    </w:p>
    <w:p>
      <w:pPr>
        <w:pStyle w:val="Compact"/>
        <w:numPr>
          <w:ilvl w:val="0"/>
          <w:numId w:val="40"/>
        </w:numPr>
      </w:pPr>
      <w:r>
        <w:t>OAS</w:t>
      </w:r>
    </w:p>
    <w:p>
      <w:pPr>
        <w:pStyle w:val="Compact"/>
        <w:numPr>
          <w:ilvl w:val="0"/>
          <w:numId w:val="40"/>
        </w:numPr>
      </w:pPr>
      <w:r>
        <w:t>TFSA</w:t>
      </w:r>
    </w:p>
    <w:p>
      <w:pPr>
        <w:pStyle w:val="BodyText"/>
      </w:pPr>
      <w:r>
        <w:t>The TFSA is preserved as long as possible because withdrawals are tax-free and do not increase taxable income. This makes the TFSA especially useful later in retirement, when flexibility may matter more.</w:t>
      </w:r>
    </w:p>
    <w:p>
      <w:pPr>
        <w:pStyle w:val="Heading3"/>
      </w:pPr>
      <w:r>
        <w:t>Registered account conversion</w:t>
      </w:r>
    </w:p>
    <w:p>
      <w:pPr>
        <w:pStyle w:val="FirstParagraph"/>
      </w:pPr>
      <w:r>
        <w:t>The plan follows a clear two-step timeline for your registered retirement accounts:</w:t>
      </w:r>
    </w:p>
    <w:p>
      <w:pPr>
        <w:pStyle w:val="Compact"/>
        <w:numPr>
          <w:ilvl w:val="0"/>
          <w:numId w:val="41"/>
        </w:numPr>
      </w:pPr>
      <w:r>
        <w:rPr>
          <w:b/>
        </w:rPr>
        <w:t>2026 (age 63):</w:t>
      </w:r>
      <w:r>
        <w:t xml:space="preserve"> Your RRSPs convert to RRIFs, and your LIRA converts to a LIF. You do not have to change your holdings to do this — you simply move each account as it is when setting up the RRIF or LIF.</w:t>
      </w:r>
    </w:p>
    <w:p>
      <w:pPr>
        <w:pStyle w:val="Compact"/>
        <w:numPr>
          <w:ilvl w:val="0"/>
          <w:numId w:val="41"/>
        </w:numPr>
      </w:pPr>
      <w:r>
        <w:rPr>
          <w:b/>
        </w:rPr>
        <w:t>2027 (age 64):</w:t>
      </w:r>
      <w:r>
        <w:t xml:space="preserve"> Withdrawals from your RRIF and LIF begin, following the year-by-year drawdown schedule in the plan's cash-flow projections.</w:t>
      </w:r>
    </w:p>
    <w:p>
      <w:pPr>
        <w:pStyle w:val="BodyText"/>
      </w:pPr>
      <w:r>
        <w:t>This is an important step because retirement accounts need to move from accumulation mode to income mode. The purpose is no longer simply to grow the account balance. The purpose is to create a dependable income stream while managing taxes and investment risk.</w:t>
      </w:r>
    </w:p>
    <w:p>
      <w:pPr>
        <w:pStyle w:val="BodyText"/>
      </w:pPr>
      <w:r>
        <w:t>The exact timing and structure should be reviewed before implementation to confirm:</w:t>
      </w:r>
    </w:p>
    <w:p>
      <w:pPr>
        <w:pStyle w:val="Compact"/>
        <w:numPr>
          <w:ilvl w:val="0"/>
          <w:numId w:val="42"/>
        </w:numPr>
      </w:pPr>
      <w:r>
        <w:t>Minimum withdrawal requirements</w:t>
      </w:r>
    </w:p>
    <w:p>
      <w:pPr>
        <w:pStyle w:val="Compact"/>
        <w:numPr>
          <w:ilvl w:val="0"/>
          <w:numId w:val="42"/>
        </w:numPr>
      </w:pPr>
      <w:r>
        <w:t>Tax withholding</w:t>
      </w:r>
    </w:p>
    <w:p>
      <w:pPr>
        <w:pStyle w:val="Compact"/>
        <w:numPr>
          <w:ilvl w:val="0"/>
          <w:numId w:val="42"/>
        </w:numPr>
      </w:pPr>
      <w:r>
        <w:t>Account-specific rules</w:t>
      </w:r>
    </w:p>
    <w:p>
      <w:pPr>
        <w:pStyle w:val="Compact"/>
        <w:numPr>
          <w:ilvl w:val="0"/>
          <w:numId w:val="42"/>
        </w:numPr>
      </w:pPr>
      <w:r>
        <w:t>Investment allocation inside each account</w:t>
      </w:r>
    </w:p>
    <w:p>
      <w:pPr>
        <w:pStyle w:val="Compact"/>
        <w:numPr>
          <w:ilvl w:val="0"/>
          <w:numId w:val="42"/>
        </w:numPr>
      </w:pPr>
      <w:r>
        <w:t>Whether monthly, quarterly, or annual withdrawals are best</w:t>
      </w:r>
    </w:p>
    <w:p>
      <w:pPr>
        <w:pStyle w:val="Heading3"/>
      </w:pPr>
      <w:r>
        <w:t>CPP and OAS</w:t>
      </w:r>
    </w:p>
    <w:p>
      <w:pPr>
        <w:pStyle w:val="FirstParagraph"/>
      </w:pPr>
      <w:r>
        <w:t>The plan delays CPP and OAS to age 70. This is a reasonable strategy given your asset base.</w:t>
      </w:r>
    </w:p>
    <w:p>
      <w:pPr>
        <w:pStyle w:val="BodyText"/>
      </w:pPr>
      <w:r>
        <w:t>Delaying these benefits can provide higher lifetime income later in retirement. This is valuable because later-life income can be harder to replace. It also creates a stronger guaranteed income floor, which can reduce pressure on investment assets in your 70s, 80s, and 90s.</w:t>
      </w:r>
    </w:p>
    <w:p>
      <w:pPr>
        <w:pStyle w:val="BodyText"/>
      </w:pPr>
      <w:r>
        <w:t>The plan does not project an OAS clawback under the modelled assumptions. This is positive, but it should be monitored. OAS recovery tax depends on taxable income, and taxable income can change if withdrawals, investment income, capital gains, or tax rules change.</w:t>
      </w:r>
    </w:p>
    <w:p>
      <w:pPr>
        <w:pStyle w:val="Heading3"/>
      </w:pPr>
      <w:r>
        <w:t>Recommendation</w:t>
      </w:r>
    </w:p>
    <w:p>
      <w:pPr>
        <w:pStyle w:val="FirstParagraph"/>
      </w:pPr>
      <w:r>
        <w:t>Follow the planned income structure, but review it annually.</w:t>
      </w:r>
    </w:p>
    <w:p>
      <w:pPr>
        <w:spacing w:before="120" w:after="280"/>
        <w:pBdr>
          <w:bottom w:val="single" w:sz="6" w:space="1" w:color="auto"/>
        </w:pBdr>
      </w:pPr>
    </w:p>
    <w:p>
      <w:pPr>
        <w:pStyle w:val="Heading2"/>
      </w:pPr>
      <w:r>
        <w:t>4. Investment Strategy</w:t>
      </w:r>
    </w:p>
    <w:p>
      <w:pPr>
        <w:pStyle w:val="Heading3"/>
      </w:pPr>
      <w:r>
        <w:t>Current portfolio issue</w:t>
      </w:r>
    </w:p>
    <w:p>
      <w:pPr>
        <w:pStyle w:val="FirstParagraph"/>
      </w:pPr>
      <w:r>
        <w:t>Your investment portfolio is currently heavily weighted toward equities, with approximately:</w:t>
      </w:r>
    </w:p>
    <w:tbl>
      <w:tblPr>
        <w:tblStyle w:val="Table"/>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pStyle w:val="Compact"/>
              <w:spacing w:before="36" w:after="36"/>
            </w:pPr>
            <w:r>
              <w:rPr>
                <w:b w:val="0"/>
              </w:rPr>
              <w:t>Asset class</w:t>
            </w:r>
          </w:p>
        </w:tc>
        <w:tc>
          <w:tcPr>
            <w:tcW w:type="dxa" w:w="4680"/>
            <w:vAlign w:val="top"/>
          </w:tcPr>
          <w:p>
            <w:pPr>
              <w:pStyle w:val="Compact"/>
              <w:spacing w:before="36" w:after="36"/>
            </w:pPr>
            <w:r>
              <w:rPr>
                <w:b w:val="0"/>
              </w:rPr>
              <w:t>Current allocation</w:t>
            </w:r>
          </w:p>
        </w:tc>
      </w:tr>
      <w:tr>
        <w:tc>
          <w:tcPr>
            <w:tcW w:type="dxa" w:w="4680"/>
            <w:vAlign w:val="top"/>
          </w:tcPr>
          <w:p>
            <w:pPr>
              <w:pStyle w:val="Compact"/>
              <w:spacing w:before="36" w:after="36"/>
            </w:pPr>
            <w:r>
              <w:t>Equities</w:t>
            </w:r>
          </w:p>
        </w:tc>
        <w:tc>
          <w:tcPr>
            <w:tcW w:type="dxa" w:w="4680"/>
            <w:vAlign w:val="top"/>
          </w:tcPr>
          <w:p>
            <w:pPr>
              <w:pStyle w:val="Compact"/>
              <w:spacing w:before="36" w:after="36"/>
            </w:pPr>
            <w:r>
              <w:t>73%</w:t>
            </w:r>
          </w:p>
        </w:tc>
      </w:tr>
      <w:tr>
        <w:tc>
          <w:tcPr>
            <w:tcW w:type="dxa" w:w="4680"/>
            <w:vAlign w:val="top"/>
          </w:tcPr>
          <w:p>
            <w:pPr>
              <w:pStyle w:val="Compact"/>
              <w:spacing w:before="36" w:after="36"/>
            </w:pPr>
            <w:r>
              <w:t>Fixed income</w:t>
            </w:r>
          </w:p>
        </w:tc>
        <w:tc>
          <w:tcPr>
            <w:tcW w:type="dxa" w:w="4680"/>
            <w:vAlign w:val="top"/>
          </w:tcPr>
          <w:p>
            <w:pPr>
              <w:pStyle w:val="Compact"/>
              <w:spacing w:before="36" w:after="36"/>
            </w:pPr>
            <w:r>
              <w:t>0%</w:t>
            </w:r>
          </w:p>
        </w:tc>
      </w:tr>
      <w:tr>
        <w:tc>
          <w:tcPr>
            <w:tcW w:type="dxa" w:w="4680"/>
            <w:vAlign w:val="top"/>
          </w:tcPr>
          <w:p>
            <w:pPr>
              <w:pStyle w:val="Compact"/>
              <w:spacing w:before="36" w:after="36"/>
            </w:pPr>
            <w:r>
              <w:t>Cash</w:t>
            </w:r>
          </w:p>
        </w:tc>
        <w:tc>
          <w:tcPr>
            <w:tcW w:type="dxa" w:w="4680"/>
            <w:vAlign w:val="top"/>
          </w:tcPr>
          <w:p>
            <w:pPr>
              <w:pStyle w:val="Compact"/>
              <w:spacing w:before="36" w:after="36"/>
            </w:pPr>
            <w:r>
              <w:t>27%</w:t>
            </w:r>
          </w:p>
        </w:tc>
      </w:tr>
    </w:tbl>
    <w:p>
      <w:pPr>
        <w:pStyle w:val="BodyText"/>
      </w:pPr>
      <w:r>
        <w:t>This allocation may have been suitable while you were working and accumulating assets. It is less suitable now that you are retired and drawing income from the portfolio.</w:t>
      </w:r>
    </w:p>
    <w:p>
      <w:pPr>
        <w:pStyle w:val="BodyText"/>
      </w:pPr>
      <w:r>
        <w:t>The concern is not that equities are bad. Equities remain useful for long-term growth and inflation protection. The concern is that too much equity exposure can create large short-term swings at exactly the time you need stable income.</w:t>
      </w:r>
    </w:p>
    <w:p>
      <w:pPr>
        <w:pStyle w:val="BodyText"/>
      </w:pPr>
      <w:r>
        <w:t>In retirement, a major market decline can be more damaging than it was during your working years. When you are no longer adding employment income and savings to the portfolio, losses are harder to recover from. If withdrawals are needed during a market downturn, you may be forced to sell investments after they have fallen.</w:t>
      </w:r>
    </w:p>
    <w:p>
      <w:pPr>
        <w:pStyle w:val="BodyText"/>
      </w:pPr>
      <w:r>
        <w:t>This is called sequence-of-returns risk. It is one of the most important risks for retirees, and it is the same risk the random-rate stress test highlighted in Section 2.</w:t>
      </w:r>
    </w:p>
    <w:p>
      <w:pPr>
        <w:pStyle w:val="Heading3"/>
      </w:pPr>
      <w:r>
        <w:t>Recommended target</w:t>
      </w:r>
    </w:p>
    <w:p>
      <w:pPr>
        <w:pStyle w:val="FirstParagraph"/>
      </w:pPr>
      <w:r>
        <w:t>A more balanced retirement allocation would be approximately:</w:t>
      </w:r>
    </w:p>
    <w:tbl>
      <w:tblPr>
        <w:tblStyle w:val="Table"/>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pStyle w:val="Compact"/>
              <w:spacing w:before="36" w:after="36"/>
            </w:pPr>
            <w:r>
              <w:rPr>
                <w:b w:val="0"/>
              </w:rPr>
              <w:t>Asset class</w:t>
            </w:r>
          </w:p>
        </w:tc>
        <w:tc>
          <w:tcPr>
            <w:tcW w:type="dxa" w:w="4680"/>
            <w:vAlign w:val="top"/>
          </w:tcPr>
          <w:p>
            <w:pPr>
              <w:pStyle w:val="Compact"/>
              <w:spacing w:before="36" w:after="36"/>
            </w:pPr>
            <w:r>
              <w:rPr>
                <w:b w:val="0"/>
              </w:rPr>
              <w:t>Suggested allocation</w:t>
            </w:r>
          </w:p>
        </w:tc>
      </w:tr>
      <w:tr>
        <w:tc>
          <w:tcPr>
            <w:tcW w:type="dxa" w:w="4680"/>
            <w:vAlign w:val="top"/>
          </w:tcPr>
          <w:p>
            <w:pPr>
              <w:pStyle w:val="Compact"/>
              <w:spacing w:before="36" w:after="36"/>
            </w:pPr>
            <w:r>
              <w:t>Equities</w:t>
            </w:r>
          </w:p>
        </w:tc>
        <w:tc>
          <w:tcPr>
            <w:tcW w:type="dxa" w:w="4680"/>
            <w:vAlign w:val="top"/>
          </w:tcPr>
          <w:p>
            <w:pPr>
              <w:pStyle w:val="Compact"/>
              <w:spacing w:before="36" w:after="36"/>
            </w:pPr>
            <w:r>
              <w:t>30%</w:t>
            </w:r>
          </w:p>
        </w:tc>
      </w:tr>
      <w:tr>
        <w:tc>
          <w:tcPr>
            <w:tcW w:type="dxa" w:w="4680"/>
            <w:vAlign w:val="top"/>
          </w:tcPr>
          <w:p>
            <w:pPr>
              <w:pStyle w:val="Compact"/>
              <w:spacing w:before="36" w:after="36"/>
            </w:pPr>
            <w:r>
              <w:t>Fixed income</w:t>
            </w:r>
          </w:p>
        </w:tc>
        <w:tc>
          <w:tcPr>
            <w:tcW w:type="dxa" w:w="4680"/>
            <w:vAlign w:val="top"/>
          </w:tcPr>
          <w:p>
            <w:pPr>
              <w:pStyle w:val="Compact"/>
              <w:spacing w:before="36" w:after="36"/>
            </w:pPr>
            <w:r>
              <w:t>40%</w:t>
            </w:r>
          </w:p>
        </w:tc>
      </w:tr>
      <w:tr>
        <w:tc>
          <w:tcPr>
            <w:tcW w:type="dxa" w:w="4680"/>
            <w:vAlign w:val="top"/>
          </w:tcPr>
          <w:p>
            <w:pPr>
              <w:pStyle w:val="Compact"/>
              <w:spacing w:before="36" w:after="36"/>
            </w:pPr>
            <w:r>
              <w:t>Cash / cash equivalents</w:t>
            </w:r>
          </w:p>
        </w:tc>
        <w:tc>
          <w:tcPr>
            <w:tcW w:type="dxa" w:w="4680"/>
            <w:vAlign w:val="top"/>
          </w:tcPr>
          <w:p>
            <w:pPr>
              <w:pStyle w:val="Compact"/>
              <w:spacing w:before="36" w:after="36"/>
            </w:pPr>
            <w:r>
              <w:t>30%</w:t>
            </w:r>
          </w:p>
        </w:tc>
      </w:tr>
    </w:tbl>
    <w:p>
      <w:pPr>
        <w:pStyle w:val="BodyText"/>
      </w:pPr>
      <w:r>
        <w:t>This is not a final investment prescription. It should be confirmed through a formal risk-tolerance review with a licensed investment professional. However, it is a reasonable starting point for a conservative retirement portfolio.</w:t>
      </w:r>
    </w:p>
    <w:p>
      <w:pPr>
        <w:pStyle w:val="BodyText"/>
      </w:pPr>
      <w:r>
        <w:t>The goal is to divide your assets into three broad purposes:</w:t>
      </w:r>
    </w:p>
    <w:p>
      <w:pPr>
        <w:pStyle w:val="BodyText"/>
      </w:pPr>
      <w:r>
        <w:rPr>
          <w:b/>
        </w:rPr>
        <w:t>1. Safety and liquidity.</w:t>
      </w:r>
      <w:r>
        <w:t xml:space="preserve"> This includes cash, high-interest savings, and short-term guaranteed investments. These funds are used for near-term spending, emergencies, and flexibility.</w:t>
      </w:r>
    </w:p>
    <w:p>
      <w:pPr>
        <w:pStyle w:val="BodyText"/>
      </w:pPr>
      <w:r>
        <w:rPr>
          <w:b/>
        </w:rPr>
        <w:t>2. Income and stability.</w:t>
      </w:r>
      <w:r>
        <w:t xml:space="preserve"> This includes fixed income and guaranteed investments. These assets are meant to reduce volatility and provide a more predictable source of retirement income.</w:t>
      </w:r>
    </w:p>
    <w:p>
      <w:pPr>
        <w:pStyle w:val="BodyText"/>
      </w:pPr>
      <w:r>
        <w:rPr>
          <w:b/>
        </w:rPr>
        <w:t>3. Long-term growth.</w:t>
      </w:r>
      <w:r>
        <w:t xml:space="preserve"> This includes equities. These assets help protect against inflation and support long-term growth, but they should not dominate the retirement portfolio.</w:t>
      </w:r>
    </w:p>
    <w:p>
      <w:pPr>
        <w:pStyle w:val="Heading3"/>
      </w:pPr>
      <w:r>
        <w:t>Geographic diversification</w:t>
      </w:r>
    </w:p>
    <w:p>
      <w:pPr>
        <w:pStyle w:val="FirstParagraph"/>
      </w:pPr>
      <w:r>
        <w:t>Within your equity holdings, geographic diversification matters as much as the overall equity weight. The current preferred geographic allocation is:</w:t>
      </w:r>
    </w:p>
    <w:tbl>
      <w:tblPr>
        <w:tblStyle w:val="Table"/>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pStyle w:val="Compact"/>
              <w:spacing w:before="36" w:after="36"/>
            </w:pPr>
            <w:r>
              <w:rPr>
                <w:b w:val="0"/>
              </w:rPr>
              <w:t>Region</w:t>
            </w:r>
          </w:p>
        </w:tc>
        <w:tc>
          <w:tcPr>
            <w:tcW w:type="dxa" w:w="4680"/>
            <w:vAlign w:val="top"/>
          </w:tcPr>
          <w:p>
            <w:pPr>
              <w:pStyle w:val="Compact"/>
              <w:spacing w:before="36" w:after="36"/>
            </w:pPr>
            <w:r>
              <w:rPr>
                <w:b w:val="0"/>
              </w:rPr>
              <w:t>Allocation</w:t>
            </w:r>
          </w:p>
        </w:tc>
      </w:tr>
      <w:tr>
        <w:tc>
          <w:tcPr>
            <w:tcW w:type="dxa" w:w="4680"/>
            <w:vAlign w:val="top"/>
          </w:tcPr>
          <w:p>
            <w:pPr>
              <w:pStyle w:val="Compact"/>
              <w:spacing w:before="36" w:after="36"/>
            </w:pPr>
            <w:r>
              <w:t>Canadian</w:t>
            </w:r>
          </w:p>
        </w:tc>
        <w:tc>
          <w:tcPr>
            <w:tcW w:type="dxa" w:w="4680"/>
            <w:vAlign w:val="top"/>
          </w:tcPr>
          <w:p>
            <w:pPr>
              <w:pStyle w:val="Compact"/>
              <w:spacing w:before="36" w:after="36"/>
            </w:pPr>
            <w:r>
              <w:t>33%</w:t>
            </w:r>
          </w:p>
        </w:tc>
      </w:tr>
      <w:tr>
        <w:tc>
          <w:tcPr>
            <w:tcW w:type="dxa" w:w="4680"/>
            <w:vAlign w:val="top"/>
          </w:tcPr>
          <w:p>
            <w:pPr>
              <w:pStyle w:val="Compact"/>
              <w:spacing w:before="36" w:after="36"/>
            </w:pPr>
            <w:r>
              <w:t>United States</w:t>
            </w:r>
          </w:p>
        </w:tc>
        <w:tc>
          <w:tcPr>
            <w:tcW w:type="dxa" w:w="4680"/>
            <w:vAlign w:val="top"/>
          </w:tcPr>
          <w:p>
            <w:pPr>
              <w:pStyle w:val="Compact"/>
              <w:spacing w:before="36" w:after="36"/>
            </w:pPr>
            <w:r>
              <w:t>33%</w:t>
            </w:r>
          </w:p>
        </w:tc>
      </w:tr>
      <w:tr>
        <w:tc>
          <w:tcPr>
            <w:tcW w:type="dxa" w:w="4680"/>
            <w:vAlign w:val="top"/>
          </w:tcPr>
          <w:p>
            <w:pPr>
              <w:pStyle w:val="Compact"/>
              <w:spacing w:before="36" w:after="36"/>
            </w:pPr>
            <w:r>
              <w:t>International (outside North America)</w:t>
            </w:r>
          </w:p>
        </w:tc>
        <w:tc>
          <w:tcPr>
            <w:tcW w:type="dxa" w:w="4680"/>
            <w:vAlign w:val="top"/>
          </w:tcPr>
          <w:p>
            <w:pPr>
              <w:pStyle w:val="Compact"/>
              <w:spacing w:before="36" w:after="36"/>
            </w:pPr>
            <w:r>
              <w:t>34%</w:t>
            </w:r>
          </w:p>
        </w:tc>
      </w:tr>
    </w:tbl>
    <w:p>
      <w:pPr>
        <w:pStyle w:val="BodyText"/>
      </w:pPr>
      <w:r>
        <w:t>This spreads your equity exposure across regions rather than concentrating it in any single market. The allocation is not fixed — it should be reviewed and updated from year to year and confirmed by a licensed investment advisor as part of your regular portfolio review.</w:t>
      </w:r>
    </w:p>
    <w:p>
      <w:pPr>
        <w:pStyle w:val="Heading3"/>
      </w:pPr>
      <w:r>
        <w:t>Cash reserve</w:t>
      </w:r>
    </w:p>
    <w:p>
      <w:pPr>
        <w:pStyle w:val="FirstParagraph"/>
      </w:pPr>
      <w:r>
        <w:t>Keep enough cash available to cover near-term spending and unexpected needs. A practical starting point is to hold at least $50,000 in liquid, accessible funds.</w:t>
      </w:r>
    </w:p>
    <w:p>
      <w:pPr>
        <w:pStyle w:val="BodyText"/>
      </w:pPr>
      <w:r>
        <w:t>This reserve helps prevent short-term market volatility from disrupting your lifestyle. It also gives you confidence that travel, home repairs, medical expenses, or family needs can be handled without having to sell investments at an inconvenient time.</w:t>
      </w:r>
    </w:p>
    <w:p>
      <w:pPr>
        <w:pStyle w:val="Heading3"/>
      </w:pPr>
      <w:r>
        <w:t>Cash-wedge strategy</w:t>
      </w:r>
    </w:p>
    <w:p>
      <w:pPr>
        <w:pStyle w:val="FirstParagraph"/>
      </w:pPr>
      <w:r>
        <w:t>A cash-wedge strategy is recommended. The purpose is to match near-term income needs with safe, maturing investments.</w:t>
      </w:r>
    </w:p>
    <w:p>
      <w:pPr>
        <w:pStyle w:val="BodyText"/>
      </w:pPr>
      <w:r>
        <w:t>For example, you could use a GIC ladder where a portion of your portfolio matures each year. This creates a predictable source of cash for withdrawals.</w:t>
      </w:r>
    </w:p>
    <w:p>
      <w:pPr>
        <w:pStyle w:val="BodyText"/>
      </w:pPr>
      <w:r>
        <w:t>A simple structure could be:</w:t>
      </w:r>
    </w:p>
    <w:tbl>
      <w:tblPr>
        <w:tblStyle w:val="Table"/>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pStyle w:val="Compact"/>
              <w:spacing w:before="36" w:after="36"/>
            </w:pPr>
            <w:r>
              <w:rPr>
                <w:b w:val="0"/>
              </w:rPr>
              <w:t>Year</w:t>
            </w:r>
          </w:p>
        </w:tc>
        <w:tc>
          <w:tcPr>
            <w:tcW w:type="dxa" w:w="4680"/>
            <w:vAlign w:val="top"/>
          </w:tcPr>
          <w:p>
            <w:pPr>
              <w:pStyle w:val="Compact"/>
              <w:spacing w:before="36" w:after="36"/>
            </w:pPr>
            <w:r>
              <w:rPr>
                <w:b w:val="0"/>
              </w:rPr>
              <w:t>Investment purpose</w:t>
            </w:r>
          </w:p>
        </w:tc>
      </w:tr>
      <w:tr>
        <w:tc>
          <w:tcPr>
            <w:tcW w:type="dxa" w:w="4680"/>
            <w:vAlign w:val="top"/>
          </w:tcPr>
          <w:p>
            <w:pPr>
              <w:pStyle w:val="Compact"/>
              <w:spacing w:before="36" w:after="36"/>
            </w:pPr>
            <w:r>
              <w:t>Year 1</w:t>
            </w:r>
          </w:p>
        </w:tc>
        <w:tc>
          <w:tcPr>
            <w:tcW w:type="dxa" w:w="4680"/>
            <w:vAlign w:val="top"/>
          </w:tcPr>
          <w:p>
            <w:pPr>
              <w:pStyle w:val="Compact"/>
              <w:spacing w:before="36" w:after="36"/>
            </w:pPr>
            <w:r>
              <w:t>Cash for current-year spending</w:t>
            </w:r>
          </w:p>
        </w:tc>
      </w:tr>
      <w:tr>
        <w:tc>
          <w:tcPr>
            <w:tcW w:type="dxa" w:w="4680"/>
            <w:vAlign w:val="top"/>
          </w:tcPr>
          <w:p>
            <w:pPr>
              <w:pStyle w:val="Compact"/>
              <w:spacing w:before="36" w:after="36"/>
            </w:pPr>
            <w:r>
              <w:t>Year 2</w:t>
            </w:r>
          </w:p>
        </w:tc>
        <w:tc>
          <w:tcPr>
            <w:tcW w:type="dxa" w:w="4680"/>
            <w:vAlign w:val="top"/>
          </w:tcPr>
          <w:p>
            <w:pPr>
              <w:pStyle w:val="Compact"/>
              <w:spacing w:before="36" w:after="36"/>
            </w:pPr>
            <w:r>
              <w:t>GIC maturing next year</w:t>
            </w:r>
          </w:p>
        </w:tc>
      </w:tr>
      <w:tr>
        <w:tc>
          <w:tcPr>
            <w:tcW w:type="dxa" w:w="4680"/>
            <w:vAlign w:val="top"/>
          </w:tcPr>
          <w:p>
            <w:pPr>
              <w:pStyle w:val="Compact"/>
              <w:spacing w:before="36" w:after="36"/>
            </w:pPr>
            <w:r>
              <w:t>Year 3</w:t>
            </w:r>
          </w:p>
        </w:tc>
        <w:tc>
          <w:tcPr>
            <w:tcW w:type="dxa" w:w="4680"/>
            <w:vAlign w:val="top"/>
          </w:tcPr>
          <w:p>
            <w:pPr>
              <w:pStyle w:val="Compact"/>
              <w:spacing w:before="36" w:after="36"/>
            </w:pPr>
            <w:r>
              <w:t>GIC maturing in two years</w:t>
            </w:r>
          </w:p>
        </w:tc>
      </w:tr>
      <w:tr>
        <w:tc>
          <w:tcPr>
            <w:tcW w:type="dxa" w:w="4680"/>
            <w:vAlign w:val="top"/>
          </w:tcPr>
          <w:p>
            <w:pPr>
              <w:pStyle w:val="Compact"/>
              <w:spacing w:before="36" w:after="36"/>
            </w:pPr>
            <w:r>
              <w:t>Year 4</w:t>
            </w:r>
          </w:p>
        </w:tc>
        <w:tc>
          <w:tcPr>
            <w:tcW w:type="dxa" w:w="4680"/>
            <w:vAlign w:val="top"/>
          </w:tcPr>
          <w:p>
            <w:pPr>
              <w:pStyle w:val="Compact"/>
              <w:spacing w:before="36" w:after="36"/>
            </w:pPr>
            <w:r>
              <w:t>GIC maturing in three years</w:t>
            </w:r>
          </w:p>
        </w:tc>
      </w:tr>
      <w:tr>
        <w:tc>
          <w:tcPr>
            <w:tcW w:type="dxa" w:w="4680"/>
            <w:vAlign w:val="top"/>
          </w:tcPr>
          <w:p>
            <w:pPr>
              <w:pStyle w:val="Compact"/>
              <w:spacing w:before="36" w:after="36"/>
            </w:pPr>
            <w:r>
              <w:t>Year 5</w:t>
            </w:r>
          </w:p>
        </w:tc>
        <w:tc>
          <w:tcPr>
            <w:tcW w:type="dxa" w:w="4680"/>
            <w:vAlign w:val="top"/>
          </w:tcPr>
          <w:p>
            <w:pPr>
              <w:pStyle w:val="Compact"/>
              <w:spacing w:before="36" w:after="36"/>
            </w:pPr>
            <w:r>
              <w:t>GIC maturing in four years</w:t>
            </w:r>
          </w:p>
        </w:tc>
      </w:tr>
    </w:tbl>
    <w:p>
      <w:pPr>
        <w:pStyle w:val="BodyText"/>
      </w:pPr>
      <w:r>
        <w:t>This approach reduces the need to sell equities during a market downturn. It also gives structure to the retirement income plan.</w:t>
      </w:r>
    </w:p>
    <w:p>
      <w:pPr>
        <w:pStyle w:val="Heading3"/>
      </w:pPr>
      <w:r>
        <w:t>Recommendation</w:t>
      </w:r>
    </w:p>
    <w:p>
      <w:pPr>
        <w:pStyle w:val="FirstParagraph"/>
      </w:pPr>
      <w:r>
        <w:t>Rebalance the portfolio gradually and deliberately. Do not make major investment changes without reviewing tax consequences, account types, existing holdings, fees, and risk tolerance.</w:t>
      </w:r>
    </w:p>
    <w:p>
      <w:pPr>
        <w:pStyle w:val="BodyText"/>
      </w:pPr>
      <w:r>
        <w:t>The recommended direction is clear: reduce equity concentration, introduce fixed income, maintain cash reserves, and structure the portfolio around retirement income rather than growth alone.</w:t>
      </w:r>
    </w:p>
    <w:p>
      <w:pPr>
        <w:spacing w:before="120" w:after="280"/>
        <w:pBdr>
          <w:bottom w:val="single" w:sz="6" w:space="1" w:color="auto"/>
        </w:pBdr>
      </w:pPr>
    </w:p>
    <w:p>
      <w:pPr>
        <w:pStyle w:val="Heading2"/>
      </w:pPr>
      <w:r>
        <w:t>5. Asset Location and Tax Efficiency</w:t>
      </w:r>
    </w:p>
    <w:p>
      <w:pPr>
        <w:pStyle w:val="FirstParagraph"/>
      </w:pPr>
      <w:r>
        <w:t>Not all investments belong in the same account. The same investment can produce different after-tax results depending on whether it is held in an RRSP/RRIF, TFSA, or non-registered account.</w:t>
      </w:r>
    </w:p>
    <w:p>
      <w:pPr>
        <w:pStyle w:val="BodyText"/>
      </w:pPr>
      <w:r>
        <w:t>The plan should use each account for its best purpose.</w:t>
      </w:r>
    </w:p>
    <w:p>
      <w:pPr>
        <w:pStyle w:val="Heading3"/>
      </w:pPr>
      <w:r>
        <w:t>Registered accounts</w:t>
      </w:r>
    </w:p>
    <w:p>
      <w:pPr>
        <w:pStyle w:val="FirstParagraph"/>
      </w:pPr>
      <w:r>
        <w:t>RRSPs, RRIFs, LIRAs, and LIFs are tax-deferred. Investment growth is not taxed while inside the account, but withdrawals are fully taxable.</w:t>
      </w:r>
    </w:p>
    <w:p>
      <w:pPr>
        <w:pStyle w:val="BodyText"/>
      </w:pPr>
      <w:r>
        <w:t>These accounts are generally useful for:</w:t>
      </w:r>
    </w:p>
    <w:p>
      <w:pPr>
        <w:pStyle w:val="Compact"/>
        <w:numPr>
          <w:ilvl w:val="0"/>
          <w:numId w:val="43"/>
        </w:numPr>
      </w:pPr>
      <w:r>
        <w:t>Fixed income</w:t>
      </w:r>
    </w:p>
    <w:p>
      <w:pPr>
        <w:pStyle w:val="Compact"/>
        <w:numPr>
          <w:ilvl w:val="0"/>
          <w:numId w:val="43"/>
        </w:numPr>
      </w:pPr>
      <w:r>
        <w:t>GICs</w:t>
      </w:r>
    </w:p>
    <w:p>
      <w:pPr>
        <w:pStyle w:val="Compact"/>
        <w:numPr>
          <w:ilvl w:val="0"/>
          <w:numId w:val="43"/>
        </w:numPr>
      </w:pPr>
      <w:r>
        <w:t>Lower-volatility income-producing assets</w:t>
      </w:r>
    </w:p>
    <w:p>
      <w:pPr>
        <w:pStyle w:val="Compact"/>
        <w:numPr>
          <w:ilvl w:val="0"/>
          <w:numId w:val="43"/>
        </w:numPr>
      </w:pPr>
      <w:r>
        <w:t>U.S. equity investments, when structured properly</w:t>
      </w:r>
    </w:p>
    <w:p>
      <w:pPr>
        <w:pStyle w:val="BodyText"/>
      </w:pPr>
      <w:r>
        <w:t xml:space="preserve">On that last point, the structure matters and the detail is specific. To qualify for the treaty exemption from U.S. withholding tax on dividends, U.S. holdings must be held in </w:t>
      </w:r>
      <w:r>
        <w:rPr>
          <w:b/>
        </w:rPr>
        <w:t>U.S. dollars in U.S.-listed ETFs</w:t>
      </w:r>
      <w:r>
        <w:t xml:space="preserve">. Canadian-listed ETFs that invest in U.S. equities do </w:t>
      </w:r>
      <w:r>
        <w:rPr>
          <w:b/>
        </w:rPr>
        <w:t>not</w:t>
      </w:r>
      <w:r>
        <w:t xml:space="preserve"> receive this exemption, even though they hold the same underlying companies. Keep this distinction in mind when deciding which U.S. investments to place in your registered accounts.</w:t>
      </w:r>
    </w:p>
    <w:p>
      <w:pPr>
        <w:pStyle w:val="BodyText"/>
      </w:pPr>
      <w:r>
        <w:t>Because withdrawals from registered accounts are taxable, it can be beneficial to avoid placing all of the highest-growth investments in these accounts. If the account grows too quickly, future taxable withdrawals may also be larger.</w:t>
      </w:r>
    </w:p>
    <w:p>
      <w:pPr>
        <w:pStyle w:val="Heading3"/>
      </w:pPr>
      <w:r>
        <w:t>TFSA</w:t>
      </w:r>
    </w:p>
    <w:p>
      <w:pPr>
        <w:pStyle w:val="FirstParagraph"/>
      </w:pPr>
      <w:r>
        <w:t>The TFSA is one of your most flexible retirement accounts. Growth is tax-free, and withdrawals are tax-free.</w:t>
      </w:r>
    </w:p>
    <w:p>
      <w:pPr>
        <w:pStyle w:val="BodyText"/>
      </w:pPr>
      <w:r>
        <w:t>The TFSA is useful for:</w:t>
      </w:r>
    </w:p>
    <w:p>
      <w:pPr>
        <w:pStyle w:val="Compact"/>
        <w:numPr>
          <w:ilvl w:val="0"/>
          <w:numId w:val="44"/>
        </w:numPr>
      </w:pPr>
      <w:r>
        <w:t>Long-term growth</w:t>
      </w:r>
    </w:p>
    <w:p>
      <w:pPr>
        <w:pStyle w:val="Compact"/>
        <w:numPr>
          <w:ilvl w:val="0"/>
          <w:numId w:val="44"/>
        </w:numPr>
      </w:pPr>
      <w:r>
        <w:t>Later-life flexibility</w:t>
      </w:r>
    </w:p>
    <w:p>
      <w:pPr>
        <w:pStyle w:val="Compact"/>
        <w:numPr>
          <w:ilvl w:val="0"/>
          <w:numId w:val="44"/>
        </w:numPr>
      </w:pPr>
      <w:r>
        <w:t>Emergency needs</w:t>
      </w:r>
    </w:p>
    <w:p>
      <w:pPr>
        <w:pStyle w:val="Compact"/>
        <w:numPr>
          <w:ilvl w:val="0"/>
          <w:numId w:val="44"/>
        </w:numPr>
      </w:pPr>
      <w:r>
        <w:t>Tax-free withdrawals</w:t>
      </w:r>
    </w:p>
    <w:p>
      <w:pPr>
        <w:pStyle w:val="Compact"/>
        <w:numPr>
          <w:ilvl w:val="0"/>
          <w:numId w:val="44"/>
        </w:numPr>
      </w:pPr>
      <w:r>
        <w:t>Estate planning, depending on beneficiary designation</w:t>
      </w:r>
    </w:p>
    <w:p>
      <w:pPr>
        <w:pStyle w:val="BodyText"/>
      </w:pPr>
      <w:r>
        <w:t>Continue contributing to the TFSA where contribution room is available. The plan models ongoing TFSA contributions, which is a good strategy because it gradually shifts more of your wealth into a tax-free environment.</w:t>
      </w:r>
    </w:p>
    <w:p>
      <w:pPr>
        <w:pStyle w:val="Heading3"/>
      </w:pPr>
      <w:r>
        <w:t>Non-registered accounts</w:t>
      </w:r>
    </w:p>
    <w:p>
      <w:pPr>
        <w:pStyle w:val="FirstParagraph"/>
      </w:pPr>
      <w:r>
        <w:t>Non-registered accounts are taxable each year, so investment selection matters.</w:t>
      </w:r>
    </w:p>
    <w:p>
      <w:pPr>
        <w:pStyle w:val="BodyText"/>
      </w:pPr>
      <w:r>
        <w:t>In general, non-registered accounts are better suited for:</w:t>
      </w:r>
    </w:p>
    <w:p>
      <w:pPr>
        <w:pStyle w:val="Compact"/>
        <w:numPr>
          <w:ilvl w:val="0"/>
          <w:numId w:val="45"/>
        </w:numPr>
      </w:pPr>
      <w:r>
        <w:t>Capital gains-oriented investments</w:t>
      </w:r>
    </w:p>
    <w:p>
      <w:pPr>
        <w:pStyle w:val="Compact"/>
        <w:numPr>
          <w:ilvl w:val="0"/>
          <w:numId w:val="45"/>
        </w:numPr>
      </w:pPr>
      <w:r>
        <w:t>Canadian dividend-paying investments</w:t>
      </w:r>
    </w:p>
    <w:p>
      <w:pPr>
        <w:pStyle w:val="Compact"/>
        <w:numPr>
          <w:ilvl w:val="0"/>
          <w:numId w:val="45"/>
        </w:numPr>
      </w:pPr>
      <w:r>
        <w:t>Broad equity funds</w:t>
      </w:r>
    </w:p>
    <w:p>
      <w:pPr>
        <w:pStyle w:val="Compact"/>
        <w:numPr>
          <w:ilvl w:val="0"/>
          <w:numId w:val="45"/>
        </w:numPr>
      </w:pPr>
      <w:r>
        <w:t>Tax-efficient investment structures</w:t>
      </w:r>
    </w:p>
    <w:p>
      <w:pPr>
        <w:pStyle w:val="BodyText"/>
      </w:pPr>
      <w:r>
        <w:t>Interest income is usually less favourable in a non-registered account because it is taxed more heavily than capital gains or eligible Canadian dividends.</w:t>
      </w:r>
    </w:p>
    <w:p>
      <w:pPr>
        <w:pStyle w:val="Heading3"/>
      </w:pPr>
      <w:r>
        <w:t>The age 65 (age amount) tax credit</w:t>
      </w:r>
    </w:p>
    <w:p>
      <w:pPr>
        <w:pStyle w:val="FirstParagraph"/>
      </w:pPr>
      <w:r>
        <w:t>Managing your taxable income in retirement also helps preserve certain tax credits. One worth knowing is the age amount tax credit, a non-refundable credit claimed on line 30100 of the personal income tax return. It is available to individuals who are aged 65 or older at the end of the taxation year.</w:t>
      </w:r>
    </w:p>
    <w:p>
      <w:pPr>
        <w:pStyle w:val="Compact"/>
        <w:numPr>
          <w:ilvl w:val="0"/>
          <w:numId w:val="46"/>
        </w:numPr>
      </w:pPr>
      <w:r>
        <w:t>The credit amount is $8,396.</w:t>
      </w:r>
    </w:p>
    <w:p>
      <w:pPr>
        <w:pStyle w:val="Compact"/>
        <w:numPr>
          <w:ilvl w:val="0"/>
          <w:numId w:val="46"/>
        </w:numPr>
      </w:pPr>
      <w:r>
        <w:t>The full credit is available for total taxable income up to $42,335.</w:t>
      </w:r>
    </w:p>
    <w:p>
      <w:pPr>
        <w:pStyle w:val="Compact"/>
        <w:numPr>
          <w:ilvl w:val="0"/>
          <w:numId w:val="46"/>
        </w:numPr>
      </w:pPr>
      <w:r>
        <w:t>The credit is gradually clawed back as income rises and is eliminated entirely at $98,309.</w:t>
      </w:r>
    </w:p>
    <w:p>
      <w:pPr>
        <w:pStyle w:val="BodyText"/>
      </w:pPr>
      <w:r>
        <w:t>This is one more reason that keeping taxable income at a reasonable level — through the drawdown order and asset-location choices above — has value beyond the tax bill itself.</w:t>
      </w:r>
    </w:p>
    <w:p>
      <w:pPr>
        <w:pStyle w:val="Heading3"/>
      </w:pPr>
      <w:r>
        <w:t>Recommendation</w:t>
      </w:r>
    </w:p>
    <w:p>
      <w:pPr>
        <w:pStyle w:val="FirstParagraph"/>
      </w:pPr>
      <w:r>
        <w:t>Review asset location across all accounts before implementing the investment strategy. The goal is not just to choose good investments. The goal is to place each type of investment in the account where it works most efficiently after tax.</w:t>
      </w:r>
    </w:p>
    <w:p>
      <w:pPr>
        <w:spacing w:before="120" w:after="280"/>
        <w:pBdr>
          <w:bottom w:val="single" w:sz="6" w:space="1" w:color="auto"/>
        </w:pBdr>
      </w:pPr>
    </w:p>
    <w:p>
      <w:pPr>
        <w:pStyle w:val="Heading2"/>
      </w:pPr>
      <w:r>
        <w:t>6. Severance and 2026 Planning</w:t>
      </w:r>
    </w:p>
    <w:p>
      <w:pPr>
        <w:pStyle w:val="FirstParagraph"/>
      </w:pPr>
      <w:r>
        <w:t>The plan includes a major 2026 planning year, including employment income, Employment Insurance, and a significant RRSP contribution.</w:t>
      </w:r>
    </w:p>
    <w:p>
      <w:pPr>
        <w:pStyle w:val="BodyText"/>
      </w:pPr>
      <w:r>
        <w:t>This year should be handled carefully because 2026 may be one of the most important tax years in the plan.</w:t>
      </w:r>
    </w:p>
    <w:p>
      <w:pPr>
        <w:pStyle w:val="Heading3"/>
      </w:pPr>
      <w:r>
        <w:t>RRSP contribution</w:t>
      </w:r>
    </w:p>
    <w:p>
      <w:pPr>
        <w:pStyle w:val="FirstParagraph"/>
      </w:pPr>
      <w:r>
        <w:t>The plan models an $85,000 RRSP contribution in 2026.</w:t>
      </w:r>
    </w:p>
    <w:p>
      <w:pPr>
        <w:pStyle w:val="Heading3"/>
      </w:pPr>
      <w:r>
        <w:t>Severance investment timing</w:t>
      </w:r>
    </w:p>
    <w:p>
      <w:pPr>
        <w:pStyle w:val="FirstParagraph"/>
      </w:pPr>
      <w:r>
        <w:t>The severance and related funds should not be invested all at once without a plan. The money should be divided based on purpose.</w:t>
      </w:r>
    </w:p>
    <w:p>
      <w:pPr>
        <w:pStyle w:val="BodyText"/>
      </w:pPr>
      <w:r>
        <w:t>A practical approach is:</w:t>
      </w:r>
    </w:p>
    <w:tbl>
      <w:tblPr>
        <w:tblStyle w:val="Table"/>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pStyle w:val="Compact"/>
              <w:spacing w:before="36" w:after="36"/>
            </w:pPr>
            <w:r>
              <w:rPr>
                <w:b w:val="0"/>
              </w:rPr>
              <w:t>Purpose</w:t>
            </w:r>
          </w:p>
        </w:tc>
        <w:tc>
          <w:tcPr>
            <w:tcW w:type="dxa" w:w="4680"/>
            <w:vAlign w:val="top"/>
          </w:tcPr>
          <w:p>
            <w:pPr>
              <w:pStyle w:val="Compact"/>
              <w:spacing w:before="36" w:after="36"/>
            </w:pPr>
            <w:r>
              <w:rPr>
                <w:b w:val="0"/>
              </w:rPr>
              <w:t>Suggested use</w:t>
            </w:r>
          </w:p>
        </w:tc>
      </w:tr>
      <w:tr>
        <w:tc>
          <w:tcPr>
            <w:tcW w:type="dxa" w:w="4680"/>
            <w:vAlign w:val="top"/>
          </w:tcPr>
          <w:p>
            <w:pPr>
              <w:pStyle w:val="Compact"/>
              <w:spacing w:before="36" w:after="36"/>
            </w:pPr>
            <w:r>
              <w:t>Near-term spending</w:t>
            </w:r>
          </w:p>
        </w:tc>
        <w:tc>
          <w:tcPr>
            <w:tcW w:type="dxa" w:w="4680"/>
            <w:vAlign w:val="top"/>
          </w:tcPr>
          <w:p>
            <w:pPr>
              <w:pStyle w:val="Compact"/>
              <w:spacing w:before="36" w:after="36"/>
            </w:pPr>
            <w:r>
              <w:t>Cash or high-interest savings</w:t>
            </w:r>
          </w:p>
        </w:tc>
      </w:tr>
      <w:tr>
        <w:tc>
          <w:tcPr>
            <w:tcW w:type="dxa" w:w="4680"/>
            <w:vAlign w:val="top"/>
          </w:tcPr>
          <w:p>
            <w:pPr>
              <w:pStyle w:val="Compact"/>
              <w:spacing w:before="36" w:after="36"/>
            </w:pPr>
            <w:r>
              <w:t>1–5 year income needs</w:t>
            </w:r>
          </w:p>
        </w:tc>
        <w:tc>
          <w:tcPr>
            <w:tcW w:type="dxa" w:w="4680"/>
            <w:vAlign w:val="top"/>
          </w:tcPr>
          <w:p>
            <w:pPr>
              <w:pStyle w:val="Compact"/>
              <w:spacing w:before="36" w:after="36"/>
            </w:pPr>
            <w:r>
              <w:t>GIC ladder or short-term fixed income</w:t>
            </w:r>
          </w:p>
        </w:tc>
      </w:tr>
      <w:tr>
        <w:tc>
          <w:tcPr>
            <w:tcW w:type="dxa" w:w="4680"/>
            <w:vAlign w:val="top"/>
          </w:tcPr>
          <w:p>
            <w:pPr>
              <w:pStyle w:val="Compact"/>
              <w:spacing w:before="36" w:after="36"/>
            </w:pPr>
            <w:r>
              <w:t>Long-term retirement growth</w:t>
            </w:r>
          </w:p>
        </w:tc>
        <w:tc>
          <w:tcPr>
            <w:tcW w:type="dxa" w:w="4680"/>
            <w:vAlign w:val="top"/>
          </w:tcPr>
          <w:p>
            <w:pPr>
              <w:pStyle w:val="Compact"/>
              <w:spacing w:before="36" w:after="36"/>
            </w:pPr>
            <w:r>
              <w:t>Diversified portfolio</w:t>
            </w:r>
          </w:p>
        </w:tc>
      </w:tr>
      <w:tr>
        <w:tc>
          <w:tcPr>
            <w:tcW w:type="dxa" w:w="4680"/>
            <w:vAlign w:val="top"/>
          </w:tcPr>
          <w:p>
            <w:pPr>
              <w:pStyle w:val="Compact"/>
              <w:spacing w:before="36" w:after="36"/>
            </w:pPr>
            <w:r>
              <w:t>Tax planning</w:t>
            </w:r>
          </w:p>
        </w:tc>
        <w:tc>
          <w:tcPr>
            <w:tcW w:type="dxa" w:w="4680"/>
            <w:vAlign w:val="top"/>
          </w:tcPr>
          <w:p>
            <w:pPr>
              <w:pStyle w:val="Compact"/>
              <w:spacing w:before="36" w:after="36"/>
            </w:pPr>
            <w:r>
              <w:t>RRSP contribution, TFSA contribution, and account rebalancing</w:t>
            </w:r>
          </w:p>
        </w:tc>
      </w:tr>
    </w:tbl>
    <w:p>
      <w:pPr>
        <w:pStyle w:val="Heading3"/>
      </w:pPr>
      <w:r>
        <w:t>Recommendation</w:t>
      </w:r>
    </w:p>
    <w:p>
      <w:pPr>
        <w:pStyle w:val="FirstParagraph"/>
      </w:pPr>
      <w:r>
        <w:t>Treat 2026 as an implementation year. Complete the RRSP strategy, set the cash reserve, begin the portfolio transition, and establish the retirement withdrawal process.</w:t>
      </w:r>
    </w:p>
    <w:p>
      <w:pPr>
        <w:spacing w:before="120" w:after="280"/>
        <w:pBdr>
          <w:bottom w:val="single" w:sz="6" w:space="1" w:color="auto"/>
        </w:pBdr>
      </w:pPr>
    </w:p>
    <w:p>
      <w:pPr>
        <w:pStyle w:val="Heading2"/>
      </w:pPr>
      <w:r>
        <w:t>7. Risk Management and Insurance</w:t>
      </w:r>
    </w:p>
    <w:p>
      <w:pPr>
        <w:pStyle w:val="FirstParagraph"/>
      </w:pPr>
      <w:r>
        <w:t>Your financial plan is strong, but retirement planning is not only about investment returns. It is also about protecting against events that could disrupt the plan.</w:t>
      </w:r>
    </w:p>
    <w:p>
      <w:pPr>
        <w:pStyle w:val="BodyText"/>
      </w:pPr>
      <w:r>
        <w:t>The most important risks to review are:</w:t>
      </w:r>
    </w:p>
    <w:p>
      <w:pPr>
        <w:pStyle w:val="Compact"/>
        <w:numPr>
          <w:ilvl w:val="0"/>
          <w:numId w:val="47"/>
        </w:numPr>
      </w:pPr>
      <w:r>
        <w:t>Market volatility</w:t>
      </w:r>
    </w:p>
    <w:p>
      <w:pPr>
        <w:pStyle w:val="Compact"/>
        <w:numPr>
          <w:ilvl w:val="0"/>
          <w:numId w:val="47"/>
        </w:numPr>
      </w:pPr>
      <w:r>
        <w:t>Inflation</w:t>
      </w:r>
    </w:p>
    <w:p>
      <w:pPr>
        <w:pStyle w:val="Compact"/>
        <w:numPr>
          <w:ilvl w:val="0"/>
          <w:numId w:val="47"/>
        </w:numPr>
      </w:pPr>
      <w:r>
        <w:t>Health costs</w:t>
      </w:r>
    </w:p>
    <w:p>
      <w:pPr>
        <w:pStyle w:val="Compact"/>
        <w:numPr>
          <w:ilvl w:val="0"/>
          <w:numId w:val="47"/>
        </w:numPr>
      </w:pPr>
      <w:r>
        <w:t>Long-term care needs</w:t>
      </w:r>
    </w:p>
    <w:p>
      <w:pPr>
        <w:pStyle w:val="Compact"/>
        <w:numPr>
          <w:ilvl w:val="0"/>
          <w:numId w:val="47"/>
        </w:numPr>
      </w:pPr>
      <w:r>
        <w:t>Incapacity</w:t>
      </w:r>
    </w:p>
    <w:p>
      <w:pPr>
        <w:pStyle w:val="Compact"/>
        <w:numPr>
          <w:ilvl w:val="0"/>
          <w:numId w:val="47"/>
        </w:numPr>
      </w:pPr>
      <w:r>
        <w:t>Premature death</w:t>
      </w:r>
    </w:p>
    <w:p>
      <w:pPr>
        <w:pStyle w:val="Compact"/>
        <w:numPr>
          <w:ilvl w:val="0"/>
          <w:numId w:val="47"/>
        </w:numPr>
      </w:pPr>
      <w:r>
        <w:t>Estate tax</w:t>
      </w:r>
    </w:p>
    <w:p>
      <w:pPr>
        <w:pStyle w:val="Compact"/>
        <w:numPr>
          <w:ilvl w:val="0"/>
          <w:numId w:val="47"/>
        </w:numPr>
      </w:pPr>
      <w:r>
        <w:t>Family conflict or unclear estate instructions</w:t>
      </w:r>
    </w:p>
    <w:p>
      <w:pPr>
        <w:pStyle w:val="Heading3"/>
      </w:pPr>
      <w:r>
        <w:t>Life insurance and estate liquidity</w:t>
      </w:r>
    </w:p>
    <w:p>
      <w:pPr>
        <w:pStyle w:val="FirstParagraph"/>
      </w:pPr>
      <w:r>
        <w:t>You may not need life insurance for income replacement in the traditional sense, because you are retired and your assets appear sufficient to support your retirement.</w:t>
      </w:r>
    </w:p>
    <w:p>
      <w:pPr>
        <w:pStyle w:val="BodyText"/>
      </w:pPr>
      <w:r>
        <w:t>However, life insurance may still be useful for estate planning. It can provide liquidity to pay taxes, equalize inheritances, support family members, or fund charitable gifts.</w:t>
      </w:r>
    </w:p>
    <w:p>
      <w:pPr>
        <w:pStyle w:val="BodyText"/>
      </w:pPr>
      <w:r>
        <w:t xml:space="preserve">The existing planning notes identify a significant estate tax exposure arising from unrealized gains, registered account taxation, and remaining assets at death. Depending on the year of death, the estate tax bill reaches </w:t>
      </w:r>
      <w:r>
        <w:rPr>
          <w:b/>
        </w:rPr>
        <w:t>$627,038</w:t>
      </w:r>
      <w:r>
        <w:t>. This should be reviewed with a tax professional and estate lawyer.</w:t>
      </w:r>
    </w:p>
    <w:p>
      <w:pPr>
        <w:pStyle w:val="BodyText"/>
      </w:pPr>
      <w:r>
        <w:t>Possible funding options include:</w:t>
      </w:r>
    </w:p>
    <w:p>
      <w:pPr>
        <w:pStyle w:val="Compact"/>
        <w:numPr>
          <w:ilvl w:val="0"/>
          <w:numId w:val="48"/>
        </w:numPr>
      </w:pPr>
      <w:r>
        <w:t>Saving or investing for the future tax bill</w:t>
      </w:r>
    </w:p>
    <w:p>
      <w:pPr>
        <w:pStyle w:val="Compact"/>
        <w:numPr>
          <w:ilvl w:val="0"/>
          <w:numId w:val="48"/>
        </w:numPr>
      </w:pPr>
      <w:r>
        <w:t>Selling assets</w:t>
      </w:r>
    </w:p>
    <w:p>
      <w:pPr>
        <w:pStyle w:val="Compact"/>
        <w:numPr>
          <w:ilvl w:val="0"/>
          <w:numId w:val="48"/>
        </w:numPr>
      </w:pPr>
      <w:r>
        <w:t>Borrowing against estate assets</w:t>
      </w:r>
    </w:p>
    <w:p>
      <w:pPr>
        <w:pStyle w:val="Compact"/>
        <w:numPr>
          <w:ilvl w:val="0"/>
          <w:numId w:val="48"/>
        </w:numPr>
      </w:pPr>
      <w:r>
        <w:t>Using permanent life insurance</w:t>
      </w:r>
    </w:p>
    <w:p>
      <w:pPr>
        <w:pStyle w:val="Compact"/>
        <w:numPr>
          <w:ilvl w:val="0"/>
          <w:numId w:val="48"/>
        </w:numPr>
      </w:pPr>
      <w:r>
        <w:t>Using an estate bond strategy</w:t>
      </w:r>
    </w:p>
    <w:p>
      <w:pPr>
        <w:pStyle w:val="Compact"/>
        <w:numPr>
          <w:ilvl w:val="0"/>
          <w:numId w:val="48"/>
        </w:numPr>
      </w:pPr>
      <w:r>
        <w:t>Charitable giving strategies</w:t>
      </w:r>
    </w:p>
    <w:p>
      <w:pPr>
        <w:pStyle w:val="BodyText"/>
      </w:pPr>
      <w:r>
        <w:t>The right choice depends on your estate goals. If your main goal is simplicity and liquidity, insurance may help. If your main goal is flexibility during your lifetime, retaining control of investments may be preferable. (Annuities, segregated funds, the estate bond, and a family wealth transfer plan are described in more detail in the Appendix.)</w:t>
      </w:r>
    </w:p>
    <w:p>
      <w:pPr>
        <w:pStyle w:val="Heading3"/>
      </w:pPr>
      <w:r>
        <w:t>Critical illness and health planning</w:t>
      </w:r>
    </w:p>
    <w:p>
      <w:pPr>
        <w:pStyle w:val="FirstParagraph"/>
      </w:pPr>
      <w:r>
        <w:t>A serious health event can create costs that are not fully covered by public health care. It can also force a change in lifestyle, housing, travel plans, or support needs.</w:t>
      </w:r>
    </w:p>
    <w:p>
      <w:pPr>
        <w:pStyle w:val="BodyText"/>
      </w:pPr>
      <w:r>
        <w:t>Review whether critical illness coverage, private health and dental coverage, or other protection is appropriate. The goal is not to over-insure. The goal is to avoid having a health event force an unnecessary drawdown of retirement capital.</w:t>
      </w:r>
    </w:p>
    <w:p>
      <w:pPr>
        <w:pStyle w:val="Heading3"/>
      </w:pPr>
      <w:r>
        <w:t>Long-term care</w:t>
      </w:r>
    </w:p>
    <w:p>
      <w:pPr>
        <w:pStyle w:val="FirstParagraph"/>
      </w:pPr>
      <w:r>
        <w:t>Long-term care is one of the most important later-life planning issues. It should be planned for even if you never need it.</w:t>
      </w:r>
    </w:p>
    <w:p>
      <w:pPr>
        <w:pStyle w:val="BodyText"/>
      </w:pPr>
      <w:r>
        <w:t>Potential funding sources include:</w:t>
      </w:r>
    </w:p>
    <w:p>
      <w:pPr>
        <w:pStyle w:val="Compact"/>
        <w:numPr>
          <w:ilvl w:val="0"/>
          <w:numId w:val="49"/>
        </w:numPr>
      </w:pPr>
      <w:r>
        <w:t>TFSA assets</w:t>
      </w:r>
    </w:p>
    <w:p>
      <w:pPr>
        <w:pStyle w:val="Compact"/>
        <w:numPr>
          <w:ilvl w:val="0"/>
          <w:numId w:val="49"/>
        </w:numPr>
      </w:pPr>
      <w:r>
        <w:t>Non-registered investments</w:t>
      </w:r>
    </w:p>
    <w:p>
      <w:pPr>
        <w:pStyle w:val="Compact"/>
        <w:numPr>
          <w:ilvl w:val="0"/>
          <w:numId w:val="49"/>
        </w:numPr>
      </w:pPr>
      <w:r>
        <w:t>Home equity</w:t>
      </w:r>
    </w:p>
    <w:p>
      <w:pPr>
        <w:pStyle w:val="Compact"/>
        <w:numPr>
          <w:ilvl w:val="0"/>
          <w:numId w:val="49"/>
        </w:numPr>
      </w:pPr>
      <w:r>
        <w:t>Long-term care insurance, where available and suitable</w:t>
      </w:r>
    </w:p>
    <w:p>
      <w:pPr>
        <w:pStyle w:val="Compact"/>
        <w:numPr>
          <w:ilvl w:val="0"/>
          <w:numId w:val="49"/>
        </w:numPr>
      </w:pPr>
      <w:r>
        <w:t>Permanent insurance with accessible cash value</w:t>
      </w:r>
    </w:p>
    <w:p>
      <w:pPr>
        <w:pStyle w:val="Compact"/>
        <w:numPr>
          <w:ilvl w:val="0"/>
          <w:numId w:val="49"/>
        </w:numPr>
      </w:pPr>
      <w:r>
        <w:t>Family support, where appropriate</w:t>
      </w:r>
    </w:p>
    <w:p>
      <w:pPr>
        <w:pStyle w:val="BodyText"/>
      </w:pPr>
      <w:r>
        <w:t>The TFSA is especially useful here because it can provide tax-free funds later in retirement without increasing taxable income.</w:t>
      </w:r>
    </w:p>
    <w:p>
      <w:pPr>
        <w:pStyle w:val="Heading3"/>
      </w:pPr>
      <w:r>
        <w:t>Travel insurance</w:t>
      </w:r>
    </w:p>
    <w:p>
      <w:pPr>
        <w:pStyle w:val="FirstParagraph"/>
      </w:pPr>
      <w:r>
        <w:t>Because travel is one of your goals, travel insurance should be part of your retirement routine. Ensure you have adequate emergency medical coverage whenever you travel outside your province or outside Canada.</w:t>
      </w:r>
    </w:p>
    <w:p>
      <w:pPr>
        <w:pStyle w:val="Heading3"/>
      </w:pPr>
      <w:r>
        <w:t>Recommendation</w:t>
      </w:r>
    </w:p>
    <w:p>
      <w:pPr>
        <w:pStyle w:val="FirstParagraph"/>
      </w:pPr>
      <w:r>
        <w:t>Review insurance through the lens of retirement protection and estate planning, not income replacement alone. The question is not simply "Do I need insurance?" The better question is "Which risks would force me or my estate to sell assets at the wrong time?"</w:t>
      </w:r>
    </w:p>
    <w:p>
      <w:pPr>
        <w:spacing w:before="120" w:after="280"/>
        <w:pBdr>
          <w:bottom w:val="single" w:sz="6" w:space="1" w:color="auto"/>
        </w:pBdr>
      </w:pPr>
    </w:p>
    <w:p>
      <w:pPr>
        <w:pStyle w:val="Heading2"/>
      </w:pPr>
      <w:r>
        <w:t>8. Estate and Legacy Planning</w:t>
      </w:r>
    </w:p>
    <w:p>
      <w:pPr>
        <w:pStyle w:val="FirstParagraph"/>
      </w:pPr>
      <w:r>
        <w:t>Your plan suggests that your assets are likely to last through retirement. That means estate planning becomes increasingly important.</w:t>
      </w:r>
    </w:p>
    <w:p>
      <w:pPr>
        <w:pStyle w:val="BodyText"/>
      </w:pPr>
      <w:r>
        <w:t>Estate planning is not only about tax. It is about clarity, control, family harmony, privacy, and making sure your wishes are carried out.</w:t>
      </w:r>
    </w:p>
    <w:p>
      <w:pPr>
        <w:pStyle w:val="Heading3"/>
      </w:pPr>
      <w:r>
        <w:t>Beneficiary designations</w:t>
      </w:r>
    </w:p>
    <w:p>
      <w:pPr>
        <w:pStyle w:val="FirstParagraph"/>
      </w:pPr>
      <w:r>
        <w:t>Review all beneficiary designations on:</w:t>
      </w:r>
    </w:p>
    <w:p>
      <w:pPr>
        <w:pStyle w:val="Compact"/>
        <w:numPr>
          <w:ilvl w:val="0"/>
          <w:numId w:val="50"/>
        </w:numPr>
      </w:pPr>
      <w:r>
        <w:t>RRSPs</w:t>
      </w:r>
    </w:p>
    <w:p>
      <w:pPr>
        <w:pStyle w:val="Compact"/>
        <w:numPr>
          <w:ilvl w:val="0"/>
          <w:numId w:val="50"/>
        </w:numPr>
      </w:pPr>
      <w:r>
        <w:t>RRIFs</w:t>
      </w:r>
    </w:p>
    <w:p>
      <w:pPr>
        <w:pStyle w:val="Compact"/>
        <w:numPr>
          <w:ilvl w:val="0"/>
          <w:numId w:val="50"/>
        </w:numPr>
      </w:pPr>
      <w:r>
        <w:t>LIRAs</w:t>
      </w:r>
    </w:p>
    <w:p>
      <w:pPr>
        <w:pStyle w:val="Compact"/>
        <w:numPr>
          <w:ilvl w:val="0"/>
          <w:numId w:val="50"/>
        </w:numPr>
      </w:pPr>
      <w:r>
        <w:t>LIFs</w:t>
      </w:r>
    </w:p>
    <w:p>
      <w:pPr>
        <w:pStyle w:val="Compact"/>
        <w:numPr>
          <w:ilvl w:val="0"/>
          <w:numId w:val="50"/>
        </w:numPr>
      </w:pPr>
      <w:r>
        <w:t>TFSAs</w:t>
      </w:r>
    </w:p>
    <w:p>
      <w:pPr>
        <w:pStyle w:val="Compact"/>
        <w:numPr>
          <w:ilvl w:val="0"/>
          <w:numId w:val="50"/>
        </w:numPr>
      </w:pPr>
      <w:r>
        <w:t>Pensions</w:t>
      </w:r>
    </w:p>
    <w:p>
      <w:pPr>
        <w:pStyle w:val="Compact"/>
        <w:numPr>
          <w:ilvl w:val="0"/>
          <w:numId w:val="50"/>
        </w:numPr>
      </w:pPr>
      <w:r>
        <w:t>Life insurance</w:t>
      </w:r>
    </w:p>
    <w:p>
      <w:pPr>
        <w:pStyle w:val="Compact"/>
        <w:numPr>
          <w:ilvl w:val="0"/>
          <w:numId w:val="50"/>
        </w:numPr>
      </w:pPr>
      <w:r>
        <w:t>Segregated funds, if used</w:t>
      </w:r>
    </w:p>
    <w:p>
      <w:pPr>
        <w:pStyle w:val="BodyText"/>
      </w:pPr>
      <w:r>
        <w:t>Beneficiary designations should be confirmed directly with the financial institution or insurance company. Do not rely only on the will.</w:t>
      </w:r>
    </w:p>
    <w:p>
      <w:pPr>
        <w:pStyle w:val="BodyText"/>
      </w:pPr>
      <w:r>
        <w:t>For the TFSA, pay particular attention to whether the intended person should be named as a successor holder or beneficiary. This distinction can have important tax and estate consequences.</w:t>
      </w:r>
    </w:p>
    <w:p>
      <w:pPr>
        <w:pStyle w:val="Heading3"/>
      </w:pPr>
      <w:r>
        <w:t>Will review</w:t>
      </w:r>
    </w:p>
    <w:p>
      <w:pPr>
        <w:pStyle w:val="FirstParagraph"/>
      </w:pPr>
      <w:r>
        <w:t>Meet with a wills and estate lawyer to review or update your will. The will should reflect your current wishes, family situation, assets, and executor preferences.</w:t>
      </w:r>
    </w:p>
    <w:p>
      <w:pPr>
        <w:pStyle w:val="BodyText"/>
      </w:pPr>
      <w:r>
        <w:t>Key items to review include:</w:t>
      </w:r>
    </w:p>
    <w:p>
      <w:pPr>
        <w:pStyle w:val="Compact"/>
        <w:numPr>
          <w:ilvl w:val="0"/>
          <w:numId w:val="51"/>
        </w:numPr>
      </w:pPr>
      <w:r>
        <w:t>Executor and alternate executor</w:t>
      </w:r>
    </w:p>
    <w:p>
      <w:pPr>
        <w:pStyle w:val="Compact"/>
        <w:numPr>
          <w:ilvl w:val="0"/>
          <w:numId w:val="51"/>
        </w:numPr>
      </w:pPr>
      <w:r>
        <w:t>Executor powers</w:t>
      </w:r>
    </w:p>
    <w:p>
      <w:pPr>
        <w:pStyle w:val="Compact"/>
        <w:numPr>
          <w:ilvl w:val="0"/>
          <w:numId w:val="51"/>
        </w:numPr>
      </w:pPr>
      <w:r>
        <w:t>Personal effects</w:t>
      </w:r>
    </w:p>
    <w:p>
      <w:pPr>
        <w:pStyle w:val="Compact"/>
        <w:numPr>
          <w:ilvl w:val="0"/>
          <w:numId w:val="51"/>
        </w:numPr>
      </w:pPr>
      <w:r>
        <w:t>Gifts to family or charity</w:t>
      </w:r>
    </w:p>
    <w:p>
      <w:pPr>
        <w:pStyle w:val="Compact"/>
        <w:numPr>
          <w:ilvl w:val="0"/>
          <w:numId w:val="51"/>
        </w:numPr>
      </w:pPr>
      <w:r>
        <w:t>Treatment of prior gifts or loans</w:t>
      </w:r>
    </w:p>
    <w:p>
      <w:pPr>
        <w:pStyle w:val="Compact"/>
        <w:numPr>
          <w:ilvl w:val="0"/>
          <w:numId w:val="51"/>
        </w:numPr>
      </w:pPr>
      <w:r>
        <w:t>Alternate beneficiaries</w:t>
      </w:r>
    </w:p>
    <w:p>
      <w:pPr>
        <w:pStyle w:val="Compact"/>
        <w:numPr>
          <w:ilvl w:val="0"/>
          <w:numId w:val="51"/>
        </w:numPr>
      </w:pPr>
      <w:r>
        <w:t>Common disaster planning</w:t>
      </w:r>
    </w:p>
    <w:p>
      <w:pPr>
        <w:pStyle w:val="Compact"/>
        <w:numPr>
          <w:ilvl w:val="0"/>
          <w:numId w:val="51"/>
        </w:numPr>
      </w:pPr>
      <w:r>
        <w:t>Digital assets and online accounts</w:t>
      </w:r>
    </w:p>
    <w:p>
      <w:pPr>
        <w:pStyle w:val="Compact"/>
        <w:numPr>
          <w:ilvl w:val="0"/>
          <w:numId w:val="51"/>
        </w:numPr>
      </w:pPr>
      <w:r>
        <w:t>Pet arrangements, if applicable</w:t>
      </w:r>
    </w:p>
    <w:p>
      <w:pPr>
        <w:pStyle w:val="Compact"/>
        <w:numPr>
          <w:ilvl w:val="0"/>
          <w:numId w:val="51"/>
        </w:numPr>
      </w:pPr>
      <w:r>
        <w:t>Funeral and burial wishes</w:t>
      </w:r>
    </w:p>
    <w:p>
      <w:pPr>
        <w:pStyle w:val="Compact"/>
        <w:numPr>
          <w:ilvl w:val="0"/>
          <w:numId w:val="51"/>
        </w:numPr>
      </w:pPr>
      <w:r>
        <w:t>Executor compensation</w:t>
      </w:r>
    </w:p>
    <w:p>
      <w:pPr>
        <w:pStyle w:val="Compact"/>
        <w:numPr>
          <w:ilvl w:val="0"/>
          <w:numId w:val="51"/>
        </w:numPr>
      </w:pPr>
      <w:r>
        <w:t>Dispute-resolution wording</w:t>
      </w:r>
    </w:p>
    <w:p>
      <w:pPr>
        <w:pStyle w:val="Heading3"/>
      </w:pPr>
      <w:r>
        <w:t>Incapacity planning</w:t>
      </w:r>
    </w:p>
    <w:p>
      <w:pPr>
        <w:pStyle w:val="FirstParagraph"/>
      </w:pPr>
      <w:r>
        <w:t>Incapacity planning is just as important as planning for death.</w:t>
      </w:r>
    </w:p>
    <w:p>
      <w:pPr>
        <w:pStyle w:val="BodyText"/>
      </w:pPr>
      <w:r>
        <w:t>Review or create:</w:t>
      </w:r>
    </w:p>
    <w:p>
      <w:pPr>
        <w:pStyle w:val="Compact"/>
        <w:numPr>
          <w:ilvl w:val="0"/>
          <w:numId w:val="52"/>
        </w:numPr>
      </w:pPr>
      <w:r>
        <w:t>Enduring power of attorney</w:t>
      </w:r>
    </w:p>
    <w:p>
      <w:pPr>
        <w:pStyle w:val="Compact"/>
        <w:numPr>
          <w:ilvl w:val="0"/>
          <w:numId w:val="52"/>
        </w:numPr>
      </w:pPr>
      <w:r>
        <w:t>Personal directive / health-care directive</w:t>
      </w:r>
    </w:p>
    <w:p>
      <w:pPr>
        <w:pStyle w:val="Compact"/>
        <w:numPr>
          <w:ilvl w:val="0"/>
          <w:numId w:val="52"/>
        </w:numPr>
      </w:pPr>
      <w:r>
        <w:t>Alternate decision-maker appointments</w:t>
      </w:r>
    </w:p>
    <w:p>
      <w:pPr>
        <w:pStyle w:val="Compact"/>
        <w:numPr>
          <w:ilvl w:val="0"/>
          <w:numId w:val="52"/>
        </w:numPr>
      </w:pPr>
      <w:r>
        <w:t>Instructions for medical and personal care</w:t>
      </w:r>
    </w:p>
    <w:p>
      <w:pPr>
        <w:pStyle w:val="Compact"/>
        <w:numPr>
          <w:ilvl w:val="0"/>
          <w:numId w:val="52"/>
        </w:numPr>
      </w:pPr>
      <w:r>
        <w:t>Instructions for financial management if you cannot act for yourself</w:t>
      </w:r>
    </w:p>
    <w:p>
      <w:pPr>
        <w:pStyle w:val="BodyText"/>
      </w:pPr>
      <w:r>
        <w:t>These documents reduce the burden on family and help prevent delays if someone needs to act on your behalf.</w:t>
      </w:r>
    </w:p>
    <w:p>
      <w:pPr>
        <w:pStyle w:val="Heading3"/>
      </w:pPr>
      <w:r>
        <w:t>Executor planning</w:t>
      </w:r>
    </w:p>
    <w:p>
      <w:pPr>
        <w:pStyle w:val="FirstParagraph"/>
      </w:pPr>
      <w:r>
        <w:t>Consider whether a family member, friend, or professional executor is best suited to handle your estate.</w:t>
      </w:r>
    </w:p>
    <w:p>
      <w:pPr>
        <w:pStyle w:val="BodyText"/>
      </w:pPr>
      <w:r>
        <w:t>A professional executor may be useful if:</w:t>
      </w:r>
    </w:p>
    <w:p>
      <w:pPr>
        <w:pStyle w:val="Compact"/>
        <w:numPr>
          <w:ilvl w:val="0"/>
          <w:numId w:val="53"/>
        </w:numPr>
      </w:pPr>
      <w:r>
        <w:t>The estate is complex</w:t>
      </w:r>
    </w:p>
    <w:p>
      <w:pPr>
        <w:pStyle w:val="Compact"/>
        <w:numPr>
          <w:ilvl w:val="0"/>
          <w:numId w:val="53"/>
        </w:numPr>
      </w:pPr>
      <w:r>
        <w:t>Family dynamics are sensitive</w:t>
      </w:r>
    </w:p>
    <w:p>
      <w:pPr>
        <w:pStyle w:val="Compact"/>
        <w:numPr>
          <w:ilvl w:val="0"/>
          <w:numId w:val="53"/>
        </w:numPr>
      </w:pPr>
      <w:r>
        <w:t>You want neutrality</w:t>
      </w:r>
    </w:p>
    <w:p>
      <w:pPr>
        <w:pStyle w:val="Compact"/>
        <w:numPr>
          <w:ilvl w:val="0"/>
          <w:numId w:val="53"/>
        </w:numPr>
      </w:pPr>
      <w:r>
        <w:t>You want administrative experience</w:t>
      </w:r>
    </w:p>
    <w:p>
      <w:pPr>
        <w:pStyle w:val="Compact"/>
        <w:numPr>
          <w:ilvl w:val="0"/>
          <w:numId w:val="53"/>
        </w:numPr>
      </w:pPr>
      <w:r>
        <w:t>You want to reduce the burden on family members</w:t>
      </w:r>
    </w:p>
    <w:p>
      <w:pPr>
        <w:pStyle w:val="Heading3"/>
      </w:pPr>
      <w:r>
        <w:t>Recommendation</w:t>
      </w:r>
    </w:p>
    <w:p>
      <w:pPr>
        <w:pStyle w:val="FirstParagraph"/>
      </w:pPr>
      <w:r>
        <w:t>Update your estate documents before they are urgently needed. The best estate plan is one that is clear, current, and easy for your executor to carry out. The Appendix covers trusts and steps to reduce estate litigation in more detail.</w:t>
      </w:r>
    </w:p>
    <w:p>
      <w:pPr>
        <w:spacing w:before="120" w:after="280"/>
        <w:pBdr>
          <w:bottom w:val="single" w:sz="6" w:space="1" w:color="auto"/>
        </w:pBdr>
      </w:pPr>
    </w:p>
    <w:p>
      <w:pPr>
        <w:pStyle w:val="Heading2"/>
      </w:pPr>
      <w:r>
        <w:t>9. Recommended Action Plan</w:t>
      </w:r>
    </w:p>
    <w:p>
      <w:pPr>
        <w:pStyle w:val="Heading3"/>
      </w:pPr>
      <w:r>
        <w:t>Priority 1: Build the retirement cash reserve</w:t>
      </w:r>
    </w:p>
    <w:p>
      <w:pPr>
        <w:pStyle w:val="Compact"/>
        <w:numPr>
          <w:ilvl w:val="0"/>
          <w:numId w:val="54"/>
        </w:numPr>
      </w:pPr>
      <w:r>
        <w:t>Keep at least $50,000 readily available.</w:t>
      </w:r>
    </w:p>
    <w:p>
      <w:pPr>
        <w:pStyle w:val="Compact"/>
        <w:numPr>
          <w:ilvl w:val="0"/>
          <w:numId w:val="54"/>
        </w:numPr>
      </w:pPr>
      <w:r>
        <w:t>Separate emergency funds from investment funds.</w:t>
      </w:r>
    </w:p>
    <w:p>
      <w:pPr>
        <w:pStyle w:val="Compact"/>
        <w:numPr>
          <w:ilvl w:val="0"/>
          <w:numId w:val="54"/>
        </w:numPr>
      </w:pPr>
      <w:r>
        <w:t>Set aside near-term travel and lifestyle spending.</w:t>
      </w:r>
    </w:p>
    <w:p>
      <w:pPr>
        <w:pStyle w:val="Compact"/>
        <w:numPr>
          <w:ilvl w:val="0"/>
          <w:numId w:val="54"/>
        </w:numPr>
      </w:pPr>
      <w:r>
        <w:t>Avoid investing short-term spending money in volatile assets.</w:t>
      </w:r>
    </w:p>
    <w:p>
      <w:pPr>
        <w:pStyle w:val="Heading3"/>
      </w:pPr>
      <w:r>
        <w:t>Priority 2: Rebalance the portfolio</w:t>
      </w:r>
    </w:p>
    <w:p>
      <w:pPr>
        <w:pStyle w:val="Compact"/>
        <w:numPr>
          <w:ilvl w:val="0"/>
          <w:numId w:val="55"/>
        </w:numPr>
      </w:pPr>
      <w:r>
        <w:t>Complete a formal risk-tolerance review.</w:t>
      </w:r>
    </w:p>
    <w:p>
      <w:pPr>
        <w:pStyle w:val="Compact"/>
        <w:numPr>
          <w:ilvl w:val="0"/>
          <w:numId w:val="55"/>
        </w:numPr>
      </w:pPr>
      <w:r>
        <w:t>Reduce equity exposure from the current level.</w:t>
      </w:r>
    </w:p>
    <w:p>
      <w:pPr>
        <w:pStyle w:val="Compact"/>
        <w:numPr>
          <w:ilvl w:val="0"/>
          <w:numId w:val="55"/>
        </w:numPr>
      </w:pPr>
      <w:r>
        <w:t>Add fixed income and guaranteed investments.</w:t>
      </w:r>
    </w:p>
    <w:p>
      <w:pPr>
        <w:pStyle w:val="Compact"/>
        <w:numPr>
          <w:ilvl w:val="0"/>
          <w:numId w:val="55"/>
        </w:numPr>
      </w:pPr>
      <w:r>
        <w:t>Create a cash-wedge or GIC ladder.</w:t>
      </w:r>
    </w:p>
    <w:p>
      <w:pPr>
        <w:pStyle w:val="Compact"/>
        <w:numPr>
          <w:ilvl w:val="0"/>
          <w:numId w:val="55"/>
        </w:numPr>
      </w:pPr>
      <w:r>
        <w:t>Maintain some equity exposure for long-term growth and inflation protection.</w:t>
      </w:r>
    </w:p>
    <w:p>
      <w:pPr>
        <w:pStyle w:val="Heading3"/>
      </w:pPr>
      <w:r>
        <w:t>Priority 3: Simplify and consolidate</w:t>
      </w:r>
    </w:p>
    <w:p>
      <w:pPr>
        <w:pStyle w:val="Compact"/>
        <w:numPr>
          <w:ilvl w:val="0"/>
          <w:numId w:val="56"/>
        </w:numPr>
      </w:pPr>
      <w:r>
        <w:t>Review all accounts and holdings.</w:t>
      </w:r>
    </w:p>
    <w:p>
      <w:pPr>
        <w:pStyle w:val="Compact"/>
        <w:numPr>
          <w:ilvl w:val="0"/>
          <w:numId w:val="56"/>
        </w:numPr>
      </w:pPr>
      <w:r>
        <w:t>Consolidate where practical.</w:t>
      </w:r>
    </w:p>
    <w:p>
      <w:pPr>
        <w:pStyle w:val="Compact"/>
        <w:numPr>
          <w:ilvl w:val="0"/>
          <w:numId w:val="56"/>
        </w:numPr>
      </w:pPr>
      <w:r>
        <w:t>Work with one coordinated advisor or portfolio manager where possible.</w:t>
      </w:r>
    </w:p>
    <w:p>
      <w:pPr>
        <w:pStyle w:val="Heading3"/>
      </w:pPr>
      <w:r>
        <w:t>Priority 4: Implement the retirement income plan</w:t>
      </w:r>
    </w:p>
    <w:p>
      <w:pPr>
        <w:pStyle w:val="Compact"/>
        <w:numPr>
          <w:ilvl w:val="0"/>
          <w:numId w:val="57"/>
        </w:numPr>
      </w:pPr>
      <w:r>
        <w:t>RRIF/LIF conversion in 2026, withdrawals beginning 2027.</w:t>
      </w:r>
    </w:p>
    <w:p>
      <w:pPr>
        <w:pStyle w:val="Compact"/>
        <w:numPr>
          <w:ilvl w:val="0"/>
          <w:numId w:val="57"/>
        </w:numPr>
      </w:pPr>
      <w:r>
        <w:t>Set up planned withdrawals.</w:t>
      </w:r>
    </w:p>
    <w:p>
      <w:pPr>
        <w:pStyle w:val="Compact"/>
        <w:numPr>
          <w:ilvl w:val="0"/>
          <w:numId w:val="57"/>
        </w:numPr>
      </w:pPr>
      <w:r>
        <w:t>Monitor taxable income.</w:t>
      </w:r>
    </w:p>
    <w:p>
      <w:pPr>
        <w:pStyle w:val="Compact"/>
        <w:numPr>
          <w:ilvl w:val="0"/>
          <w:numId w:val="57"/>
        </w:numPr>
      </w:pPr>
      <w:r>
        <w:t>Preserve TFSA assets for later-life flexibility.</w:t>
      </w:r>
    </w:p>
    <w:p>
      <w:pPr>
        <w:pStyle w:val="Compact"/>
        <w:numPr>
          <w:ilvl w:val="0"/>
          <w:numId w:val="57"/>
        </w:numPr>
      </w:pPr>
      <w:r>
        <w:t>Delay CPP and OAS to age 70 as modelled.</w:t>
      </w:r>
    </w:p>
    <w:p>
      <w:pPr>
        <w:pStyle w:val="Heading3"/>
      </w:pPr>
      <w:r>
        <w:t>Priority 5: Review insurance and estate planning</w:t>
      </w:r>
    </w:p>
    <w:p>
      <w:pPr>
        <w:pStyle w:val="Compact"/>
        <w:numPr>
          <w:ilvl w:val="0"/>
          <w:numId w:val="58"/>
        </w:numPr>
      </w:pPr>
      <w:r>
        <w:t>Review life insurance options for estate liquidity.</w:t>
      </w:r>
    </w:p>
    <w:p>
      <w:pPr>
        <w:pStyle w:val="Compact"/>
        <w:numPr>
          <w:ilvl w:val="0"/>
          <w:numId w:val="58"/>
        </w:numPr>
      </w:pPr>
      <w:r>
        <w:t>Review health, dental, critical illness, travel, home, auto, and liability coverage.</w:t>
      </w:r>
    </w:p>
    <w:p>
      <w:pPr>
        <w:pStyle w:val="Compact"/>
        <w:numPr>
          <w:ilvl w:val="0"/>
          <w:numId w:val="58"/>
        </w:numPr>
      </w:pPr>
      <w:r>
        <w:t>Confirm beneficiary designations.</w:t>
      </w:r>
    </w:p>
    <w:p>
      <w:pPr>
        <w:pStyle w:val="Compact"/>
        <w:numPr>
          <w:ilvl w:val="0"/>
          <w:numId w:val="58"/>
        </w:numPr>
      </w:pPr>
      <w:r>
        <w:t>Update your will.</w:t>
      </w:r>
    </w:p>
    <w:p>
      <w:pPr>
        <w:pStyle w:val="Compact"/>
        <w:numPr>
          <w:ilvl w:val="0"/>
          <w:numId w:val="58"/>
        </w:numPr>
      </w:pPr>
      <w:r>
        <w:t>Update incapacity documents.</w:t>
      </w:r>
    </w:p>
    <w:p>
      <w:pPr>
        <w:pStyle w:val="Compact"/>
        <w:numPr>
          <w:ilvl w:val="0"/>
          <w:numId w:val="58"/>
        </w:numPr>
      </w:pPr>
      <w:r>
        <w:t>Consider whether a professional executor is appropriate.</w:t>
      </w:r>
    </w:p>
    <w:p>
      <w:pPr>
        <w:spacing w:before="120" w:after="280"/>
        <w:pBdr>
          <w:bottom w:val="single" w:sz="6" w:space="1" w:color="auto"/>
        </w:pBdr>
      </w:pPr>
    </w:p>
    <w:p>
      <w:pPr>
        <w:pStyle w:val="Heading2"/>
      </w:pPr>
      <w:r>
        <w:t>10. Ongoing Review</w:t>
      </w:r>
    </w:p>
    <w:p>
      <w:pPr>
        <w:pStyle w:val="FirstParagraph"/>
      </w:pPr>
      <w:r>
        <w:t>This plan should be reviewed at least once per year.</w:t>
      </w:r>
    </w:p>
    <w:p>
      <w:pPr>
        <w:pStyle w:val="BodyText"/>
      </w:pPr>
      <w:r>
        <w:t>The annual review should cover:</w:t>
      </w:r>
    </w:p>
    <w:tbl>
      <w:tblPr>
        <w:tblStyle w:val="Table"/>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pStyle w:val="Compact"/>
              <w:spacing w:before="36" w:after="36"/>
            </w:pPr>
            <w:r>
              <w:rPr>
                <w:b w:val="0"/>
              </w:rPr>
              <w:t>Area</w:t>
            </w:r>
          </w:p>
        </w:tc>
        <w:tc>
          <w:tcPr>
            <w:tcW w:type="dxa" w:w="4680"/>
            <w:vAlign w:val="top"/>
          </w:tcPr>
          <w:p>
            <w:pPr>
              <w:pStyle w:val="Compact"/>
              <w:spacing w:before="36" w:after="36"/>
            </w:pPr>
            <w:r>
              <w:rPr>
                <w:b w:val="0"/>
              </w:rPr>
              <w:t>What to review</w:t>
            </w:r>
          </w:p>
        </w:tc>
      </w:tr>
      <w:tr>
        <w:tc>
          <w:tcPr>
            <w:tcW w:type="dxa" w:w="4680"/>
            <w:vAlign w:val="top"/>
          </w:tcPr>
          <w:p>
            <w:pPr>
              <w:pStyle w:val="Compact"/>
              <w:spacing w:before="36" w:after="36"/>
            </w:pPr>
            <w:r>
              <w:t>Spending</w:t>
            </w:r>
          </w:p>
        </w:tc>
        <w:tc>
          <w:tcPr>
            <w:tcW w:type="dxa" w:w="4680"/>
            <w:vAlign w:val="top"/>
          </w:tcPr>
          <w:p>
            <w:pPr>
              <w:pStyle w:val="Compact"/>
              <w:spacing w:before="36" w:after="36"/>
            </w:pPr>
            <w:r>
              <w:t>Is actual spending close to the plan?</w:t>
            </w:r>
          </w:p>
        </w:tc>
      </w:tr>
      <w:tr>
        <w:tc>
          <w:tcPr>
            <w:tcW w:type="dxa" w:w="4680"/>
            <w:vAlign w:val="top"/>
          </w:tcPr>
          <w:p>
            <w:pPr>
              <w:pStyle w:val="Compact"/>
              <w:spacing w:before="36" w:after="36"/>
            </w:pPr>
            <w:r>
              <w:t>Investments</w:t>
            </w:r>
          </w:p>
        </w:tc>
        <w:tc>
          <w:tcPr>
            <w:tcW w:type="dxa" w:w="4680"/>
            <w:vAlign w:val="top"/>
          </w:tcPr>
          <w:p>
            <w:pPr>
              <w:pStyle w:val="Compact"/>
              <w:spacing w:before="36" w:after="36"/>
            </w:pPr>
            <w:r>
              <w:t>Is the portfolio still aligned with retirement risk tolerance?</w:t>
            </w:r>
          </w:p>
        </w:tc>
      </w:tr>
      <w:tr>
        <w:tc>
          <w:tcPr>
            <w:tcW w:type="dxa" w:w="4680"/>
            <w:vAlign w:val="top"/>
          </w:tcPr>
          <w:p>
            <w:pPr>
              <w:pStyle w:val="Compact"/>
              <w:spacing w:before="36" w:after="36"/>
            </w:pPr>
            <w:r>
              <w:t>Withdrawals</w:t>
            </w:r>
          </w:p>
        </w:tc>
        <w:tc>
          <w:tcPr>
            <w:tcW w:type="dxa" w:w="4680"/>
            <w:vAlign w:val="top"/>
          </w:tcPr>
          <w:p>
            <w:pPr>
              <w:pStyle w:val="Compact"/>
              <w:spacing w:before="36" w:after="36"/>
            </w:pPr>
            <w:r>
              <w:t>Are withdrawals still tax-efficient?</w:t>
            </w:r>
          </w:p>
        </w:tc>
      </w:tr>
      <w:tr>
        <w:tc>
          <w:tcPr>
            <w:tcW w:type="dxa" w:w="4680"/>
            <w:vAlign w:val="top"/>
          </w:tcPr>
          <w:p>
            <w:pPr>
              <w:pStyle w:val="Compact"/>
              <w:spacing w:before="36" w:after="36"/>
            </w:pPr>
            <w:r>
              <w:t>Taxes</w:t>
            </w:r>
          </w:p>
        </w:tc>
        <w:tc>
          <w:tcPr>
            <w:tcW w:type="dxa" w:w="4680"/>
            <w:vAlign w:val="top"/>
          </w:tcPr>
          <w:p>
            <w:pPr>
              <w:pStyle w:val="Compact"/>
              <w:spacing w:before="36" w:after="36"/>
            </w:pPr>
            <w:r>
              <w:t>Is taxable income being managed properly?</w:t>
            </w:r>
          </w:p>
        </w:tc>
      </w:tr>
      <w:tr>
        <w:tc>
          <w:tcPr>
            <w:tcW w:type="dxa" w:w="4680"/>
            <w:vAlign w:val="top"/>
          </w:tcPr>
          <w:p>
            <w:pPr>
              <w:pStyle w:val="Compact"/>
              <w:spacing w:before="36" w:after="36"/>
            </w:pPr>
            <w:r>
              <w:t>CPP/OAS</w:t>
            </w:r>
          </w:p>
        </w:tc>
        <w:tc>
          <w:tcPr>
            <w:tcW w:type="dxa" w:w="4680"/>
            <w:vAlign w:val="top"/>
          </w:tcPr>
          <w:p>
            <w:pPr>
              <w:pStyle w:val="Compact"/>
              <w:spacing w:before="36" w:after="36"/>
            </w:pPr>
            <w:r>
              <w:t>Is delaying still appropriate?</w:t>
            </w:r>
          </w:p>
        </w:tc>
      </w:tr>
      <w:tr>
        <w:tc>
          <w:tcPr>
            <w:tcW w:type="dxa" w:w="4680"/>
            <w:vAlign w:val="top"/>
          </w:tcPr>
          <w:p>
            <w:pPr>
              <w:pStyle w:val="Compact"/>
              <w:spacing w:before="36" w:after="36"/>
            </w:pPr>
            <w:r>
              <w:t>TFSA</w:t>
            </w:r>
          </w:p>
        </w:tc>
        <w:tc>
          <w:tcPr>
            <w:tcW w:type="dxa" w:w="4680"/>
            <w:vAlign w:val="top"/>
          </w:tcPr>
          <w:p>
            <w:pPr>
              <w:pStyle w:val="Compact"/>
              <w:spacing w:before="36" w:after="36"/>
            </w:pPr>
            <w:r>
              <w:t>Has the annual contribution been made?</w:t>
            </w:r>
          </w:p>
        </w:tc>
      </w:tr>
      <w:tr>
        <w:tc>
          <w:tcPr>
            <w:tcW w:type="dxa" w:w="4680"/>
            <w:vAlign w:val="top"/>
          </w:tcPr>
          <w:p>
            <w:pPr>
              <w:pStyle w:val="Compact"/>
              <w:spacing w:before="36" w:after="36"/>
            </w:pPr>
            <w:r>
              <w:t>Estate planning</w:t>
            </w:r>
          </w:p>
        </w:tc>
        <w:tc>
          <w:tcPr>
            <w:tcW w:type="dxa" w:w="4680"/>
            <w:vAlign w:val="top"/>
          </w:tcPr>
          <w:p>
            <w:pPr>
              <w:pStyle w:val="Compact"/>
              <w:spacing w:before="36" w:after="36"/>
            </w:pPr>
            <w:r>
              <w:t>Are beneficiaries and legal documents current?</w:t>
            </w:r>
          </w:p>
        </w:tc>
      </w:tr>
      <w:tr>
        <w:tc>
          <w:tcPr>
            <w:tcW w:type="dxa" w:w="4680"/>
            <w:vAlign w:val="top"/>
          </w:tcPr>
          <w:p>
            <w:pPr>
              <w:pStyle w:val="Compact"/>
              <w:spacing w:before="36" w:after="36"/>
            </w:pPr>
            <w:r>
              <w:t>Insurance</w:t>
            </w:r>
          </w:p>
        </w:tc>
        <w:tc>
          <w:tcPr>
            <w:tcW w:type="dxa" w:w="4680"/>
            <w:vAlign w:val="top"/>
          </w:tcPr>
          <w:p>
            <w:pPr>
              <w:pStyle w:val="Compact"/>
              <w:spacing w:before="36" w:after="36"/>
            </w:pPr>
            <w:r>
              <w:t>Are major risks still covered appropriately?</w:t>
            </w:r>
          </w:p>
        </w:tc>
      </w:tr>
      <w:tr>
        <w:tc>
          <w:tcPr>
            <w:tcW w:type="dxa" w:w="4680"/>
            <w:vAlign w:val="top"/>
          </w:tcPr>
          <w:p>
            <w:pPr>
              <w:pStyle w:val="Compact"/>
              <w:spacing w:before="36" w:after="36"/>
            </w:pPr>
            <w:r>
              <w:t>Health and lifestyle</w:t>
            </w:r>
          </w:p>
        </w:tc>
        <w:tc>
          <w:tcPr>
            <w:tcW w:type="dxa" w:w="4680"/>
            <w:vAlign w:val="top"/>
          </w:tcPr>
          <w:p>
            <w:pPr>
              <w:pStyle w:val="Compact"/>
              <w:spacing w:before="36" w:after="36"/>
            </w:pPr>
            <w:r>
              <w:t>Have care needs, travel plans, or family needs changed?</w:t>
            </w:r>
          </w:p>
        </w:tc>
      </w:tr>
    </w:tbl>
    <w:p>
      <w:pPr>
        <w:pStyle w:val="BodyText"/>
      </w:pPr>
      <w:r>
        <w:t>The plan does not need to be perfect. It needs to be implemented, monitored, and adjusted. Retirement planning works best when it is treated as an ongoing process rather than a one-time calculation.</w:t>
      </w:r>
    </w:p>
    <w:p>
      <w:pPr>
        <w:spacing w:before="120" w:after="280"/>
        <w:pBdr>
          <w:bottom w:val="single" w:sz="6" w:space="1" w:color="auto"/>
        </w:pBdr>
      </w:pPr>
    </w:p>
    <w:p>
      <w:pPr>
        <w:pStyle w:val="Heading2"/>
      </w:pPr>
      <w:r>
        <w:t>11. Final Comments</w:t>
      </w:r>
    </w:p>
    <w:p>
      <w:pPr>
        <w:pStyle w:val="FirstParagraph"/>
      </w:pPr>
      <w:r>
        <w:t>Your financial position gives you choices. You are not being forced into retirement decisions from a place of scarcity. You have enough projected capital to support your lifestyle, preserve flexibility, and think carefully about what you want your money to do over the rest of your life.</w:t>
      </w:r>
    </w:p>
    <w:p>
      <w:pPr>
        <w:pStyle w:val="BodyText"/>
      </w:pPr>
      <w:r>
        <w:t>The most important shift is from accumulation to stewardship.</w:t>
      </w:r>
    </w:p>
    <w:p>
      <w:pPr>
        <w:pStyle w:val="BodyText"/>
      </w:pPr>
      <w:r>
        <w:t>You have already built the assets. The next step is to organize them so they provide income, reduce worry, support travel and lifestyle goals, and eventually pass in the way you intend.</w:t>
      </w:r>
    </w:p>
    <w:p>
      <w:pPr>
        <w:pStyle w:val="BodyText"/>
      </w:pPr>
      <w:r>
        <w:t>The recommended strategy is to simplify, reduce unnecessary risk, create dependable income, manage tax carefully, and keep your estate plan current.</w:t>
      </w:r>
    </w:p>
    <w:p>
      <w:pPr>
        <w:pStyle w:val="BodyText"/>
      </w:pPr>
      <w:r>
        <w:t>That combination should give you the best chance of enjoying retirement with confidence.</w:t>
      </w:r>
    </w:p>
    <w:p>
      <w:pPr>
        <w:spacing w:before="120" w:after="280"/>
        <w:pBdr>
          <w:bottom w:val="single" w:sz="6" w:space="1" w:color="auto"/>
        </w:pBdr>
      </w:pPr>
    </w:p>
    <w:p>
      <w:pPr>
        <w:pStyle w:val="Heading2"/>
      </w:pPr>
      <w:r>
        <w:t>Appendix</w:t>
      </w:r>
    </w:p>
    <w:p>
      <w:pPr>
        <w:pStyle w:val="FirstParagraph"/>
      </w:pPr>
      <w:r>
        <w:t>The strategies below were raised in the planning process and are provided here as additional detail. They are options to discuss with your advisor, tax professional, and estate lawyer — not automatic recommendations. Which ones make sense depends on your goals around income, control, and legacy.</w:t>
      </w:r>
    </w:p>
    <w:p>
      <w:pPr>
        <w:pStyle w:val="Heading3"/>
      </w:pPr>
      <w:r>
        <w:t>A. Annuities and segregated funds</w:t>
      </w:r>
    </w:p>
    <w:p>
      <w:pPr>
        <w:pStyle w:val="FirstParagraph"/>
      </w:pPr>
      <w:r>
        <w:rPr>
          <w:b/>
        </w:rPr>
        <w:t>Annuities.</w:t>
      </w:r>
      <w:r>
        <w:t xml:space="preserve"> Annuities are offered by life insurance companies and are a way to guarantee an income for life. They are especially valuable for people who do not have a defined benefit pension plan that would otherwise provide income for life. They can be purchased with non-registered or registered funds and can be set up individually or jointly. Given your high equity exposure, an annuity could be a useful way to guarantee a portion of your income for life and provide an element of asset-allocation downside protection.</w:t>
      </w:r>
    </w:p>
    <w:p>
      <w:pPr>
        <w:pStyle w:val="BodyText"/>
      </w:pPr>
      <w:r>
        <w:rPr>
          <w:b/>
        </w:rPr>
        <w:t>Annuity settlement option (for life insurance policy payouts).</w:t>
      </w:r>
      <w:r>
        <w:t xml:space="preserve"> The annuity settlement option is a simple, cost-free way to gradually transfer wealth to beneficiaries through pre-scheduled income payments after death, instead of a single lump sum. It can automatically transfer the proceeds of an insurance contract — including a guaranteed interest account (GIA), a segregated fund contract, or a life insurance policy — into an annuity on death, which then makes gradual income payments to your beneficiaries as you specify. Replacing a lump-sum death benefit with scheduled payments can also provide estate administration and probate fee savings, increased privacy, and potential creditor protection.</w:t>
      </w:r>
    </w:p>
    <w:p>
      <w:pPr>
        <w:pStyle w:val="BodyText"/>
      </w:pPr>
      <w:r>
        <w:rPr>
          <w:b/>
        </w:rPr>
        <w:t>Segregated funds.</w:t>
      </w:r>
      <w:r>
        <w:t xml:space="preserve"> Segregated funds are also offered by life insurance companies. They let you invest in the markets while carrying an investment guarantee at the same time. Seg funds offer maturity and death guarantees: the principal investment can be guaranteed at a set future date (usually 15 years) or guaranteed on the death of the client. They typically carry a slightly higher management expense ratio (MER) than mutual funds, but the added guarantees can be valuable for retirees. They can be purchased with non-registered or registered funds, offer a joint annuitant option, and allow you to name a beneficiary on non-registered funds so those funds can bypass the estate. As with annuities, seg funds could help offset your current high equity exposure by providing downside protection.</w:t>
      </w:r>
    </w:p>
    <w:p>
      <w:pPr>
        <w:pStyle w:val="Heading3"/>
      </w:pPr>
      <w:r>
        <w:t>B. Trusts</w:t>
      </w:r>
    </w:p>
    <w:p>
      <w:pPr>
        <w:pStyle w:val="FirstParagraph"/>
      </w:pPr>
      <w:r>
        <w:t>Trusts are a powerful tool for tax and financial planning. Their main benefit is that they separate control of an asset from ownership — a trustee controls trust property on behalf of one beneficiary or a group of beneficiaries. Because of their legal characteristics, trusts can protect the property they hold from the claims of creditors, and they may enhance the protection that property has under matrimonial property legislation.</w:t>
      </w:r>
    </w:p>
    <w:p>
      <w:pPr>
        <w:pStyle w:val="BodyText"/>
      </w:pPr>
      <w:r>
        <w:rPr>
          <w:b/>
        </w:rPr>
        <w:t>Spousal trust.</w:t>
      </w:r>
      <w:r>
        <w:t xml:space="preserve"> If you have a spouse, you can consider a spousal trust created after the first spouse's death. The estate of the deceased spouse is preserved for the maintenance of the surviving spouse, and is set aside so that it does not become part of matrimonial property if the surviving spouse later remarries. Your will can direct your executor to create a spousal trust after your death if your spouse survives you. If it is structured as a </w:t>
      </w:r>
      <w:r>
        <w:rPr>
          <w:i/>
        </w:rPr>
        <w:t>qualified</w:t>
      </w:r>
      <w:r>
        <w:t xml:space="preserve"> spousal trust, the estate property comprising the gift is not taxed on the terminal return of the deceased spouse. Confirm with your wills and estate lawyer that any such trust is set up as a qualified spousal trust.</w:t>
      </w:r>
    </w:p>
    <w:p>
      <w:pPr>
        <w:pStyle w:val="BodyText"/>
      </w:pPr>
      <w:r>
        <w:rPr>
          <w:b/>
        </w:rPr>
        <w:t>Life insurance trust.</w:t>
      </w:r>
      <w:r>
        <w:t xml:space="preserve"> You can name your executor, or another person, as the beneficiary of your individually owned life insurance policies, with the beneficiary designation stating that they receive the proceeds as trustee of a separate insurance trust. You then instruct the trustee to distribute the proceeds as if they were estate residue under your will. This keeps the proceeds outside the estate while still directing how they are used.</w:t>
      </w:r>
    </w:p>
    <w:p>
      <w:pPr>
        <w:pStyle w:val="Heading3"/>
      </w:pPr>
      <w:r>
        <w:t>C. A note about estate litigation</w:t>
      </w:r>
    </w:p>
    <w:p>
      <w:pPr>
        <w:pStyle w:val="FirstParagraph"/>
      </w:pPr>
      <w:r>
        <w:t>As the size and value of individual estates rises, so does estate litigation. More money on the line tends to lead to more family disputes, which is all the more reason that careful estate planning matters. The following steps can reduce the potential for litigation and family conflict:</w:t>
      </w:r>
    </w:p>
    <w:p>
      <w:pPr>
        <w:pStyle w:val="Compact"/>
        <w:numPr>
          <w:ilvl w:val="0"/>
          <w:numId w:val="59"/>
        </w:numPr>
      </w:pPr>
      <w:r>
        <w:rPr>
          <w:b/>
        </w:rPr>
        <w:t>Avoid surprises.</w:t>
      </w:r>
      <w:r>
        <w:t xml:space="preserve"> If your heirs have expectations about what they will receive and the will says otherwise, it tends not to go over well. Heirs who are unhappy may look for someone to blame and may contest the will, which delays settlement and creates significant legal costs. Make your instructions crystal clear, and ideally make sure they are understood by everyone while you are still alive.</w:t>
      </w:r>
    </w:p>
    <w:p>
      <w:pPr>
        <w:pStyle w:val="Compact"/>
        <w:numPr>
          <w:ilvl w:val="0"/>
          <w:numId w:val="59"/>
        </w:numPr>
      </w:pPr>
      <w:r>
        <w:rPr>
          <w:b/>
        </w:rPr>
        <w:t>Consider a professional executor</w:t>
      </w:r>
      <w:r>
        <w:t xml:space="preserve"> rather than family members, to remove a significant burden from your adult children or friends and to reduce potential conflict among family.</w:t>
      </w:r>
    </w:p>
    <w:p>
      <w:pPr>
        <w:pStyle w:val="Compact"/>
        <w:numPr>
          <w:ilvl w:val="0"/>
          <w:numId w:val="59"/>
        </w:numPr>
      </w:pPr>
      <w:r>
        <w:rPr>
          <w:b/>
        </w:rPr>
        <w:t>Be very careful about joint ownership.</w:t>
      </w:r>
      <w:r>
        <w:t xml:space="preserve"> Speak to a wills and estate lawyer before adding any adult child to your bank accounts or naming them as a joint owner of property or assets. This can seem convenient but often creates hidden problems later.</w:t>
      </w:r>
    </w:p>
    <w:p>
      <w:pPr>
        <w:pStyle w:val="Compact"/>
        <w:numPr>
          <w:ilvl w:val="0"/>
          <w:numId w:val="59"/>
        </w:numPr>
      </w:pPr>
      <w:r>
        <w:rPr>
          <w:b/>
        </w:rPr>
        <w:t>Put intentions in writing.</w:t>
      </w:r>
      <w:r>
        <w:t xml:space="preserve"> If you do name an adult child as a joint owner, be clear in writing whether the asset is intended as a gift to that child on your death, or whether they are simply helping you manage it (a resulting trust situation) and the asset is not theirs when you pass. Articulating the intention is very important.</w:t>
      </w:r>
    </w:p>
    <w:p>
      <w:pPr>
        <w:pStyle w:val="Compact"/>
        <w:numPr>
          <w:ilvl w:val="0"/>
          <w:numId w:val="59"/>
        </w:numPr>
      </w:pPr>
      <w:r>
        <w:rPr>
          <w:b/>
        </w:rPr>
        <w:t>Remember that fair is not always equal, and equal is not always fair.</w:t>
      </w:r>
      <w:r>
        <w:t xml:space="preserve"> For example, if you gave more to one child during your life and then reduce that child's share in the will to equalize things, the child may dispute it. Clear documentation helps.</w:t>
      </w:r>
    </w:p>
    <w:p>
      <w:pPr>
        <w:pStyle w:val="Compact"/>
        <w:numPr>
          <w:ilvl w:val="0"/>
          <w:numId w:val="59"/>
        </w:numPr>
      </w:pPr>
      <w:r>
        <w:rPr>
          <w:b/>
        </w:rPr>
        <w:t>Hold family meetings.</w:t>
      </w:r>
      <w:r>
        <w:t xml:space="preserve"> A family meeting while you are alive lets everyone understand why you have set up your estate the way you have, which can reduce or eliminate disputes. Professionals can facilitate these meetings to take pressure off the family.</w:t>
      </w:r>
    </w:p>
    <w:p>
      <w:pPr>
        <w:pStyle w:val="Compact"/>
        <w:numPr>
          <w:ilvl w:val="0"/>
          <w:numId w:val="59"/>
        </w:numPr>
      </w:pPr>
      <w:r>
        <w:rPr>
          <w:b/>
        </w:rPr>
        <w:t>Consider a dispute-resolution or mediation clause</w:t>
      </w:r>
      <w:r>
        <w:t xml:space="preserve"> in the will.</w:t>
      </w:r>
    </w:p>
    <w:p>
      <w:pPr>
        <w:pStyle w:val="Compact"/>
        <w:numPr>
          <w:ilvl w:val="0"/>
          <w:numId w:val="59"/>
        </w:numPr>
      </w:pPr>
      <w:r>
        <w:rPr>
          <w:b/>
        </w:rPr>
        <w:t>Keep in mind that litigation makes the estate public,</w:t>
      </w:r>
      <w:r>
        <w:t xml:space="preserve"> extends the time to settle (sometimes by years), and delays inheritances for the heirs.</w:t>
      </w:r>
    </w:p>
    <w:p>
      <w:pPr>
        <w:pStyle w:val="Heading3"/>
      </w:pPr>
      <w:r>
        <w:t>D. Family wealth transfer plan</w:t>
      </w:r>
    </w:p>
    <w:p>
      <w:pPr>
        <w:pStyle w:val="FirstParagraph"/>
      </w:pPr>
      <w:r>
        <w:t>A family wealth transfer plan is a way to move wealth to the next generation on a tax-free basis through life insurance purchased on your children or grandchildren.</w:t>
      </w:r>
    </w:p>
    <w:p>
      <w:pPr>
        <w:pStyle w:val="BodyText"/>
      </w:pPr>
      <w:r>
        <w:t>In this strategy, you purchase insurance on your children's or grandchildren's lives and you provide the annual premium payments. As the owner, you continue to control the deposits and investment selections within the policies while you are alive, and you can access the cash values if you need cash in retirement. The children are named as successive owners, so ownership transfers to them automatically on the last of your deaths — outside the estate, meaning probate fees and taxes do not apply.</w:t>
      </w:r>
    </w:p>
    <w:p>
      <w:pPr>
        <w:pStyle w:val="BodyText"/>
      </w:pPr>
      <w:r>
        <w:t>Beyond the tax-efficient transfer, it benefits the children or grandchildren directly, because the best time to buy life insurance is when you are young and in good health. Buying permanent life insurance (or critical illness coverage) for them can keep their premium rates low for life, ensuring they remain protected even if they later develop health issues, take up higher-risk activities, or live abroad.</w:t>
      </w:r>
    </w:p>
    <w:p>
      <w:pPr>
        <w:pStyle w:val="BodyText"/>
      </w:pPr>
      <w:r>
        <w:rPr>
          <w:i/>
        </w:rPr>
        <w:t>This commentary is for planning discussion. It does not constitute legal, tax, or investment advice. Specific strategies — particularly those involving trusts, insurance, beneficiary designations, and estate documents — should be confirmed with a qualified wills and estate lawyer, tax professional, and licensed investment advisor before any action is taken.</w:t>
      </w:r>
    </w:p>
    <w:sectPr w:rsidR="00011CB5">
      <w:pgSz w:w="12240" w:h="15840" w:orient="portrait"/>
      <w:pgMar w:top="1440" w:right="1440" w:bottom="1440" w:left="1440" w:header="720"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l" w:author="matt lahey" w:date="2026-06-27T17:41:26" w:id="272439098">
    <w:p xmlns:w14="http://schemas.microsoft.com/office/word/2010/wordml" xmlns:w="http://schemas.openxmlformats.org/wordprocessingml/2006/main" w:rsidR="49019356" w:rsidRDefault="280AB459" w14:paraId="6303AF75" w14:textId="5EAEAF84">
      <w:pPr>
        <w:pStyle w:val="CommentText"/>
      </w:pPr>
      <w:r>
        <w:rPr>
          <w:rStyle w:val="CommentReference"/>
        </w:rPr>
        <w:annotationRef/>
      </w:r>
      <w:r w:rsidRPr="3F9AB0A6" w:rsidR="3412396F">
        <w:t>Are we suggesting this cash-wedge strategy for them?</w:t>
      </w:r>
    </w:p>
  </w:comment>
  <w:comment xmlns:w="http://schemas.openxmlformats.org/wordprocessingml/2006/main" w:initials="ml" w:author="matt lahey" w:date="2026-06-27T17:43:08" w:id="1327277366">
    <w:p xmlns:w14="http://schemas.microsoft.com/office/word/2010/wordml" xmlns:w="http://schemas.openxmlformats.org/wordprocessingml/2006/main" w:rsidR="32FFCC47" w:rsidRDefault="4270D318" w14:paraId="21BF687C" w14:textId="64CC68D7">
      <w:pPr>
        <w:pStyle w:val="CommentText"/>
      </w:pPr>
      <w:r>
        <w:rPr>
          <w:rStyle w:val="CommentReference"/>
        </w:rPr>
        <w:annotationRef/>
      </w:r>
      <w:r w:rsidRPr="4480EC23" w:rsidR="72F8B05F">
        <w:t>Should we suggest this? Are they self-directed or do they have an advisor?</w:t>
      </w:r>
    </w:p>
  </w:comment>
  <w:comment xmlns:w="http://schemas.openxmlformats.org/wordprocessingml/2006/main" w:initials="ml" w:author="matt lahey" w:date="2026-06-27T17:48:56" w:id="411485075">
    <w:p xmlns:w14="http://schemas.microsoft.com/office/word/2010/wordml" xmlns:w="http://schemas.openxmlformats.org/wordprocessingml/2006/main" w:rsidR="5AEE8C53" w:rsidRDefault="4A2AB59C" w14:paraId="154F8FE1" w14:textId="3A715095">
      <w:pPr>
        <w:pStyle w:val="CommentText"/>
      </w:pPr>
      <w:r>
        <w:rPr>
          <w:rStyle w:val="CommentReference"/>
        </w:rPr>
        <w:annotationRef/>
      </w:r>
      <w:r w:rsidRPr="05A7D32B" w:rsidR="18A9E8AF">
        <w:t>Should we keep or delete?</w:t>
      </w:r>
    </w:p>
  </w:comment>
  <w:comment xmlns:w="http://schemas.openxmlformats.org/wordprocessingml/2006/main" w:initials="ml" w:author="matt lahey" w:date="2026-06-27T19:51:12" w:id="2064313039">
    <w:p xmlns:w14="http://schemas.microsoft.com/office/word/2010/wordml" xmlns:w="http://schemas.openxmlformats.org/wordprocessingml/2006/main" w:rsidR="4A9D7266" w:rsidRDefault="23F2D454" w14:paraId="5C43EAE8" w14:textId="5F373B71">
      <w:pPr>
        <w:pStyle w:val="CommentText"/>
      </w:pPr>
      <w:r>
        <w:rPr>
          <w:rStyle w:val="CommentReference"/>
        </w:rPr>
        <w:annotationRef/>
      </w:r>
      <w:r w:rsidRPr="0F4DFFA4" w:rsidR="246D38E3">
        <w:t>Why does OAS clawback go to 0 in the year 2037? Is it because the insurance payout is tax free?</w:t>
      </w:r>
    </w:p>
  </w:comment>
  <w:comment xmlns:w="http://schemas.openxmlformats.org/wordprocessingml/2006/main" w:initials="ml" w:author="matt lahey" w:date="2026-06-27T19:59:56" w:id="1804943847">
    <w:p xmlns:w14="http://schemas.microsoft.com/office/word/2010/wordml" xmlns:w="http://schemas.openxmlformats.org/wordprocessingml/2006/main" w:rsidR="00CAB112" w:rsidRDefault="0FD701E8" w14:paraId="11B818C9" w14:textId="0C5E60C9">
      <w:pPr>
        <w:pStyle w:val="CommentText"/>
      </w:pPr>
      <w:r>
        <w:rPr>
          <w:rStyle w:val="CommentReference"/>
        </w:rPr>
        <w:annotationRef/>
      </w:r>
      <w:r w:rsidRPr="19EA3240" w:rsidR="25AB4850">
        <w:t>Is this true? Seems like most portfolios and etfs are weighted heavier towards United States</w:t>
      </w:r>
    </w:p>
  </w:comment>
  <w:comment xmlns:w="http://schemas.openxmlformats.org/wordprocessingml/2006/main" w:initials="ml" w:author="matt lahey" w:date="2026-06-27T20:01:18" w:id="751354680">
    <w:p xmlns:w14="http://schemas.microsoft.com/office/word/2010/wordml" xmlns:w="http://schemas.openxmlformats.org/wordprocessingml/2006/main" w:rsidR="3618DB93" w:rsidRDefault="33C042ED" w14:paraId="5B6A4A17" w14:textId="1380A6A6">
      <w:pPr>
        <w:pStyle w:val="CommentText"/>
      </w:pPr>
      <w:r>
        <w:rPr>
          <w:rStyle w:val="CommentReference"/>
        </w:rPr>
        <w:annotationRef/>
      </w:r>
      <w:r w:rsidRPr="5F1891A1" w:rsidR="15491E5E">
        <w:t>Is this accurate?</w:t>
      </w:r>
    </w:p>
  </w:comment>
  <w:comment xmlns:w="http://schemas.openxmlformats.org/wordprocessingml/2006/main" w:initials="ml" w:author="matt lahey" w:date="2026-06-27T20:02:17" w:id="559366270">
    <w:p xmlns:w14="http://schemas.microsoft.com/office/word/2010/wordml" xmlns:w="http://schemas.openxmlformats.org/wordprocessingml/2006/main" w:rsidR="1147643E" w:rsidRDefault="3C9E8F84" w14:paraId="0B3D0DE7" w14:textId="58F88BE8">
      <w:pPr>
        <w:pStyle w:val="CommentText"/>
      </w:pPr>
      <w:r>
        <w:rPr>
          <w:rStyle w:val="CommentReference"/>
        </w:rPr>
        <w:annotationRef/>
      </w:r>
      <w:r w:rsidRPr="0F57938B" w:rsidR="0A216BED">
        <w:t>Are we suggesting GIC ladder for these folks?</w:t>
      </w:r>
    </w:p>
  </w:comment>
  <w:comment xmlns:w="http://schemas.openxmlformats.org/wordprocessingml/2006/main" w:initials="ml" w:author="matt lahey" w:date="2026-06-27T20:24:21" w:id="1611160604">
    <w:p xmlns:w14="http://schemas.microsoft.com/office/word/2010/wordml" xmlns:w="http://schemas.openxmlformats.org/wordprocessingml/2006/main" w:rsidR="409786FE" w:rsidRDefault="3F192FF0" w14:paraId="6088D3B8" w14:textId="1ED6EACC">
      <w:pPr>
        <w:pStyle w:val="CommentText"/>
      </w:pPr>
      <w:r>
        <w:rPr>
          <w:rStyle w:val="CommentReference"/>
        </w:rPr>
        <w:annotationRef/>
      </w:r>
      <w:r w:rsidRPr="34C44799" w:rsidR="7BA14CF9">
        <w:t xml:space="preserve">Can we remove for this plan? Very little non-registered funds </w:t>
      </w:r>
    </w:p>
  </w:comment>
  <w:comment xmlns:w="http://schemas.openxmlformats.org/wordprocessingml/2006/main" w:initials="ml" w:author="matt lahey" w:date="2026-06-27T20:32:03" w:id="64233810">
    <w:p xmlns:w14="http://schemas.microsoft.com/office/word/2010/wordml" xmlns:w="http://schemas.openxmlformats.org/wordprocessingml/2006/main" w:rsidR="616CFE00" w:rsidRDefault="78637518" w14:paraId="59CA9406" w14:textId="611CA010">
      <w:pPr>
        <w:pStyle w:val="CommentText"/>
      </w:pPr>
      <w:r>
        <w:rPr>
          <w:rStyle w:val="CommentReference"/>
        </w:rPr>
        <w:annotationRef/>
      </w:r>
      <w:r w:rsidRPr="22CAD6D6" w:rsidR="173829DC">
        <w:t xml:space="preserve">Can I remove this? Or will they be eligible when their income goes down to 100k per year? </w:t>
      </w:r>
    </w:p>
  </w:comment>
  <w:comment xmlns:w="http://schemas.openxmlformats.org/wordprocessingml/2006/main" w:initials="ml" w:author="matt lahey" w:date="2026-06-27T20:39:55" w:id="136682627">
    <w:p xmlns:w14="http://schemas.microsoft.com/office/word/2010/wordml" xmlns:w="http://schemas.openxmlformats.org/wordprocessingml/2006/main" w:rsidR="368CFC23" w:rsidRDefault="34F6387A" w14:paraId="403822EF" w14:textId="3CE40E98">
      <w:pPr>
        <w:pStyle w:val="CommentText"/>
      </w:pPr>
      <w:r>
        <w:rPr>
          <w:rStyle w:val="CommentReference"/>
        </w:rPr>
        <w:annotationRef/>
      </w:r>
      <w:r w:rsidRPr="5F1E03B2" w:rsidR="4F011D9F">
        <w:t xml:space="preserve">Should we be more direct with the recommendations? The plan notes they get those large premium returns during those years. If they don't it would throw the plan off. </w:t>
      </w:r>
    </w:p>
  </w:comment>
  <w:comment xmlns:w="http://schemas.openxmlformats.org/wordprocessingml/2006/main" w:initials="ml" w:author="matt lahey" w:date="2026-06-27T20:56:41" w:id="238751451">
    <w:p xmlns:w14="http://schemas.microsoft.com/office/word/2010/wordml" xmlns:w="http://schemas.openxmlformats.org/wordprocessingml/2006/main" w:rsidR="10EF9DFB" w:rsidRDefault="04BBA746" w14:paraId="7B5131E4" w14:textId="08EE4A0B">
      <w:pPr>
        <w:pStyle w:val="CommentText"/>
      </w:pPr>
      <w:r>
        <w:rPr>
          <w:rStyle w:val="CommentReference"/>
        </w:rPr>
        <w:annotationRef/>
      </w:r>
      <w:r w:rsidRPr="463C5B4A" w:rsidR="704B4452">
        <w:t>Is this overkill recommendation?</w:t>
      </w:r>
    </w:p>
  </w:comment>
  <w:comment xmlns:w="http://schemas.openxmlformats.org/wordprocessingml/2006/main" w:initials="ml" w:author="matt lahey" w:date="2026-06-27T20:56:50" w:id="1172527691">
    <w:p xmlns:w14="http://schemas.microsoft.com/office/word/2010/wordml" xmlns:w="http://schemas.openxmlformats.org/wordprocessingml/2006/main" w:rsidR="25DCAF53" w:rsidRDefault="776A7012" w14:paraId="224F7201" w14:textId="6F1EFE81">
      <w:pPr>
        <w:pStyle w:val="CommentText"/>
      </w:pPr>
      <w:r>
        <w:rPr>
          <w:rStyle w:val="CommentReference"/>
        </w:rPr>
        <w:annotationRef/>
      </w:r>
      <w:r w:rsidRPr="47925CB2" w:rsidR="383047E4">
        <w:t>Same as above</w:t>
      </w:r>
    </w:p>
  </w:comment>
  <w:comment xmlns:w="http://schemas.openxmlformats.org/wordprocessingml/2006/main" w:initials="ml" w:author="matt lahey" w:date="2026-06-27T20:57:00" w:id="692372315">
    <w:p xmlns:w14="http://schemas.microsoft.com/office/word/2010/wordml" xmlns:w="http://schemas.openxmlformats.org/wordprocessingml/2006/main" w:rsidR="33D39BFA" w:rsidRDefault="0348EE9F" w14:paraId="61284BF1" w14:textId="1062D2EB">
      <w:pPr>
        <w:pStyle w:val="CommentText"/>
      </w:pPr>
      <w:r>
        <w:rPr>
          <w:rStyle w:val="CommentReference"/>
        </w:rPr>
        <w:annotationRef/>
      </w:r>
      <w:r w:rsidRPr="6A39941B" w:rsidR="5CAA9D51">
        <w:t>Is this accurate?</w:t>
      </w:r>
    </w:p>
  </w:comment>
  <w:comment xmlns:w="http://schemas.openxmlformats.org/wordprocessingml/2006/main" w:initials="ml" w:author="matt lahey" w:date="2026-06-27T20:57:30" w:id="120630467">
    <w:p xmlns:w14="http://schemas.microsoft.com/office/word/2010/wordml" xmlns:w="http://schemas.openxmlformats.org/wordprocessingml/2006/main" w:rsidR="3F74380A" w:rsidRDefault="4D7D18FE" w14:paraId="4FB6D865" w14:textId="24A0ED97">
      <w:pPr>
        <w:pStyle w:val="CommentText"/>
      </w:pPr>
      <w:r>
        <w:rPr>
          <w:rStyle w:val="CommentReference"/>
        </w:rPr>
        <w:annotationRef/>
      </w:r>
      <w:r w:rsidRPr="29D6A940" w:rsidR="723CAC2F">
        <w:t>Is this accurate?</w:t>
      </w:r>
    </w:p>
  </w:comment>
  <w:comment xmlns:w="http://schemas.openxmlformats.org/wordprocessingml/2006/main" w:initials="ml" w:author="matt lahey" w:date="2026-06-27T20:57:47" w:id="1240729782">
    <w:p xmlns:w14="http://schemas.microsoft.com/office/word/2010/wordml" xmlns:w="http://schemas.openxmlformats.org/wordprocessingml/2006/main" w:rsidR="6DA2C6C4" w:rsidRDefault="5613AFD5" w14:paraId="132FCBFD" w14:textId="38B3CD42">
      <w:pPr>
        <w:pStyle w:val="CommentText"/>
      </w:pPr>
      <w:r>
        <w:rPr>
          <w:rStyle w:val="CommentReference"/>
        </w:rPr>
        <w:annotationRef/>
      </w:r>
      <w:r w:rsidRPr="65986738" w:rsidR="122CA181">
        <w:t>Is this accurate?</w:t>
      </w:r>
    </w:p>
  </w:comment>
  <w:comment xmlns:w="http://schemas.openxmlformats.org/wordprocessingml/2006/main" w:initials="ml" w:author="matt lahey" w:date="2026-06-27T20:58:28" w:id="663358088">
    <w:p xmlns:w14="http://schemas.microsoft.com/office/word/2010/wordml" xmlns:w="http://schemas.openxmlformats.org/wordprocessingml/2006/main" w:rsidR="7749B62C" w:rsidRDefault="07399C73" w14:paraId="485CED2B" w14:textId="1508B05B">
      <w:pPr>
        <w:pStyle w:val="CommentText"/>
      </w:pPr>
      <w:r>
        <w:rPr>
          <w:rStyle w:val="CommentReference"/>
        </w:rPr>
        <w:annotationRef/>
      </w:r>
      <w:r w:rsidRPr="4193EA3D" w:rsidR="05EA31D9">
        <w:t>What is the answer to this question?</w:t>
      </w:r>
    </w:p>
  </w:comment>
  <w:comment xmlns:w="http://schemas.openxmlformats.org/wordprocessingml/2006/main" w:initials="ml" w:author="matt lahey" w:date="2026-06-27T20:58:45" w:id="1225695046">
    <w:p xmlns:w14="http://schemas.microsoft.com/office/word/2010/wordml" xmlns:w="http://schemas.openxmlformats.org/wordprocessingml/2006/main" w:rsidR="28382153" w:rsidRDefault="41C31002" w14:paraId="3FA65AB1" w14:textId="6F3E51CD">
      <w:pPr>
        <w:pStyle w:val="CommentText"/>
      </w:pPr>
      <w:r>
        <w:rPr>
          <w:rStyle w:val="CommentReference"/>
        </w:rPr>
        <w:annotationRef/>
      </w:r>
      <w:r w:rsidRPr="30C49B8C" w:rsidR="739852F7">
        <w:t>Keep or remove?</w:t>
      </w:r>
    </w:p>
  </w:comment>
  <w:comment xmlns:w="http://schemas.openxmlformats.org/wordprocessingml/2006/main" w:initials="ml" w:author="matt lahey" w:date="2026-06-27T20:58:58" w:id="2006719994">
    <w:p xmlns:w14="http://schemas.microsoft.com/office/word/2010/wordml" xmlns:w="http://schemas.openxmlformats.org/wordprocessingml/2006/main" w:rsidR="7456FBD8" w:rsidRDefault="3B4118FC" w14:paraId="1BD910FB" w14:textId="0027D48F">
      <w:pPr>
        <w:pStyle w:val="CommentText"/>
      </w:pPr>
      <w:r>
        <w:rPr>
          <w:rStyle w:val="CommentReference"/>
        </w:rPr>
        <w:annotationRef/>
      </w:r>
      <w:r w:rsidRPr="13BEC121" w:rsidR="5120A7BC">
        <w:t>Are we suggesting life insurance?</w:t>
      </w:r>
    </w:p>
  </w:comment>
</w:comments>
</file>

<file path=word/commentsExtended.xml><?xml version="1.0" encoding="utf-8"?>
<w15:commentsEx xmlns:mc="http://schemas.openxmlformats.org/markup-compatibility/2006" xmlns:w15="http://schemas.microsoft.com/office/word/2012/wordml" mc:Ignorable="w15">
  <w15:commentEx w15:done="0" w15:paraId="6303AF75"/>
  <w15:commentEx w15:done="0" w15:paraId="21BF687C"/>
  <w15:commentEx w15:done="0" w15:paraId="154F8FE1"/>
  <w15:commentEx w15:done="0" w15:paraId="5C43EAE8"/>
  <w15:commentEx w15:done="0" w15:paraId="11B818C9"/>
  <w15:commentEx w15:done="0" w15:paraId="5B6A4A17"/>
  <w15:commentEx w15:done="0" w15:paraId="0B3D0DE7"/>
  <w15:commentEx w15:done="0" w15:paraId="6088D3B8"/>
  <w15:commentEx w15:done="0" w15:paraId="59CA9406"/>
  <w15:commentEx w15:done="0" w15:paraId="403822EF"/>
  <w15:commentEx w15:done="0" w15:paraId="7B5131E4"/>
  <w15:commentEx w15:done="0" w15:paraId="224F7201"/>
  <w15:commentEx w15:done="0" w15:paraId="61284BF1"/>
  <w15:commentEx w15:done="0" w15:paraId="4FB6D865"/>
  <w15:commentEx w15:done="0" w15:paraId="132FCBFD"/>
  <w15:commentEx w15:done="0" w15:paraId="485CED2B"/>
  <w15:commentEx w15:done="0" w15:paraId="3FA65AB1"/>
  <w15:commentEx w15:done="0" w15:paraId="1BD910F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FC3FDB" w16cex:dateUtc="2026-06-27T20:11:26.151Z"/>
  <w16cex:commentExtensible w16cex:durableId="6F300C81" w16cex:dateUtc="2026-06-27T20:13:08.32Z"/>
  <w16cex:commentExtensible w16cex:durableId="52EF3E0A" w16cex:dateUtc="2026-06-27T20:18:56.045Z"/>
  <w16cex:commentExtensible w16cex:durableId="22C77DC5" w16cex:dateUtc="2026-06-27T22:21:12.977Z"/>
  <w16cex:commentExtensible w16cex:durableId="25F275BE" w16cex:dateUtc="2026-06-27T22:29:56.409Z"/>
  <w16cex:commentExtensible w16cex:durableId="5C0651F2" w16cex:dateUtc="2026-06-27T22:31:18.888Z"/>
  <w16cex:commentExtensible w16cex:durableId="653C0C3C" w16cex:dateUtc="2026-06-27T22:32:17.328Z"/>
  <w16cex:commentExtensible w16cex:durableId="633C8045" w16cex:dateUtc="2026-06-27T22:54:21.927Z"/>
  <w16cex:commentExtensible w16cex:durableId="2EB8F800" w16cex:dateUtc="2026-06-27T23:02:03.91Z"/>
  <w16cex:commentExtensible w16cex:durableId="414541D1" w16cex:dateUtc="2026-06-27T23:09:55.534Z"/>
  <w16cex:commentExtensible w16cex:durableId="7530D442" w16cex:dateUtc="2026-06-27T23:26:41.74Z"/>
  <w16cex:commentExtensible w16cex:durableId="23F91E32" w16cex:dateUtc="2026-06-27T23:26:50.075Z"/>
  <w16cex:commentExtensible w16cex:durableId="41164CD2" w16cex:dateUtc="2026-06-27T23:27:00.831Z"/>
  <w16cex:commentExtensible w16cex:durableId="0960C1E7" w16cex:dateUtc="2026-06-27T23:27:30.694Z"/>
  <w16cex:commentExtensible w16cex:durableId="34A8F6D6" w16cex:dateUtc="2026-06-27T23:27:47.221Z"/>
  <w16cex:commentExtensible w16cex:durableId="38F49D89" w16cex:dateUtc="2026-06-27T23:28:28.313Z"/>
  <w16cex:commentExtensible w16cex:durableId="20C9F4D9" w16cex:dateUtc="2026-06-27T23:28:45.865Z"/>
  <w16cex:commentExtensible w16cex:durableId="4E9216DC" w16cex:dateUtc="2026-06-27T23:28:58.028Z"/>
</w16cex:commentsExtensible>
</file>

<file path=word/commentsIds.xml><?xml version="1.0" encoding="utf-8"?>
<w16cid:commentsIds xmlns:mc="http://schemas.openxmlformats.org/markup-compatibility/2006" xmlns:w16cid="http://schemas.microsoft.com/office/word/2016/wordml/cid" mc:Ignorable="w16cid">
  <w16cid:commentId w16cid:paraId="6303AF75" w16cid:durableId="71FC3FDB"/>
  <w16cid:commentId w16cid:paraId="21BF687C" w16cid:durableId="6F300C81"/>
  <w16cid:commentId w16cid:paraId="154F8FE1" w16cid:durableId="52EF3E0A"/>
  <w16cid:commentId w16cid:paraId="5C43EAE8" w16cid:durableId="22C77DC5"/>
  <w16cid:commentId w16cid:paraId="11B818C9" w16cid:durableId="25F275BE"/>
  <w16cid:commentId w16cid:paraId="5B6A4A17" w16cid:durableId="5C0651F2"/>
  <w16cid:commentId w16cid:paraId="0B3D0DE7" w16cid:durableId="653C0C3C"/>
  <w16cid:commentId w16cid:paraId="6088D3B8" w16cid:durableId="633C8045"/>
  <w16cid:commentId w16cid:paraId="59CA9406" w16cid:durableId="2EB8F800"/>
  <w16cid:commentId w16cid:paraId="403822EF" w16cid:durableId="414541D1"/>
  <w16cid:commentId w16cid:paraId="7B5131E4" w16cid:durableId="7530D442"/>
  <w16cid:commentId w16cid:paraId="224F7201" w16cid:durableId="23F91E32"/>
  <w16cid:commentId w16cid:paraId="61284BF1" w16cid:durableId="41164CD2"/>
  <w16cid:commentId w16cid:paraId="4FB6D865" w16cid:durableId="0960C1E7"/>
  <w16cid:commentId w16cid:paraId="132FCBFD" w16cid:durableId="34A8F6D6"/>
  <w16cid:commentId w16cid:paraId="485CED2B" w16cid:durableId="38F49D89"/>
  <w16cid:commentId w16cid:paraId="3FA65AB1" w16cid:durableId="20C9F4D9"/>
  <w16cid:commentId w16cid:paraId="1BD910FB" w16cid:durableId="4E9216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4CD0" w:rsidRDefault="00B64CD0" w14:paraId="59CC7ACF" w14:textId="77777777">
      <w:pPr>
        <w:spacing w:after="0"/>
      </w:pPr>
      <w:r>
        <w:separator/>
      </w:r>
    </w:p>
  </w:endnote>
  <w:endnote w:type="continuationSeparator" w:id="0">
    <w:p w:rsidR="00B64CD0" w:rsidRDefault="00B64CD0" w14:paraId="7C682AC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4CD0" w:rsidRDefault="00B64CD0" w14:paraId="0EF37AA5" w14:textId="77777777">
      <w:r>
        <w:separator/>
      </w:r>
    </w:p>
  </w:footnote>
  <w:footnote w:type="continuationSeparator" w:id="0">
    <w:p w:rsidR="00B64CD0" w:rsidRDefault="00B64CD0" w14:paraId="09CCE14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6991487">
    <w:abstractNumId w:val="0"/>
  </w:num>
  <w:num w:numId="2" w16cid:durableId="1121265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9345269">
    <w:abstractNumId w:val="1"/>
  </w:num>
  <w:num w:numId="4" w16cid:durableId="105194233">
    <w:abstractNumId w:val="1"/>
  </w:num>
  <w:num w:numId="5" w16cid:durableId="1676883524">
    <w:abstractNumId w:val="1"/>
  </w:num>
  <w:num w:numId="6" w16cid:durableId="30959803">
    <w:abstractNumId w:val="1"/>
  </w:num>
  <w:num w:numId="7" w16cid:durableId="87820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9436511">
    <w:abstractNumId w:val="1"/>
  </w:num>
  <w:num w:numId="9" w16cid:durableId="845708091">
    <w:abstractNumId w:val="1"/>
  </w:num>
  <w:num w:numId="10" w16cid:durableId="711928933">
    <w:abstractNumId w:val="1"/>
  </w:num>
  <w:num w:numId="11" w16cid:durableId="330302775">
    <w:abstractNumId w:val="1"/>
  </w:num>
  <w:num w:numId="12" w16cid:durableId="564923938">
    <w:abstractNumId w:val="1"/>
  </w:num>
  <w:num w:numId="13" w16cid:durableId="322046805">
    <w:abstractNumId w:val="1"/>
  </w:num>
  <w:num w:numId="14" w16cid:durableId="1028871645">
    <w:abstractNumId w:val="1"/>
  </w:num>
  <w:num w:numId="15" w16cid:durableId="498499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5329963">
    <w:abstractNumId w:val="1"/>
  </w:num>
  <w:num w:numId="17" w16cid:durableId="2055883627">
    <w:abstractNumId w:val="1"/>
  </w:num>
  <w:num w:numId="18" w16cid:durableId="1460806561">
    <w:abstractNumId w:val="1"/>
  </w:num>
  <w:num w:numId="19" w16cid:durableId="1140614936">
    <w:abstractNumId w:val="1"/>
  </w:num>
  <w:num w:numId="20" w16cid:durableId="686909230">
    <w:abstractNumId w:val="1"/>
  </w:num>
  <w:num w:numId="21" w16cid:durableId="1997105758">
    <w:abstractNumId w:val="1"/>
  </w:num>
  <w:num w:numId="22" w16cid:durableId="1192109217">
    <w:abstractNumId w:val="1"/>
  </w:num>
  <w:num w:numId="23" w16cid:durableId="100223278">
    <w:abstractNumId w:val="1"/>
  </w:num>
  <w:num w:numId="24" w16cid:durableId="36975712">
    <w:abstractNumId w:val="1"/>
  </w:num>
  <w:num w:numId="25" w16cid:durableId="1805585991">
    <w:abstractNumId w:val="1"/>
  </w:num>
  <w:num w:numId="26" w16cid:durableId="1920795629">
    <w:abstractNumId w:val="1"/>
  </w:num>
  <w:num w:numId="27" w16cid:durableId="1671905036">
    <w:abstractNumId w:val="1"/>
  </w:num>
  <w:num w:numId="28" w16cid:durableId="899678558">
    <w:abstractNumId w:val="1"/>
  </w:num>
  <w:num w:numId="29" w16cid:durableId="2092576626">
    <w:abstractNumId w:val="1"/>
  </w:num>
  <w:num w:numId="30" w16cid:durableId="1566142706">
    <w:abstractNumId w:val="1"/>
  </w:num>
  <w:num w:numId="31" w16cid:durableId="2105833578">
    <w:abstractNumId w:val="1"/>
  </w:num>
  <w:num w:numId="32" w16cid:durableId="1307128461">
    <w:abstractNumId w:val="1"/>
  </w:num>
  <w:num w:numId="33" w16cid:durableId="1855069180">
    <w:abstractNumId w:val="1"/>
  </w:num>
  <w:num w:numId="34">
    <w:abstractNumId w:val="2"/>
  </w:num>
  <w:num w:numId="35">
    <w:abstractNumId w:val="1"/>
  </w:num>
  <w:num w:numId="36">
    <w:abstractNumId w:val="1"/>
  </w:num>
  <w:num w:numId="37">
    <w:abstractNumId w:val="1"/>
  </w:num>
  <w:num w:numId="38">
    <w:abstractNumId w:val="1"/>
  </w:num>
  <w:num w:numId="39">
    <w:abstractNumId w:val="1"/>
  </w:num>
  <w:num w:numId="40">
    <w:abstractNumId w:val="2"/>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bering>
</file>

<file path=word/people.xml><?xml version="1.0" encoding="utf-8"?>
<w15:people xmlns:mc="http://schemas.openxmlformats.org/markup-compatibility/2006" xmlns:w15="http://schemas.microsoft.com/office/word/2012/wordml" mc:Ignorable="w15">
  <w15:person w15:author="matt lahey">
    <w15:presenceInfo w15:providerId="Windows Live" w15:userId="ff66a518f136b021"/>
  </w15:person>
  <w15:person w15:author="matt lahey">
    <w15:presenceInfo w15:providerId="Windows Live" w15:userId="ff66a518f136b02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CB5"/>
    <w:rsid w:val="00011CB5"/>
    <w:rsid w:val="005C67E1"/>
    <w:rsid w:val="00B64CD0"/>
    <w:rsid w:val="05B21B1B"/>
    <w:rsid w:val="0607099C"/>
    <w:rsid w:val="0C629E9A"/>
    <w:rsid w:val="0DAF8D3B"/>
    <w:rsid w:val="0E7DEE6A"/>
    <w:rsid w:val="117D8C5F"/>
    <w:rsid w:val="12B00AD3"/>
    <w:rsid w:val="142FED35"/>
    <w:rsid w:val="145E6187"/>
    <w:rsid w:val="14795D12"/>
    <w:rsid w:val="1C91AD06"/>
    <w:rsid w:val="1F17C800"/>
    <w:rsid w:val="2B0DEEAE"/>
    <w:rsid w:val="3062C14F"/>
    <w:rsid w:val="322AAE81"/>
    <w:rsid w:val="325BB0DA"/>
    <w:rsid w:val="34F92C6B"/>
    <w:rsid w:val="37B6676C"/>
    <w:rsid w:val="399FF2EE"/>
    <w:rsid w:val="3C91015E"/>
    <w:rsid w:val="41800F2F"/>
    <w:rsid w:val="42093D6D"/>
    <w:rsid w:val="442C9E06"/>
    <w:rsid w:val="44C2F2B2"/>
    <w:rsid w:val="456E97A8"/>
    <w:rsid w:val="459C86EE"/>
    <w:rsid w:val="4829AEE6"/>
    <w:rsid w:val="4CCC61DF"/>
    <w:rsid w:val="52A7483B"/>
    <w:rsid w:val="5D418470"/>
    <w:rsid w:val="5FD91E92"/>
    <w:rsid w:val="6006F906"/>
    <w:rsid w:val="656302F0"/>
    <w:rsid w:val="661C2A78"/>
    <w:rsid w:val="6815062F"/>
    <w:rsid w:val="6B153E98"/>
    <w:rsid w:val="73B8BE2E"/>
    <w:rsid w:val="7CF1134F"/>
    <w:rsid w:val="7E0C3F54"/>
    <w:rsid w:val="7E7705DE"/>
    <w:rsid w:val="7F7578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B414"/>
  <w15:docId w15:val="{17A1C8A2-D7D3-4E57-B274-EDF5079CD8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61e5fe57d36642b3" Type="http://schemas.openxmlformats.org/officeDocument/2006/relationships/comments" Target="comments.xml"/><Relationship Id="R49fa5f0fdeea495e" Type="http://schemas.microsoft.com/office/2016/09/relationships/commentsIds" Target="commentsIds.xml"/><Relationship Id="Rb90305b7d9844b83" Type="http://schemas.microsoft.com/office/2011/relationships/commentsExtended" Target="commentsExtended.xml"/><Relationship Id="R8482eb5334ee4b83" Type="http://schemas.microsoft.com/office/2018/08/relationships/commentsExtensible" Target="commentsExtensible.xml"/><Relationship Id="Rafe27d5ddef74c9a"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Commentary and Recommendations - Shawna Lindsay</dc:title>
  <dc:creator/>
  <keywords/>
  <lastModifiedBy/>
  <revision>2</revision>
  <dcterms:created xsi:type="dcterms:W3CDTF">2026-06-27T19:59:00.0000000Z</dcterms:created>
  <dcterms:modified xsi:type="dcterms:W3CDTF">2026-06-27T23:29:11.9235461Z</dcterms:modified>
  <dc:subject/>
  <dc:description/>
  <category/>
</coreProperties>
</file>