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480" w:after="480" w:line="413" w:lineRule="auto"/>
        <w:jc w:val="center"/>
        <w:textAlignment w:val="auto"/>
        <w:outlineLvl w:val="0"/>
        <w:rPr>
          <w:rFonts w:hint="eastAsia" w:ascii="宋体" w:hAnsi="宋体" w:eastAsia="宋体" w:cs="宋体"/>
          <w:sz w:val="32"/>
          <w:szCs w:val="32"/>
          <w:lang w:val="en-US" w:eastAsia="zh-CN"/>
        </w:rPr>
      </w:pPr>
      <w:bookmarkStart w:id="0" w:name="_Toc23970"/>
      <w:bookmarkStart w:id="1" w:name="_Toc7060"/>
      <w:r>
        <w:rPr>
          <w:rFonts w:hint="eastAsia" w:ascii="宋体" w:hAnsi="宋体" w:eastAsia="宋体" w:cs="宋体"/>
          <w:sz w:val="32"/>
          <w:szCs w:val="32"/>
          <w:lang w:val="en-US" w:eastAsia="zh-CN"/>
        </w:rPr>
        <w:t>人人皆可成才，人人尽展其才</w:t>
      </w:r>
      <w:bookmarkEnd w:id="0"/>
    </w:p>
    <w:p>
      <w:pPr>
        <w:pStyle w:val="3"/>
        <w:keepNext/>
        <w:keepLines/>
        <w:pageBreakBefore w:val="0"/>
        <w:widowControl w:val="0"/>
        <w:kinsoku/>
        <w:wordWrap/>
        <w:overflowPunct/>
        <w:topLinePunct w:val="0"/>
        <w:autoSpaceDE/>
        <w:autoSpaceDN/>
        <w:bidi w:val="0"/>
        <w:adjustRightInd/>
        <w:snapToGrid/>
        <w:spacing w:before="480" w:after="480" w:line="413" w:lineRule="auto"/>
        <w:jc w:val="center"/>
        <w:textAlignment w:val="auto"/>
        <w:outlineLvl w:val="0"/>
        <w:rPr>
          <w:rFonts w:hint="eastAsia" w:ascii="宋体" w:hAnsi="宋体" w:eastAsia="宋体" w:cs="宋体"/>
          <w:sz w:val="32"/>
          <w:szCs w:val="32"/>
          <w:lang w:val="en-US" w:eastAsia="zh-CN"/>
        </w:rPr>
      </w:pPr>
      <w:bookmarkStart w:id="2" w:name="_Toc20998"/>
      <w:r>
        <w:rPr>
          <w:rFonts w:hint="eastAsia" w:ascii="宋体" w:hAnsi="宋体" w:eastAsia="宋体" w:cs="宋体"/>
          <w:sz w:val="32"/>
          <w:szCs w:val="32"/>
          <w:lang w:val="en-US" w:eastAsia="zh-CN"/>
        </w:rPr>
        <w:t>——中国式现代化背景下中职教育效率的统计度量与未来期望</w:t>
      </w:r>
      <w:bookmarkEnd w:id="2"/>
    </w:p>
    <w:p>
      <w:pPr>
        <w:pStyle w:val="3"/>
        <w:keepNext/>
        <w:keepLines/>
        <w:pageBreakBefore w:val="0"/>
        <w:widowControl w:val="0"/>
        <w:kinsoku/>
        <w:wordWrap/>
        <w:overflowPunct/>
        <w:topLinePunct w:val="0"/>
        <w:autoSpaceDE/>
        <w:autoSpaceDN/>
        <w:bidi w:val="0"/>
        <w:adjustRightInd/>
        <w:snapToGrid/>
        <w:spacing w:before="480" w:after="480" w:line="413" w:lineRule="auto"/>
        <w:jc w:val="center"/>
        <w:textAlignment w:val="auto"/>
        <w:outlineLvl w:val="0"/>
        <w:rPr>
          <w:rFonts w:hint="eastAsia" w:ascii="微软雅黑" w:hAnsi="微软雅黑" w:eastAsia="微软雅黑" w:cs="微软雅黑"/>
          <w:b/>
          <w:bCs/>
          <w:sz w:val="28"/>
          <w:szCs w:val="28"/>
          <w:lang w:val="en-US" w:eastAsia="zh-CN"/>
        </w:rPr>
      </w:pPr>
      <w:bookmarkStart w:id="3" w:name="_Toc6768"/>
      <w:r>
        <w:rPr>
          <w:rFonts w:hint="eastAsia"/>
          <w:sz w:val="28"/>
          <w:szCs w:val="28"/>
          <w:lang w:val="en-US" w:eastAsia="zh-CN"/>
        </w:rPr>
        <w:t>摘  要</w:t>
      </w:r>
      <w:bookmarkEnd w:id="1"/>
      <w:bookmarkEnd w:id="3"/>
    </w:p>
    <w:p>
      <w:pPr>
        <w:keepNext w:val="0"/>
        <w:keepLines w:val="0"/>
        <w:pageBreakBefore w:val="0"/>
        <w:widowControl w:val="0"/>
        <w:kinsoku/>
        <w:wordWrap/>
        <w:overflowPunct/>
        <w:topLinePunct w:val="0"/>
        <w:autoSpaceDE/>
        <w:autoSpaceDN/>
        <w:bidi w:val="0"/>
        <w:adjustRightInd/>
        <w:snapToGrid/>
        <w:spacing w:before="480" w:after="480"/>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式现代化是中国共产党领导的社会主义现代化。既有各国现代化的共同特征，更有基于自己国情的中国特色。中国式现代化离不开中国式职业教育现代化，中国式职业教育现代化的进程不是一蹴而就的，多年来，中国政府多次颁布相关政策法规，强调大力发展职业教育。因为不同地区的资源分配不均，测度职业教育的投入产出效率便是一个非常有效的测度方法。作为我国职业教育体系中的重要组成部分，本文选择职业教育中职业高级中学作为研究主体，科学测度教育投入产出效率，对于推进职业高级中学发展具有很强的现实意义。</w:t>
      </w:r>
    </w:p>
    <w:p>
      <w:pPr>
        <w:keepNext w:val="0"/>
        <w:keepLines w:val="0"/>
        <w:pageBreakBefore w:val="0"/>
        <w:widowControl w:val="0"/>
        <w:kinsoku/>
        <w:wordWrap/>
        <w:overflowPunct/>
        <w:topLinePunct w:val="0"/>
        <w:autoSpaceDE/>
        <w:autoSpaceDN/>
        <w:bidi w:val="0"/>
        <w:adjustRightInd/>
        <w:snapToGrid/>
        <w:spacing w:before="480" w:after="480"/>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阅读大量关于研究职业教育、职业教育测度标准等文献进行分析比较，本文以教职工总数和生师比作为人力投入指标，教学科研仪器设备资产值和校舍建筑面积作为物力投入指标，一般公共预算教育事业费支出作为财力投入指标，在校生数量作为数量产出，毕业生中获得职业资格证书人数作为质量产出，建立了职业高中教育投入产出指标体系。通过搜集整理中华人民共和国教育部的教育统计数据以及教育经费执行公告，运用了DEA模型以及Malmquist模型，对2013- 2021 年职业高中教育投入产出效率进行了核算并进行了有效性分析，规模报酬分析以及Malmquist指数分析最终根据结果对未来的职业教育发展做出了建议以及展望。</w:t>
      </w:r>
    </w:p>
    <w:p>
      <w:pPr>
        <w:keepNext w:val="0"/>
        <w:keepLines w:val="0"/>
        <w:pageBreakBefore w:val="0"/>
        <w:widowControl w:val="0"/>
        <w:kinsoku/>
        <w:wordWrap/>
        <w:overflowPunct/>
        <w:topLinePunct w:val="0"/>
        <w:autoSpaceDE/>
        <w:autoSpaceDN/>
        <w:bidi w:val="0"/>
        <w:adjustRightInd/>
        <w:snapToGrid/>
        <w:spacing w:before="480" w:after="480"/>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结果表明：到了2018年以后，中国加快实现现代化的过程中，逐渐重视中职教育，优化中职教育领域的财政分配，加强中职教育的管理，让中职教育投入产出效率得到了提高，但我们国家不同省份之间还存在着差异，通过分析可以知道中西部一些省份的中职教育正在逐步完善，并且已经趋于最优形态。其中在2013-2015年期间，规模报酬系数增长最快，这是由于中国式现代化进程突然加快，国家政策的导向更加重视中职教育，使得中职教育的教育系统优化，效率有效性的提高。最终从全国来看，我国各个省份的技术效率基本保持稳定增长。但是技术进步速率则有差距，也就是说不同省份达到最优形态，实现效率有效性最优，规模报酬最大化的速率不一样。通过对Malmquist指数的查看可以得出全国大部分省市的全要素生产率有所提升，中职教育的规模报酬增大。总的来说，近年来中国的中职教育配套措施逐渐完善，各种资源都得到了有效利用，规模报酬达到了最优状态，这都离不开中国式现代化的各种措施。基于以上结论，论文提出了完善中职教育资金投入政策，重视中职学生的教学内容和质量 ，保证中职教师的人才培养，推动产学研结合，重视学生的职业规划等对未来的期望。</w:t>
      </w:r>
    </w:p>
    <w:p>
      <w:pPr>
        <w:keepNext w:val="0"/>
        <w:keepLines w:val="0"/>
        <w:pageBreakBefore w:val="0"/>
        <w:widowControl w:val="0"/>
        <w:kinsoku/>
        <w:wordWrap/>
        <w:overflowPunct/>
        <w:topLinePunct w:val="0"/>
        <w:autoSpaceDE/>
        <w:autoSpaceDN/>
        <w:bidi w:val="0"/>
        <w:adjustRightInd/>
        <w:snapToGrid/>
        <w:spacing w:before="480" w:after="48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 xml:space="preserve">：中国式现代化 中职教育 DEA模型 Malmquist指数模型 投入产出指标体系 </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br w:type="page"/>
      </w:r>
    </w:p>
    <w:sdt>
      <w:sdtPr>
        <w:rPr>
          <w:rFonts w:ascii="宋体" w:hAnsi="宋体" w:eastAsia="宋体" w:cstheme="minorBidi"/>
          <w:kern w:val="2"/>
          <w:sz w:val="21"/>
          <w:szCs w:val="24"/>
          <w:lang w:val="en-US" w:eastAsia="zh-CN" w:bidi="ar-SA"/>
        </w:rPr>
        <w:id w:val="147458560"/>
        <w15:color w:val="DBDBDB"/>
        <w:docPartObj>
          <w:docPartGallery w:val="Table of Contents"/>
          <w:docPartUnique/>
        </w:docPartObj>
      </w:sdtPr>
      <w:sdtEndPr>
        <w:rPr>
          <w:rFonts w:hint="eastAsia" w:ascii="微软雅黑" w:hAnsi="微软雅黑" w:eastAsia="微软雅黑" w:cs="宋体"/>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12"/>
            </w:tabs>
            <w:rPr>
              <w:rFonts w:cs="宋体"/>
              <w:szCs w:val="24"/>
            </w:rPr>
          </w:pPr>
          <w:r>
            <w:rPr>
              <w:rFonts w:hint="eastAsia" w:ascii="微软雅黑" w:hAnsi="微软雅黑" w:eastAsia="微软雅黑" w:cs="宋体"/>
              <w:b w:val="0"/>
              <w:bCs w:val="0"/>
              <w:sz w:val="24"/>
              <w:szCs w:val="24"/>
              <w:lang w:val="en-US" w:eastAsia="zh-CN"/>
            </w:rPr>
            <w:fldChar w:fldCharType="begin"/>
          </w:r>
          <w:r>
            <w:rPr>
              <w:rFonts w:hint="eastAsia" w:ascii="微软雅黑" w:hAnsi="微软雅黑" w:eastAsia="微软雅黑" w:cs="宋体"/>
              <w:b w:val="0"/>
              <w:bCs w:val="0"/>
              <w:sz w:val="24"/>
              <w:szCs w:val="24"/>
              <w:lang w:val="en-US" w:eastAsia="zh-CN"/>
            </w:rPr>
            <w:instrText xml:space="preserve">TOC \o "1-3" \h \u </w:instrText>
          </w:r>
          <w:r>
            <w:rPr>
              <w:rFonts w:hint="eastAsia" w:ascii="微软雅黑" w:hAnsi="微软雅黑" w:eastAsia="微软雅黑" w:cs="宋体"/>
              <w:b w:val="0"/>
              <w:bCs w:val="0"/>
              <w:sz w:val="24"/>
              <w:szCs w:val="24"/>
              <w:lang w:val="en-US" w:eastAsia="zh-CN"/>
            </w:rPr>
            <w:fldChar w:fldCharType="separate"/>
          </w: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_Toc20998 </w:instrText>
          </w:r>
          <w:r>
            <w:rPr>
              <w:rFonts w:hint="eastAsia" w:ascii="微软雅黑" w:hAnsi="微软雅黑" w:eastAsia="微软雅黑" w:cs="宋体"/>
              <w:bCs w:val="0"/>
              <w:szCs w:val="24"/>
              <w:lang w:val="en-US" w:eastAsia="zh-CN"/>
            </w:rPr>
            <w:fldChar w:fldCharType="separate"/>
          </w:r>
          <w:r>
            <w:rPr>
              <w:rFonts w:hint="eastAsia" w:ascii="微软雅黑" w:hAnsi="微软雅黑" w:eastAsia="微软雅黑" w:cs="宋体"/>
              <w:bCs w:val="0"/>
              <w:szCs w:val="24"/>
              <w:lang w:val="en-US" w:eastAsia="zh-CN"/>
            </w:rPr>
            <w:t>标  题</w:t>
          </w:r>
          <w:r>
            <w:rPr>
              <w:rFonts w:cs="宋体"/>
              <w:szCs w:val="24"/>
            </w:rPr>
            <w:tab/>
          </w:r>
          <w:r>
            <w:rPr>
              <w:rFonts w:cs="宋体"/>
              <w:szCs w:val="24"/>
            </w:rPr>
            <w:fldChar w:fldCharType="begin"/>
          </w:r>
          <w:r>
            <w:rPr>
              <w:rFonts w:cs="宋体"/>
              <w:szCs w:val="24"/>
            </w:rPr>
            <w:instrText xml:space="preserve"> PAGEREF _Toc20998 \h </w:instrText>
          </w:r>
          <w:r>
            <w:rPr>
              <w:rFonts w:cs="宋体"/>
              <w:szCs w:val="24"/>
            </w:rPr>
            <w:fldChar w:fldCharType="separate"/>
          </w:r>
          <w:r>
            <w:rPr>
              <w:rFonts w:cs="宋体"/>
              <w:szCs w:val="24"/>
            </w:rPr>
            <w:t>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_Toc6768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摘  要</w:t>
          </w:r>
          <w:r>
            <w:rPr>
              <w:rFonts w:cs="宋体"/>
              <w:szCs w:val="24"/>
            </w:rPr>
            <w:tab/>
          </w:r>
          <w:r>
            <w:rPr>
              <w:rFonts w:cs="宋体"/>
              <w:szCs w:val="24"/>
            </w:rPr>
            <w:fldChar w:fldCharType="begin"/>
          </w:r>
          <w:r>
            <w:rPr>
              <w:rFonts w:cs="宋体"/>
              <w:szCs w:val="24"/>
            </w:rPr>
            <w:instrText xml:space="preserve"> PAGEREF _Toc6768 \h </w:instrText>
          </w:r>
          <w:r>
            <w:rPr>
              <w:rFonts w:cs="宋体"/>
              <w:szCs w:val="24"/>
            </w:rPr>
            <w:fldChar w:fldCharType="separate"/>
          </w:r>
          <w:r>
            <w:rPr>
              <w:rFonts w:cs="宋体"/>
              <w:szCs w:val="24"/>
            </w:rPr>
            <w:t>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_Toc29089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表格和插图清单</w:t>
          </w:r>
          <w:r>
            <w:rPr>
              <w:rFonts w:cs="宋体"/>
              <w:szCs w:val="24"/>
            </w:rPr>
            <w:tab/>
          </w:r>
          <w:r>
            <w:rPr>
              <w:rFonts w:cs="宋体"/>
              <w:szCs w:val="24"/>
            </w:rPr>
            <w:fldChar w:fldCharType="begin"/>
          </w:r>
          <w:r>
            <w:rPr>
              <w:rFonts w:cs="宋体"/>
              <w:szCs w:val="24"/>
            </w:rPr>
            <w:instrText xml:space="preserve"> PAGEREF _Toc29089 \h </w:instrText>
          </w:r>
          <w:r>
            <w:rPr>
              <w:rFonts w:cs="宋体"/>
              <w:szCs w:val="24"/>
            </w:rPr>
            <w:fldChar w:fldCharType="separate"/>
          </w:r>
          <w:r>
            <w:rPr>
              <w:rFonts w:cs="宋体"/>
              <w:szCs w:val="24"/>
            </w:rPr>
            <w:t>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_Toc10954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kern w:val="2"/>
              <w:szCs w:val="24"/>
              <w:lang w:val="en-US" w:eastAsia="zh-CN" w:bidi="ar-SA"/>
            </w:rPr>
            <w:t>第一章</w:t>
          </w:r>
          <w:r>
            <w:rPr>
              <w:rFonts w:hint="eastAsia" w:cs="宋体"/>
              <w:kern w:val="2"/>
              <w:szCs w:val="24"/>
              <w:lang w:val="en-US" w:eastAsia="zh-CN" w:bidi="ar-SA"/>
            </w:rPr>
            <w:t xml:space="preserve"> </w:t>
          </w:r>
          <w:r>
            <w:rPr>
              <w:rFonts w:hint="eastAsia" w:cs="宋体"/>
              <w:szCs w:val="24"/>
              <w:lang w:val="en-US" w:eastAsia="zh-CN"/>
            </w:rPr>
            <w:t>绪论</w:t>
          </w:r>
          <w:r>
            <w:rPr>
              <w:rFonts w:cs="宋体"/>
              <w:szCs w:val="24"/>
            </w:rPr>
            <w:tab/>
          </w:r>
          <w:r>
            <w:rPr>
              <w:rFonts w:cs="宋体"/>
              <w:szCs w:val="24"/>
            </w:rPr>
            <w:fldChar w:fldCharType="begin"/>
          </w:r>
          <w:r>
            <w:rPr>
              <w:rFonts w:cs="宋体"/>
              <w:szCs w:val="24"/>
            </w:rPr>
            <w:instrText xml:space="preserve"> PAGEREF _Toc10954 \h </w:instrText>
          </w:r>
          <w:r>
            <w:rPr>
              <w:rFonts w:cs="宋体"/>
              <w:szCs w:val="24"/>
            </w:rPr>
            <w:fldChar w:fldCharType="separate"/>
          </w:r>
          <w:r>
            <w:rPr>
              <w:rFonts w:cs="宋体"/>
              <w:szCs w:val="24"/>
            </w:rPr>
            <w:t>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_Toc3158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1.1研究背景及意义</w:t>
          </w:r>
          <w:r>
            <w:rPr>
              <w:rFonts w:cs="宋体"/>
              <w:szCs w:val="24"/>
            </w:rPr>
            <w:tab/>
          </w:r>
          <w:r>
            <w:rPr>
              <w:rFonts w:cs="宋体"/>
              <w:szCs w:val="24"/>
            </w:rPr>
            <w:fldChar w:fldCharType="begin"/>
          </w:r>
          <w:r>
            <w:rPr>
              <w:rFonts w:cs="宋体"/>
              <w:szCs w:val="24"/>
            </w:rPr>
            <w:instrText xml:space="preserve"> PAGEREF _Toc3158 \h </w:instrText>
          </w:r>
          <w:r>
            <w:rPr>
              <w:rFonts w:cs="宋体"/>
              <w:szCs w:val="24"/>
            </w:rPr>
            <w:fldChar w:fldCharType="separate"/>
          </w:r>
          <w:r>
            <w:rPr>
              <w:rFonts w:cs="宋体"/>
              <w:szCs w:val="24"/>
            </w:rPr>
            <w:t>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_Toc11782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kern w:val="2"/>
              <w:szCs w:val="24"/>
              <w:lang w:val="en-US" w:eastAsia="zh-CN" w:bidi="ar-SA"/>
            </w:rPr>
            <w:t>第二章</w:t>
          </w:r>
          <w:r>
            <w:rPr>
              <w:rFonts w:hint="eastAsia" w:cs="宋体"/>
              <w:kern w:val="2"/>
              <w:szCs w:val="24"/>
              <w:lang w:val="en-US" w:eastAsia="zh-CN" w:bidi="ar-SA"/>
            </w:rPr>
            <w:t xml:space="preserve"> </w:t>
          </w:r>
          <w:r>
            <w:rPr>
              <w:rFonts w:hint="eastAsia" w:cs="宋体"/>
              <w:szCs w:val="24"/>
              <w:lang w:val="en-US" w:eastAsia="zh-CN"/>
            </w:rPr>
            <w:t>相关概念的阐述</w:t>
          </w:r>
          <w:r>
            <w:rPr>
              <w:rFonts w:cs="宋体"/>
              <w:szCs w:val="24"/>
            </w:rPr>
            <w:tab/>
          </w:r>
          <w:r>
            <w:rPr>
              <w:rFonts w:cs="宋体"/>
              <w:szCs w:val="24"/>
            </w:rPr>
            <w:fldChar w:fldCharType="begin"/>
          </w:r>
          <w:r>
            <w:rPr>
              <w:rFonts w:cs="宋体"/>
              <w:szCs w:val="24"/>
            </w:rPr>
            <w:instrText xml:space="preserve"> PAGEREF _Toc11782 \h </w:instrText>
          </w:r>
          <w:r>
            <w:rPr>
              <w:rFonts w:cs="宋体"/>
              <w:szCs w:val="24"/>
            </w:rPr>
            <w:fldChar w:fldCharType="separate"/>
          </w:r>
          <w:r>
            <w:rPr>
              <w:rFonts w:cs="宋体"/>
              <w:szCs w:val="24"/>
            </w:rPr>
            <w:t>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_Toc30633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2.1中等职业教育</w:t>
          </w:r>
          <w:r>
            <w:rPr>
              <w:rFonts w:cs="宋体"/>
              <w:szCs w:val="24"/>
            </w:rPr>
            <w:tab/>
          </w:r>
          <w:r>
            <w:rPr>
              <w:rFonts w:cs="宋体"/>
              <w:szCs w:val="24"/>
            </w:rPr>
            <w:fldChar w:fldCharType="begin"/>
          </w:r>
          <w:r>
            <w:rPr>
              <w:rFonts w:cs="宋体"/>
              <w:szCs w:val="24"/>
            </w:rPr>
            <w:instrText xml:space="preserve"> PAGEREF _Toc30633 \h </w:instrText>
          </w:r>
          <w:r>
            <w:rPr>
              <w:rFonts w:cs="宋体"/>
              <w:szCs w:val="24"/>
            </w:rPr>
            <w:fldChar w:fldCharType="separate"/>
          </w:r>
          <w:r>
            <w:rPr>
              <w:rFonts w:cs="宋体"/>
              <w:szCs w:val="24"/>
            </w:rPr>
            <w:t>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_Toc18842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2.2教育效率</w:t>
          </w:r>
          <w:r>
            <w:rPr>
              <w:rFonts w:cs="宋体"/>
              <w:szCs w:val="24"/>
            </w:rPr>
            <w:tab/>
          </w:r>
          <w:r>
            <w:rPr>
              <w:rFonts w:cs="宋体"/>
              <w:szCs w:val="24"/>
            </w:rPr>
            <w:fldChar w:fldCharType="begin"/>
          </w:r>
          <w:r>
            <w:rPr>
              <w:rFonts w:cs="宋体"/>
              <w:szCs w:val="24"/>
            </w:rPr>
            <w:instrText xml:space="preserve"> PAGEREF _Toc18842 \h </w:instrText>
          </w:r>
          <w:r>
            <w:rPr>
              <w:rFonts w:cs="宋体"/>
              <w:szCs w:val="24"/>
            </w:rPr>
            <w:fldChar w:fldCharType="separate"/>
          </w:r>
          <w:r>
            <w:rPr>
              <w:rFonts w:cs="宋体"/>
              <w:szCs w:val="24"/>
            </w:rPr>
            <w:t>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_Toc22121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bCs/>
              <w:kern w:val="2"/>
              <w:szCs w:val="24"/>
              <w:lang w:val="en-US" w:eastAsia="zh-CN" w:bidi="ar-SA"/>
            </w:rPr>
            <w:t>第</w:t>
          </w:r>
          <w:r>
            <w:rPr>
              <w:rFonts w:hint="eastAsia" w:cs="宋体"/>
              <w:bCs/>
              <w:kern w:val="2"/>
              <w:szCs w:val="24"/>
              <w:lang w:val="en-US" w:eastAsia="zh-CN" w:bidi="ar-SA"/>
            </w:rPr>
            <w:t>三</w:t>
          </w:r>
          <w:r>
            <w:rPr>
              <w:rFonts w:hint="eastAsia" w:ascii="Arial" w:hAnsi="Arial" w:eastAsia="黑体" w:cs="宋体"/>
              <w:bCs/>
              <w:kern w:val="2"/>
              <w:szCs w:val="24"/>
              <w:lang w:val="en-US" w:eastAsia="zh-CN" w:bidi="ar-SA"/>
            </w:rPr>
            <w:t>章</w:t>
          </w:r>
          <w:r>
            <w:rPr>
              <w:rFonts w:hint="eastAsia" w:cs="宋体"/>
              <w:bCs/>
              <w:kern w:val="2"/>
              <w:szCs w:val="24"/>
              <w:lang w:val="en-US" w:eastAsia="zh-CN" w:bidi="ar-SA"/>
            </w:rPr>
            <w:t xml:space="preserve"> 教育评价指标</w:t>
          </w:r>
          <w:r>
            <w:rPr>
              <w:rFonts w:hint="eastAsia" w:cs="宋体"/>
              <w:bCs/>
              <w:szCs w:val="24"/>
              <w:lang w:val="en-US" w:eastAsia="zh-CN"/>
            </w:rPr>
            <w:t>构成及影响因素</w:t>
          </w:r>
          <w:r>
            <w:rPr>
              <w:rFonts w:cs="宋体"/>
              <w:szCs w:val="24"/>
            </w:rPr>
            <w:tab/>
          </w:r>
          <w:r>
            <w:rPr>
              <w:rFonts w:cs="宋体"/>
              <w:szCs w:val="24"/>
            </w:rPr>
            <w:fldChar w:fldCharType="begin"/>
          </w:r>
          <w:r>
            <w:rPr>
              <w:rFonts w:cs="宋体"/>
              <w:szCs w:val="24"/>
            </w:rPr>
            <w:instrText xml:space="preserve"> PAGEREF _Toc22121 \h </w:instrText>
          </w:r>
          <w:r>
            <w:rPr>
              <w:rFonts w:cs="宋体"/>
              <w:szCs w:val="24"/>
            </w:rPr>
            <w:fldChar w:fldCharType="separate"/>
          </w:r>
          <w:r>
            <w:rPr>
              <w:rFonts w:cs="宋体"/>
              <w:szCs w:val="24"/>
            </w:rPr>
            <w:t>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_Toc14984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3.1教育评价指标的构成</w:t>
          </w:r>
          <w:r>
            <w:rPr>
              <w:rFonts w:cs="宋体"/>
              <w:szCs w:val="24"/>
            </w:rPr>
            <w:tab/>
          </w:r>
          <w:r>
            <w:rPr>
              <w:rFonts w:cs="宋体"/>
              <w:szCs w:val="24"/>
            </w:rPr>
            <w:fldChar w:fldCharType="begin"/>
          </w:r>
          <w:r>
            <w:rPr>
              <w:rFonts w:cs="宋体"/>
              <w:szCs w:val="24"/>
            </w:rPr>
            <w:instrText xml:space="preserve"> PAGEREF _Toc14984 \h </w:instrText>
          </w:r>
          <w:r>
            <w:rPr>
              <w:rFonts w:cs="宋体"/>
              <w:szCs w:val="24"/>
            </w:rPr>
            <w:fldChar w:fldCharType="separate"/>
          </w:r>
          <w:r>
            <w:rPr>
              <w:rFonts w:cs="宋体"/>
              <w:szCs w:val="24"/>
            </w:rPr>
            <w:t>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_Toc30523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3.2教育评价指标的影响因素</w:t>
          </w:r>
          <w:r>
            <w:rPr>
              <w:rFonts w:cs="宋体"/>
              <w:szCs w:val="24"/>
            </w:rPr>
            <w:tab/>
          </w:r>
          <w:r>
            <w:rPr>
              <w:rFonts w:cs="宋体"/>
              <w:szCs w:val="24"/>
            </w:rPr>
            <w:fldChar w:fldCharType="begin"/>
          </w:r>
          <w:r>
            <w:rPr>
              <w:rFonts w:cs="宋体"/>
              <w:szCs w:val="24"/>
            </w:rPr>
            <w:instrText xml:space="preserve"> PAGEREF _Toc30523 \h </w:instrText>
          </w:r>
          <w:r>
            <w:rPr>
              <w:rFonts w:cs="宋体"/>
              <w:szCs w:val="24"/>
            </w:rPr>
            <w:fldChar w:fldCharType="separate"/>
          </w:r>
          <w:r>
            <w:rPr>
              <w:rFonts w:cs="宋体"/>
              <w:szCs w:val="24"/>
            </w:rPr>
            <w:t>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_Toc11231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kern w:val="2"/>
              <w:szCs w:val="24"/>
              <w:lang w:val="en-US" w:eastAsia="zh-CN" w:bidi="ar-SA"/>
            </w:rPr>
            <w:t>第</w:t>
          </w:r>
          <w:r>
            <w:rPr>
              <w:rFonts w:hint="eastAsia" w:cs="宋体"/>
              <w:kern w:val="2"/>
              <w:szCs w:val="24"/>
              <w:lang w:val="en-US" w:eastAsia="zh-CN" w:bidi="ar-SA"/>
            </w:rPr>
            <w:t>四</w:t>
          </w:r>
          <w:r>
            <w:rPr>
              <w:rFonts w:hint="eastAsia" w:ascii="Arial" w:hAnsi="Arial" w:eastAsia="黑体" w:cs="宋体"/>
              <w:kern w:val="2"/>
              <w:szCs w:val="24"/>
              <w:lang w:val="en-US" w:eastAsia="zh-CN" w:bidi="ar-SA"/>
            </w:rPr>
            <w:t>章</w:t>
          </w:r>
          <w:r>
            <w:rPr>
              <w:rFonts w:hint="eastAsia" w:cs="宋体"/>
              <w:kern w:val="2"/>
              <w:szCs w:val="24"/>
              <w:lang w:val="en-US" w:eastAsia="zh-CN" w:bidi="ar-SA"/>
            </w:rPr>
            <w:t xml:space="preserve"> </w:t>
          </w:r>
          <w:r>
            <w:rPr>
              <w:rFonts w:hint="eastAsia" w:cs="宋体"/>
              <w:szCs w:val="24"/>
              <w:lang w:val="en-US" w:eastAsia="zh-CN"/>
            </w:rPr>
            <w:t>职业高中的教育现状分析</w:t>
          </w:r>
          <w:r>
            <w:rPr>
              <w:rFonts w:cs="宋体"/>
              <w:szCs w:val="24"/>
            </w:rPr>
            <w:tab/>
          </w:r>
          <w:r>
            <w:rPr>
              <w:rFonts w:cs="宋体"/>
              <w:szCs w:val="24"/>
            </w:rPr>
            <w:fldChar w:fldCharType="begin"/>
          </w:r>
          <w:r>
            <w:rPr>
              <w:rFonts w:cs="宋体"/>
              <w:szCs w:val="24"/>
            </w:rPr>
            <w:instrText xml:space="preserve"> PAGEREF _Toc11231 \h </w:instrText>
          </w:r>
          <w:r>
            <w:rPr>
              <w:rFonts w:cs="宋体"/>
              <w:szCs w:val="24"/>
            </w:rPr>
            <w:fldChar w:fldCharType="separate"/>
          </w:r>
          <w:r>
            <w:rPr>
              <w:rFonts w:cs="宋体"/>
              <w:szCs w:val="24"/>
            </w:rPr>
            <w:t>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_Toc7145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4.1职业高中教育投入现状</w:t>
          </w:r>
          <w:r>
            <w:rPr>
              <w:rFonts w:cs="宋体"/>
              <w:szCs w:val="24"/>
            </w:rPr>
            <w:tab/>
          </w:r>
          <w:r>
            <w:rPr>
              <w:rFonts w:cs="宋体"/>
              <w:szCs w:val="24"/>
            </w:rPr>
            <w:fldChar w:fldCharType="begin"/>
          </w:r>
          <w:r>
            <w:rPr>
              <w:rFonts w:cs="宋体"/>
              <w:szCs w:val="24"/>
            </w:rPr>
            <w:instrText xml:space="preserve"> PAGEREF _Toc7145 \h </w:instrText>
          </w:r>
          <w:r>
            <w:rPr>
              <w:rFonts w:cs="宋体"/>
              <w:szCs w:val="24"/>
            </w:rPr>
            <w:fldChar w:fldCharType="separate"/>
          </w:r>
          <w:r>
            <w:rPr>
              <w:rFonts w:cs="宋体"/>
              <w:szCs w:val="24"/>
            </w:rPr>
            <w:t>10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_Toc30553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4.2职业高中教育产出现状</w:t>
          </w:r>
          <w:r>
            <w:rPr>
              <w:rFonts w:cs="宋体"/>
              <w:szCs w:val="24"/>
            </w:rPr>
            <w:tab/>
          </w:r>
          <w:r>
            <w:rPr>
              <w:rFonts w:cs="宋体"/>
              <w:szCs w:val="24"/>
            </w:rPr>
            <w:fldChar w:fldCharType="begin"/>
          </w:r>
          <w:r>
            <w:rPr>
              <w:rFonts w:cs="宋体"/>
              <w:szCs w:val="24"/>
            </w:rPr>
            <w:instrText xml:space="preserve"> PAGEREF _Toc30553 \h </w:instrText>
          </w:r>
          <w:r>
            <w:rPr>
              <w:rFonts w:cs="宋体"/>
              <w:szCs w:val="24"/>
            </w:rPr>
            <w:fldChar w:fldCharType="separate"/>
          </w:r>
          <w:r>
            <w:rPr>
              <w:rFonts w:cs="宋体"/>
              <w:szCs w:val="24"/>
            </w:rPr>
            <w:t>11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_Toc8723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4.3职业高中教育投入产出现状综合分析</w:t>
          </w:r>
          <w:r>
            <w:rPr>
              <w:rFonts w:cs="宋体"/>
              <w:szCs w:val="24"/>
            </w:rPr>
            <w:tab/>
          </w:r>
          <w:r>
            <w:rPr>
              <w:rFonts w:cs="宋体"/>
              <w:szCs w:val="24"/>
            </w:rPr>
            <w:fldChar w:fldCharType="begin"/>
          </w:r>
          <w:r>
            <w:rPr>
              <w:rFonts w:cs="宋体"/>
              <w:szCs w:val="24"/>
            </w:rPr>
            <w:instrText xml:space="preserve"> PAGEREF _Toc8723 \h </w:instrText>
          </w:r>
          <w:r>
            <w:rPr>
              <w:rFonts w:cs="宋体"/>
              <w:szCs w:val="24"/>
            </w:rPr>
            <w:fldChar w:fldCharType="separate"/>
          </w:r>
          <w:r>
            <w:rPr>
              <w:rFonts w:cs="宋体"/>
              <w:szCs w:val="24"/>
            </w:rPr>
            <w:t>11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_Toc27570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4.4各省中职教育近三年的关键评价指标统计</w:t>
          </w:r>
          <w:r>
            <w:rPr>
              <w:rFonts w:cs="宋体"/>
              <w:szCs w:val="24"/>
            </w:rPr>
            <w:tab/>
          </w:r>
          <w:r>
            <w:rPr>
              <w:rFonts w:cs="宋体"/>
              <w:szCs w:val="24"/>
            </w:rPr>
            <w:fldChar w:fldCharType="begin"/>
          </w:r>
          <w:r>
            <w:rPr>
              <w:rFonts w:cs="宋体"/>
              <w:szCs w:val="24"/>
            </w:rPr>
            <w:instrText xml:space="preserve"> PAGEREF _Toc27570 \h </w:instrText>
          </w:r>
          <w:r>
            <w:rPr>
              <w:rFonts w:cs="宋体"/>
              <w:szCs w:val="24"/>
            </w:rPr>
            <w:fldChar w:fldCharType="separate"/>
          </w:r>
          <w:r>
            <w:rPr>
              <w:rFonts w:cs="宋体"/>
              <w:szCs w:val="24"/>
            </w:rPr>
            <w:t>13</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0"/>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_Toc28316 </w:instrText>
          </w:r>
          <w:r>
            <w:rPr>
              <w:rFonts w:hint="eastAsia" w:ascii="微软雅黑" w:hAnsi="微软雅黑" w:eastAsia="微软雅黑" w:cs="宋体"/>
              <w:bCs w:val="0"/>
              <w:szCs w:val="24"/>
              <w:lang w:val="en-US" w:eastAsia="zh-CN"/>
            </w:rPr>
            <w:fldChar w:fldCharType="separate"/>
          </w:r>
          <w:r>
            <w:rPr>
              <w:rFonts w:hint="eastAsia" w:ascii="黑体" w:hAnsi="黑体" w:eastAsia="黑体" w:cs="宋体"/>
              <w:bCs/>
              <w:kern w:val="0"/>
              <w:szCs w:val="24"/>
              <w:lang w:val="en-US" w:eastAsia="zh-CN" w:bidi="ar"/>
            </w:rPr>
            <w:t>第五章 职业高中教育投入产出效率测度与分析</w:t>
          </w:r>
          <w:r>
            <w:rPr>
              <w:rFonts w:cs="宋体"/>
              <w:szCs w:val="24"/>
            </w:rPr>
            <w:tab/>
          </w:r>
          <w:r>
            <w:rPr>
              <w:rFonts w:cs="宋体"/>
              <w:szCs w:val="24"/>
            </w:rPr>
            <w:fldChar w:fldCharType="begin"/>
          </w:r>
          <w:r>
            <w:rPr>
              <w:rFonts w:cs="宋体"/>
              <w:szCs w:val="24"/>
            </w:rPr>
            <w:instrText xml:space="preserve"> PAGEREF _Toc28316 \h </w:instrText>
          </w:r>
          <w:r>
            <w:rPr>
              <w:rFonts w:cs="宋体"/>
              <w:szCs w:val="24"/>
            </w:rPr>
            <w:fldChar w:fldCharType="separate"/>
          </w:r>
          <w:r>
            <w:rPr>
              <w:rFonts w:cs="宋体"/>
              <w:szCs w:val="24"/>
            </w:rPr>
            <w:t>15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_Toc20217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5.1 职业高中教育投入产出效率模型的建立</w:t>
          </w:r>
          <w:r>
            <w:rPr>
              <w:rFonts w:cs="宋体"/>
              <w:szCs w:val="24"/>
            </w:rPr>
            <w:tab/>
          </w:r>
          <w:r>
            <w:rPr>
              <w:rFonts w:cs="宋体"/>
              <w:szCs w:val="24"/>
            </w:rPr>
            <w:fldChar w:fldCharType="begin"/>
          </w:r>
          <w:r>
            <w:rPr>
              <w:rFonts w:cs="宋体"/>
              <w:szCs w:val="24"/>
            </w:rPr>
            <w:instrText xml:space="preserve"> PAGEREF _Toc20217 \h </w:instrText>
          </w:r>
          <w:r>
            <w:rPr>
              <w:rFonts w:cs="宋体"/>
              <w:szCs w:val="24"/>
            </w:rPr>
            <w:fldChar w:fldCharType="separate"/>
          </w:r>
          <w:r>
            <w:rPr>
              <w:rFonts w:cs="宋体"/>
              <w:szCs w:val="24"/>
            </w:rPr>
            <w:t>15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_Toc6469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5.1.1 DEA模型</w:t>
          </w:r>
          <w:r>
            <w:rPr>
              <w:rFonts w:cs="宋体"/>
              <w:szCs w:val="24"/>
            </w:rPr>
            <w:tab/>
          </w:r>
          <w:r>
            <w:rPr>
              <w:rFonts w:cs="宋体"/>
              <w:szCs w:val="24"/>
            </w:rPr>
            <w:fldChar w:fldCharType="begin"/>
          </w:r>
          <w:r>
            <w:rPr>
              <w:rFonts w:cs="宋体"/>
              <w:szCs w:val="24"/>
            </w:rPr>
            <w:instrText xml:space="preserve"> PAGEREF _Toc6469 \h </w:instrText>
          </w:r>
          <w:r>
            <w:rPr>
              <w:rFonts w:cs="宋体"/>
              <w:szCs w:val="24"/>
            </w:rPr>
            <w:fldChar w:fldCharType="separate"/>
          </w:r>
          <w:r>
            <w:rPr>
              <w:rFonts w:cs="宋体"/>
              <w:szCs w:val="24"/>
            </w:rPr>
            <w:t>15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_Toc17449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5.1.2 Malmquist指数模型</w:t>
          </w:r>
          <w:r>
            <w:rPr>
              <w:rFonts w:cs="宋体"/>
              <w:szCs w:val="24"/>
            </w:rPr>
            <w:tab/>
          </w:r>
          <w:r>
            <w:rPr>
              <w:rFonts w:cs="宋体"/>
              <w:szCs w:val="24"/>
            </w:rPr>
            <w:fldChar w:fldCharType="begin"/>
          </w:r>
          <w:r>
            <w:rPr>
              <w:rFonts w:cs="宋体"/>
              <w:szCs w:val="24"/>
            </w:rPr>
            <w:instrText xml:space="preserve"> PAGEREF _Toc17449 \h </w:instrText>
          </w:r>
          <w:r>
            <w:rPr>
              <w:rFonts w:cs="宋体"/>
              <w:szCs w:val="24"/>
            </w:rPr>
            <w:fldChar w:fldCharType="separate"/>
          </w:r>
          <w:r>
            <w:rPr>
              <w:rFonts w:cs="宋体"/>
              <w:szCs w:val="24"/>
            </w:rPr>
            <w:t>16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_Toc593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5.1.3模型选取原因</w:t>
          </w:r>
          <w:r>
            <w:rPr>
              <w:rFonts w:cs="宋体"/>
              <w:szCs w:val="24"/>
            </w:rPr>
            <w:tab/>
          </w:r>
          <w:r>
            <w:rPr>
              <w:rFonts w:cs="宋体"/>
              <w:szCs w:val="24"/>
            </w:rPr>
            <w:fldChar w:fldCharType="begin"/>
          </w:r>
          <w:r>
            <w:rPr>
              <w:rFonts w:cs="宋体"/>
              <w:szCs w:val="24"/>
            </w:rPr>
            <w:instrText xml:space="preserve"> PAGEREF _Toc593 \h </w:instrText>
          </w:r>
          <w:r>
            <w:rPr>
              <w:rFonts w:cs="宋体"/>
              <w:szCs w:val="24"/>
            </w:rPr>
            <w:fldChar w:fldCharType="separate"/>
          </w:r>
          <w:r>
            <w:rPr>
              <w:rFonts w:cs="宋体"/>
              <w:szCs w:val="24"/>
            </w:rPr>
            <w:t>17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_Toc14029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5.2 职业高中教育效率测度指标体系设计</w:t>
          </w:r>
          <w:r>
            <w:rPr>
              <w:rFonts w:cs="宋体"/>
              <w:szCs w:val="24"/>
            </w:rPr>
            <w:tab/>
          </w:r>
          <w:r>
            <w:rPr>
              <w:rFonts w:cs="宋体"/>
              <w:szCs w:val="24"/>
            </w:rPr>
            <w:fldChar w:fldCharType="begin"/>
          </w:r>
          <w:r>
            <w:rPr>
              <w:rFonts w:cs="宋体"/>
              <w:szCs w:val="24"/>
            </w:rPr>
            <w:instrText xml:space="preserve"> PAGEREF _Toc14029 \h </w:instrText>
          </w:r>
          <w:r>
            <w:rPr>
              <w:rFonts w:cs="宋体"/>
              <w:szCs w:val="24"/>
            </w:rPr>
            <w:fldChar w:fldCharType="separate"/>
          </w:r>
          <w:r>
            <w:rPr>
              <w:rFonts w:cs="宋体"/>
              <w:szCs w:val="24"/>
            </w:rPr>
            <w:t>17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_Toc2606 </w:instrText>
          </w:r>
          <w:r>
            <w:rPr>
              <w:rFonts w:hint="eastAsia" w:ascii="微软雅黑" w:hAnsi="微软雅黑" w:eastAsia="微软雅黑" w:cs="宋体"/>
              <w:bCs w:val="0"/>
              <w:szCs w:val="24"/>
              <w:lang w:val="en-US" w:eastAsia="zh-CN"/>
            </w:rPr>
            <w:fldChar w:fldCharType="separate"/>
          </w:r>
          <w:r>
            <w:rPr>
              <w:rFonts w:hint="eastAsia" w:cs="宋体" w:asciiTheme="minorEastAsia" w:hAnsiTheme="minorEastAsia"/>
              <w:bCs/>
              <w:kern w:val="0"/>
              <w:szCs w:val="24"/>
              <w:lang w:val="en-US" w:eastAsia="zh-CN" w:bidi="ar"/>
            </w:rPr>
            <w:t>5</w:t>
          </w:r>
          <w:r>
            <w:rPr>
              <w:rFonts w:hint="eastAsia" w:cs="宋体" w:asciiTheme="minorEastAsia" w:hAnsiTheme="minorEastAsia" w:eastAsiaTheme="minorEastAsia"/>
              <w:bCs/>
              <w:kern w:val="0"/>
              <w:szCs w:val="24"/>
              <w:lang w:val="en-US" w:eastAsia="zh-CN" w:bidi="ar"/>
            </w:rPr>
            <w:t>.2.1指标体系设计的目标：</w:t>
          </w:r>
          <w:r>
            <w:rPr>
              <w:rFonts w:cs="宋体"/>
              <w:szCs w:val="24"/>
            </w:rPr>
            <w:tab/>
          </w:r>
          <w:r>
            <w:rPr>
              <w:rFonts w:cs="宋体"/>
              <w:szCs w:val="24"/>
            </w:rPr>
            <w:fldChar w:fldCharType="begin"/>
          </w:r>
          <w:r>
            <w:rPr>
              <w:rFonts w:cs="宋体"/>
              <w:szCs w:val="24"/>
            </w:rPr>
            <w:instrText xml:space="preserve"> PAGEREF _Toc2606 \h </w:instrText>
          </w:r>
          <w:r>
            <w:rPr>
              <w:rFonts w:cs="宋体"/>
              <w:szCs w:val="24"/>
            </w:rPr>
            <w:fldChar w:fldCharType="separate"/>
          </w:r>
          <w:r>
            <w:rPr>
              <w:rFonts w:cs="宋体"/>
              <w:szCs w:val="24"/>
            </w:rPr>
            <w:t>17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_Toc17531 </w:instrText>
          </w:r>
          <w:r>
            <w:rPr>
              <w:rFonts w:hint="eastAsia" w:ascii="微软雅黑" w:hAnsi="微软雅黑" w:eastAsia="微软雅黑" w:cs="宋体"/>
              <w:bCs w:val="0"/>
              <w:szCs w:val="24"/>
              <w:lang w:val="en-US" w:eastAsia="zh-CN"/>
            </w:rPr>
            <w:fldChar w:fldCharType="separate"/>
          </w:r>
          <w:r>
            <w:rPr>
              <w:rFonts w:hint="eastAsia" w:cs="宋体" w:asciiTheme="minorEastAsia" w:hAnsiTheme="minorEastAsia"/>
              <w:bCs/>
              <w:kern w:val="0"/>
              <w:szCs w:val="24"/>
              <w:lang w:val="en-US" w:eastAsia="zh-CN" w:bidi="ar"/>
            </w:rPr>
            <w:t>5</w:t>
          </w:r>
          <w:r>
            <w:rPr>
              <w:rFonts w:hint="eastAsia" w:cs="宋体" w:asciiTheme="minorEastAsia" w:hAnsiTheme="minorEastAsia" w:eastAsiaTheme="minorEastAsia"/>
              <w:bCs/>
              <w:kern w:val="0"/>
              <w:szCs w:val="24"/>
              <w:lang w:val="en-US" w:eastAsia="zh-CN" w:bidi="ar"/>
            </w:rPr>
            <w:t>.2.2指标体系设计的原则：</w:t>
          </w:r>
          <w:r>
            <w:rPr>
              <w:rFonts w:cs="宋体"/>
              <w:szCs w:val="24"/>
            </w:rPr>
            <w:tab/>
          </w:r>
          <w:r>
            <w:rPr>
              <w:rFonts w:cs="宋体"/>
              <w:szCs w:val="24"/>
            </w:rPr>
            <w:fldChar w:fldCharType="begin"/>
          </w:r>
          <w:r>
            <w:rPr>
              <w:rFonts w:cs="宋体"/>
              <w:szCs w:val="24"/>
            </w:rPr>
            <w:instrText xml:space="preserve"> PAGEREF _Toc17531 \h </w:instrText>
          </w:r>
          <w:r>
            <w:rPr>
              <w:rFonts w:cs="宋体"/>
              <w:szCs w:val="24"/>
            </w:rPr>
            <w:fldChar w:fldCharType="separate"/>
          </w:r>
          <w:r>
            <w:rPr>
              <w:rFonts w:cs="宋体"/>
              <w:szCs w:val="24"/>
            </w:rPr>
            <w:t>18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_Toc9074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5.2.3 评价指标体系的构成：</w:t>
          </w:r>
          <w:r>
            <w:rPr>
              <w:rFonts w:cs="宋体"/>
              <w:szCs w:val="24"/>
            </w:rPr>
            <w:tab/>
          </w:r>
          <w:r>
            <w:rPr>
              <w:rFonts w:cs="宋体"/>
              <w:szCs w:val="24"/>
            </w:rPr>
            <w:fldChar w:fldCharType="begin"/>
          </w:r>
          <w:r>
            <w:rPr>
              <w:rFonts w:cs="宋体"/>
              <w:szCs w:val="24"/>
            </w:rPr>
            <w:instrText xml:space="preserve"> PAGEREF _Toc9074 \h </w:instrText>
          </w:r>
          <w:r>
            <w:rPr>
              <w:rFonts w:cs="宋体"/>
              <w:szCs w:val="24"/>
            </w:rPr>
            <w:fldChar w:fldCharType="separate"/>
          </w:r>
          <w:r>
            <w:rPr>
              <w:rFonts w:cs="宋体"/>
              <w:szCs w:val="24"/>
            </w:rPr>
            <w:t>18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_Toc7015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5.3  职业高中教育投入产出效率模型的结果及分析</w:t>
          </w:r>
          <w:r>
            <w:rPr>
              <w:rFonts w:cs="宋体"/>
              <w:szCs w:val="24"/>
            </w:rPr>
            <w:tab/>
          </w:r>
          <w:r>
            <w:rPr>
              <w:rFonts w:cs="宋体"/>
              <w:szCs w:val="24"/>
            </w:rPr>
            <w:fldChar w:fldCharType="begin"/>
          </w:r>
          <w:r>
            <w:rPr>
              <w:rFonts w:cs="宋体"/>
              <w:szCs w:val="24"/>
            </w:rPr>
            <w:instrText xml:space="preserve"> PAGEREF _Toc7015 \h </w:instrText>
          </w:r>
          <w:r>
            <w:rPr>
              <w:rFonts w:cs="宋体"/>
              <w:szCs w:val="24"/>
            </w:rPr>
            <w:fldChar w:fldCharType="separate"/>
          </w:r>
          <w:r>
            <w:rPr>
              <w:rFonts w:cs="宋体"/>
              <w:szCs w:val="24"/>
            </w:rPr>
            <w:t>19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_Toc31147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szCs w:val="24"/>
              <w:lang w:val="en-US" w:eastAsia="zh-CN"/>
            </w:rPr>
            <w:t>5.3.1 数据来源及处理</w:t>
          </w:r>
          <w:r>
            <w:rPr>
              <w:rFonts w:cs="宋体"/>
              <w:szCs w:val="24"/>
            </w:rPr>
            <w:tab/>
          </w:r>
          <w:r>
            <w:rPr>
              <w:rFonts w:cs="宋体"/>
              <w:szCs w:val="24"/>
            </w:rPr>
            <w:fldChar w:fldCharType="begin"/>
          </w:r>
          <w:r>
            <w:rPr>
              <w:rFonts w:cs="宋体"/>
              <w:szCs w:val="24"/>
            </w:rPr>
            <w:instrText xml:space="preserve"> PAGEREF _Toc31147 \h </w:instrText>
          </w:r>
          <w:r>
            <w:rPr>
              <w:rFonts w:cs="宋体"/>
              <w:szCs w:val="24"/>
            </w:rPr>
            <w:fldChar w:fldCharType="separate"/>
          </w:r>
          <w:r>
            <w:rPr>
              <w:rFonts w:cs="宋体"/>
              <w:szCs w:val="24"/>
            </w:rPr>
            <w:t>19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_Toc15973 </w:instrText>
          </w:r>
          <w:r>
            <w:rPr>
              <w:rFonts w:hint="eastAsia" w:ascii="微软雅黑" w:hAnsi="微软雅黑" w:eastAsia="微软雅黑" w:cs="宋体"/>
              <w:bCs w:val="0"/>
              <w:szCs w:val="24"/>
              <w:lang w:val="en-US" w:eastAsia="zh-CN"/>
            </w:rPr>
            <w:fldChar w:fldCharType="separate"/>
          </w:r>
          <w:r>
            <w:rPr>
              <w:rFonts w:hint="eastAsia" w:cs="宋体" w:asciiTheme="minorEastAsia" w:hAnsiTheme="minorEastAsia"/>
              <w:bCs/>
              <w:szCs w:val="24"/>
              <w:lang w:val="en-US" w:eastAsia="zh-CN"/>
            </w:rPr>
            <w:t>5</w:t>
          </w:r>
          <w:r>
            <w:rPr>
              <w:rFonts w:hint="eastAsia" w:cs="宋体" w:asciiTheme="minorEastAsia" w:hAnsiTheme="minorEastAsia" w:eastAsiaTheme="minorEastAsia"/>
              <w:bCs/>
              <w:szCs w:val="24"/>
              <w:lang w:val="en-US" w:eastAsia="zh-CN"/>
            </w:rPr>
            <w:t>.3.2 职高教育效率有效性分析</w:t>
          </w:r>
          <w:r>
            <w:rPr>
              <w:rFonts w:cs="宋体"/>
              <w:szCs w:val="24"/>
            </w:rPr>
            <w:tab/>
          </w:r>
          <w:r>
            <w:rPr>
              <w:rFonts w:cs="宋体"/>
              <w:szCs w:val="24"/>
            </w:rPr>
            <w:fldChar w:fldCharType="begin"/>
          </w:r>
          <w:r>
            <w:rPr>
              <w:rFonts w:cs="宋体"/>
              <w:szCs w:val="24"/>
            </w:rPr>
            <w:instrText xml:space="preserve"> PAGEREF _Toc15973 \h </w:instrText>
          </w:r>
          <w:r>
            <w:rPr>
              <w:rFonts w:cs="宋体"/>
              <w:szCs w:val="24"/>
            </w:rPr>
            <w:fldChar w:fldCharType="separate"/>
          </w:r>
          <w:r>
            <w:rPr>
              <w:rFonts w:cs="宋体"/>
              <w:szCs w:val="24"/>
            </w:rPr>
            <w:t>20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_Toc31705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w:t>
          </w:r>
          <w:r>
            <w:rPr>
              <w:rFonts w:hint="default" w:ascii="宋体" w:hAnsi="宋体" w:eastAsia="宋体" w:cs="宋体"/>
              <w:bCs/>
              <w:kern w:val="0"/>
              <w:szCs w:val="24"/>
              <w:lang w:val="en-US" w:eastAsia="zh-CN" w:bidi="ar"/>
            </w:rPr>
            <w:t>.3.3 职高教育效率规模报酬分析</w:t>
          </w:r>
          <w:r>
            <w:rPr>
              <w:rFonts w:cs="宋体"/>
              <w:szCs w:val="24"/>
            </w:rPr>
            <w:tab/>
          </w:r>
          <w:r>
            <w:rPr>
              <w:rFonts w:cs="宋体"/>
              <w:szCs w:val="24"/>
            </w:rPr>
            <w:fldChar w:fldCharType="begin"/>
          </w:r>
          <w:r>
            <w:rPr>
              <w:rFonts w:cs="宋体"/>
              <w:szCs w:val="24"/>
            </w:rPr>
            <w:instrText xml:space="preserve"> PAGEREF _Toc31705 \h </w:instrText>
          </w:r>
          <w:r>
            <w:rPr>
              <w:rFonts w:cs="宋体"/>
              <w:szCs w:val="24"/>
            </w:rPr>
            <w:fldChar w:fldCharType="separate"/>
          </w:r>
          <w:r>
            <w:rPr>
              <w:rFonts w:cs="宋体"/>
              <w:szCs w:val="24"/>
            </w:rPr>
            <w:t>23</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_Toc25096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szCs w:val="24"/>
              <w:lang w:val="en-US" w:eastAsia="zh-CN"/>
            </w:rPr>
            <w:t>5</w:t>
          </w:r>
          <w:r>
            <w:rPr>
              <w:rFonts w:hint="eastAsia" w:ascii="宋体" w:hAnsi="宋体" w:eastAsia="宋体" w:cs="宋体"/>
              <w:bCs/>
              <w:szCs w:val="24"/>
            </w:rPr>
            <w:t>.3.4 职高教育效率Malmquist指数分析</w:t>
          </w:r>
          <w:r>
            <w:rPr>
              <w:rFonts w:cs="宋体"/>
              <w:szCs w:val="24"/>
            </w:rPr>
            <w:tab/>
          </w:r>
          <w:r>
            <w:rPr>
              <w:rFonts w:cs="宋体"/>
              <w:szCs w:val="24"/>
            </w:rPr>
            <w:fldChar w:fldCharType="begin"/>
          </w:r>
          <w:r>
            <w:rPr>
              <w:rFonts w:cs="宋体"/>
              <w:szCs w:val="24"/>
            </w:rPr>
            <w:instrText xml:space="preserve"> PAGEREF _Toc25096 \h </w:instrText>
          </w:r>
          <w:r>
            <w:rPr>
              <w:rFonts w:cs="宋体"/>
              <w:szCs w:val="24"/>
            </w:rPr>
            <w:fldChar w:fldCharType="separate"/>
          </w:r>
          <w:r>
            <w:rPr>
              <w:rFonts w:cs="宋体"/>
              <w:szCs w:val="24"/>
            </w:rPr>
            <w:t>24</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0"/>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_Toc20360 </w:instrText>
          </w:r>
          <w:r>
            <w:rPr>
              <w:rFonts w:hint="eastAsia" w:ascii="微软雅黑" w:hAnsi="微软雅黑" w:eastAsia="微软雅黑" w:cs="宋体"/>
              <w:bCs w:val="0"/>
              <w:szCs w:val="24"/>
              <w:lang w:val="en-US" w:eastAsia="zh-CN"/>
            </w:rPr>
            <w:fldChar w:fldCharType="separate"/>
          </w:r>
          <w:r>
            <w:rPr>
              <w:rFonts w:hint="eastAsia" w:ascii="黑体" w:hAnsi="黑体" w:eastAsia="黑体" w:cs="宋体"/>
              <w:bCs/>
              <w:kern w:val="0"/>
              <w:szCs w:val="24"/>
              <w:lang w:val="en-US" w:eastAsia="zh-CN" w:bidi="ar"/>
            </w:rPr>
            <w:t>第六章 研究结论与对策建议</w:t>
          </w:r>
          <w:r>
            <w:rPr>
              <w:rFonts w:cs="宋体"/>
              <w:szCs w:val="24"/>
            </w:rPr>
            <w:tab/>
          </w:r>
          <w:r>
            <w:rPr>
              <w:rFonts w:cs="宋体"/>
              <w:szCs w:val="24"/>
            </w:rPr>
            <w:fldChar w:fldCharType="begin"/>
          </w:r>
          <w:r>
            <w:rPr>
              <w:rFonts w:cs="宋体"/>
              <w:szCs w:val="24"/>
            </w:rPr>
            <w:instrText xml:space="preserve"> PAGEREF _Toc20360 \h </w:instrText>
          </w:r>
          <w:r>
            <w:rPr>
              <w:rFonts w:cs="宋体"/>
              <w:szCs w:val="24"/>
            </w:rPr>
            <w:fldChar w:fldCharType="separate"/>
          </w:r>
          <w:r>
            <w:rPr>
              <w:rFonts w:cs="宋体"/>
              <w:szCs w:val="24"/>
            </w:rPr>
            <w:t>25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_Toc29644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kern w:val="0"/>
              <w:szCs w:val="24"/>
              <w:lang w:val="en-US" w:eastAsia="zh-CN" w:bidi="ar"/>
            </w:rPr>
            <w:t>6.1研究结论</w:t>
          </w:r>
          <w:r>
            <w:rPr>
              <w:rFonts w:cs="宋体"/>
              <w:szCs w:val="24"/>
            </w:rPr>
            <w:tab/>
          </w:r>
          <w:r>
            <w:rPr>
              <w:rFonts w:cs="宋体"/>
              <w:szCs w:val="24"/>
            </w:rPr>
            <w:fldChar w:fldCharType="begin"/>
          </w:r>
          <w:r>
            <w:rPr>
              <w:rFonts w:cs="宋体"/>
              <w:szCs w:val="24"/>
            </w:rPr>
            <w:instrText xml:space="preserve"> PAGEREF _Toc29644 \h </w:instrText>
          </w:r>
          <w:r>
            <w:rPr>
              <w:rFonts w:cs="宋体"/>
              <w:szCs w:val="24"/>
            </w:rPr>
            <w:fldChar w:fldCharType="separate"/>
          </w:r>
          <w:r>
            <w:rPr>
              <w:rFonts w:cs="宋体"/>
              <w:szCs w:val="24"/>
            </w:rPr>
            <w:t>25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_Toc6628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kern w:val="0"/>
              <w:szCs w:val="24"/>
              <w:lang w:val="en-US" w:eastAsia="zh-CN" w:bidi="ar"/>
            </w:rPr>
            <w:t>6.2 未来展望</w:t>
          </w:r>
          <w:r>
            <w:rPr>
              <w:rFonts w:cs="宋体"/>
              <w:szCs w:val="24"/>
            </w:rPr>
            <w:tab/>
          </w:r>
          <w:r>
            <w:rPr>
              <w:rFonts w:cs="宋体"/>
              <w:szCs w:val="24"/>
            </w:rPr>
            <w:fldChar w:fldCharType="begin"/>
          </w:r>
          <w:r>
            <w:rPr>
              <w:rFonts w:cs="宋体"/>
              <w:szCs w:val="24"/>
            </w:rPr>
            <w:instrText xml:space="preserve"> PAGEREF _Toc6628 \h </w:instrText>
          </w:r>
          <w:r>
            <w:rPr>
              <w:rFonts w:cs="宋体"/>
              <w:szCs w:val="24"/>
            </w:rPr>
            <w:fldChar w:fldCharType="separate"/>
          </w:r>
          <w:r>
            <w:rPr>
              <w:rFonts w:cs="宋体"/>
              <w:szCs w:val="24"/>
            </w:rPr>
            <w:t>26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_Toc9059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.2.1完善中职教育资金投入政策</w:t>
          </w:r>
          <w:r>
            <w:rPr>
              <w:rFonts w:cs="宋体"/>
              <w:szCs w:val="24"/>
            </w:rPr>
            <w:tab/>
          </w:r>
          <w:r>
            <w:rPr>
              <w:rFonts w:cs="宋体"/>
              <w:szCs w:val="24"/>
            </w:rPr>
            <w:fldChar w:fldCharType="begin"/>
          </w:r>
          <w:r>
            <w:rPr>
              <w:rFonts w:cs="宋体"/>
              <w:szCs w:val="24"/>
            </w:rPr>
            <w:instrText xml:space="preserve"> PAGEREF _Toc9059 \h </w:instrText>
          </w:r>
          <w:r>
            <w:rPr>
              <w:rFonts w:cs="宋体"/>
              <w:szCs w:val="24"/>
            </w:rPr>
            <w:fldChar w:fldCharType="separate"/>
          </w:r>
          <w:r>
            <w:rPr>
              <w:rFonts w:cs="宋体"/>
              <w:szCs w:val="24"/>
            </w:rPr>
            <w:t>26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_Toc13884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.2.2重视中职学生的教学内容和质量</w:t>
          </w:r>
          <w:r>
            <w:rPr>
              <w:rFonts w:cs="宋体"/>
              <w:szCs w:val="24"/>
            </w:rPr>
            <w:tab/>
          </w:r>
          <w:r>
            <w:rPr>
              <w:rFonts w:cs="宋体"/>
              <w:szCs w:val="24"/>
            </w:rPr>
            <w:fldChar w:fldCharType="begin"/>
          </w:r>
          <w:r>
            <w:rPr>
              <w:rFonts w:cs="宋体"/>
              <w:szCs w:val="24"/>
            </w:rPr>
            <w:instrText xml:space="preserve"> PAGEREF _Toc13884 \h </w:instrText>
          </w:r>
          <w:r>
            <w:rPr>
              <w:rFonts w:cs="宋体"/>
              <w:szCs w:val="24"/>
            </w:rPr>
            <w:fldChar w:fldCharType="separate"/>
          </w:r>
          <w:r>
            <w:rPr>
              <w:rFonts w:cs="宋体"/>
              <w:szCs w:val="24"/>
            </w:rPr>
            <w:t>27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_Toc18339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.2.3保证中职教师的人才培养</w:t>
          </w:r>
          <w:r>
            <w:rPr>
              <w:rFonts w:cs="宋体"/>
              <w:szCs w:val="24"/>
            </w:rPr>
            <w:tab/>
          </w:r>
          <w:r>
            <w:rPr>
              <w:rFonts w:cs="宋体"/>
              <w:szCs w:val="24"/>
            </w:rPr>
            <w:fldChar w:fldCharType="begin"/>
          </w:r>
          <w:r>
            <w:rPr>
              <w:rFonts w:cs="宋体"/>
              <w:szCs w:val="24"/>
            </w:rPr>
            <w:instrText xml:space="preserve"> PAGEREF _Toc18339 \h </w:instrText>
          </w:r>
          <w:r>
            <w:rPr>
              <w:rFonts w:cs="宋体"/>
              <w:szCs w:val="24"/>
            </w:rPr>
            <w:fldChar w:fldCharType="separate"/>
          </w:r>
          <w:r>
            <w:rPr>
              <w:rFonts w:cs="宋体"/>
              <w:szCs w:val="24"/>
            </w:rPr>
            <w:t>27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_Toc28108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.2.4推动产学研结合</w:t>
          </w:r>
          <w:r>
            <w:rPr>
              <w:rFonts w:cs="宋体"/>
              <w:szCs w:val="24"/>
            </w:rPr>
            <w:tab/>
          </w:r>
          <w:r>
            <w:rPr>
              <w:rFonts w:cs="宋体"/>
              <w:szCs w:val="24"/>
            </w:rPr>
            <w:fldChar w:fldCharType="begin"/>
          </w:r>
          <w:r>
            <w:rPr>
              <w:rFonts w:cs="宋体"/>
              <w:szCs w:val="24"/>
            </w:rPr>
            <w:instrText xml:space="preserve"> PAGEREF _Toc28108 \h </w:instrText>
          </w:r>
          <w:r>
            <w:rPr>
              <w:rFonts w:cs="宋体"/>
              <w:szCs w:val="24"/>
            </w:rPr>
            <w:fldChar w:fldCharType="separate"/>
          </w:r>
          <w:r>
            <w:rPr>
              <w:rFonts w:cs="宋体"/>
              <w:szCs w:val="24"/>
            </w:rPr>
            <w:t>27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_Toc932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.2.5重视学生的职业规划</w:t>
          </w:r>
          <w:r>
            <w:rPr>
              <w:rFonts w:cs="宋体"/>
              <w:szCs w:val="24"/>
            </w:rPr>
            <w:tab/>
          </w:r>
          <w:r>
            <w:rPr>
              <w:rFonts w:cs="宋体"/>
              <w:szCs w:val="24"/>
            </w:rPr>
            <w:fldChar w:fldCharType="begin"/>
          </w:r>
          <w:r>
            <w:rPr>
              <w:rFonts w:cs="宋体"/>
              <w:szCs w:val="24"/>
            </w:rPr>
            <w:instrText xml:space="preserve"> PAGEREF _Toc932 \h </w:instrText>
          </w:r>
          <w:r>
            <w:rPr>
              <w:rFonts w:cs="宋体"/>
              <w:szCs w:val="24"/>
            </w:rPr>
            <w:fldChar w:fldCharType="separate"/>
          </w:r>
          <w:r>
            <w:rPr>
              <w:rFonts w:cs="宋体"/>
              <w:szCs w:val="24"/>
            </w:rPr>
            <w:t>27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0"/>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_Toc8915 </w:instrText>
          </w:r>
          <w:r>
            <w:rPr>
              <w:rFonts w:hint="eastAsia" w:ascii="微软雅黑" w:hAnsi="微软雅黑" w:eastAsia="微软雅黑" w:cs="宋体"/>
              <w:bCs w:val="0"/>
              <w:szCs w:val="24"/>
              <w:lang w:val="en-US" w:eastAsia="zh-CN"/>
            </w:rPr>
            <w:fldChar w:fldCharType="separate"/>
          </w:r>
          <w:r>
            <w:rPr>
              <w:rFonts w:hint="eastAsia" w:ascii="黑体" w:hAnsi="黑体" w:eastAsia="黑体" w:cs="宋体"/>
              <w:bCs/>
              <w:kern w:val="0"/>
              <w:szCs w:val="24"/>
              <w:lang w:val="en-US" w:eastAsia="zh-CN" w:bidi="ar"/>
            </w:rPr>
            <w:t>第七章 模型的不足与改进</w:t>
          </w:r>
          <w:r>
            <w:rPr>
              <w:rFonts w:cs="宋体"/>
              <w:szCs w:val="24"/>
            </w:rPr>
            <w:tab/>
          </w:r>
          <w:r>
            <w:rPr>
              <w:rFonts w:cs="宋体"/>
              <w:szCs w:val="24"/>
            </w:rPr>
            <w:fldChar w:fldCharType="begin"/>
          </w:r>
          <w:r>
            <w:rPr>
              <w:rFonts w:cs="宋体"/>
              <w:szCs w:val="24"/>
            </w:rPr>
            <w:instrText xml:space="preserve"> PAGEREF _Toc8915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_Toc30223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7.1不足点</w:t>
          </w:r>
          <w:r>
            <w:rPr>
              <w:rFonts w:cs="宋体"/>
              <w:szCs w:val="24"/>
            </w:rPr>
            <w:tab/>
          </w:r>
          <w:r>
            <w:rPr>
              <w:rFonts w:cs="宋体"/>
              <w:szCs w:val="24"/>
            </w:rPr>
            <w:fldChar w:fldCharType="begin"/>
          </w:r>
          <w:r>
            <w:rPr>
              <w:rFonts w:cs="宋体"/>
              <w:szCs w:val="24"/>
            </w:rPr>
            <w:instrText xml:space="preserve"> PAGEREF _Toc30223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_Toc12594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7</w:t>
          </w:r>
          <w:r>
            <w:rPr>
              <w:rFonts w:hint="default" w:ascii="宋体" w:hAnsi="宋体" w:eastAsia="宋体" w:cs="宋体"/>
              <w:bCs/>
              <w:kern w:val="0"/>
              <w:szCs w:val="24"/>
              <w:lang w:val="en-US" w:eastAsia="zh-CN" w:bidi="ar"/>
            </w:rPr>
            <w:t>.1.1数据库选取单一问题</w:t>
          </w:r>
          <w:r>
            <w:rPr>
              <w:rFonts w:cs="宋体"/>
              <w:szCs w:val="24"/>
            </w:rPr>
            <w:tab/>
          </w:r>
          <w:r>
            <w:rPr>
              <w:rFonts w:cs="宋体"/>
              <w:szCs w:val="24"/>
            </w:rPr>
            <w:fldChar w:fldCharType="begin"/>
          </w:r>
          <w:r>
            <w:rPr>
              <w:rFonts w:cs="宋体"/>
              <w:szCs w:val="24"/>
            </w:rPr>
            <w:instrText xml:space="preserve"> PAGEREF _Toc12594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_Toc19377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7</w:t>
          </w:r>
          <w:r>
            <w:rPr>
              <w:rFonts w:hint="default" w:ascii="宋体" w:hAnsi="宋体" w:eastAsia="宋体" w:cs="宋体"/>
              <w:bCs/>
              <w:kern w:val="0"/>
              <w:szCs w:val="24"/>
              <w:lang w:val="en-US" w:eastAsia="zh-CN" w:bidi="ar"/>
            </w:rPr>
            <w:t>.1.2 投入产出指标选取较少问题</w:t>
          </w:r>
          <w:r>
            <w:rPr>
              <w:rFonts w:cs="宋体"/>
              <w:szCs w:val="24"/>
            </w:rPr>
            <w:tab/>
          </w:r>
          <w:r>
            <w:rPr>
              <w:rFonts w:cs="宋体"/>
              <w:szCs w:val="24"/>
            </w:rPr>
            <w:fldChar w:fldCharType="begin"/>
          </w:r>
          <w:r>
            <w:rPr>
              <w:rFonts w:cs="宋体"/>
              <w:szCs w:val="24"/>
            </w:rPr>
            <w:instrText xml:space="preserve"> PAGEREF _Toc19377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_Toc6443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7.2 模型的改进</w:t>
          </w:r>
          <w:r>
            <w:rPr>
              <w:rFonts w:cs="宋体"/>
              <w:szCs w:val="24"/>
            </w:rPr>
            <w:tab/>
          </w:r>
          <w:r>
            <w:rPr>
              <w:rFonts w:cs="宋体"/>
              <w:szCs w:val="24"/>
            </w:rPr>
            <w:fldChar w:fldCharType="begin"/>
          </w:r>
          <w:r>
            <w:rPr>
              <w:rFonts w:cs="宋体"/>
              <w:szCs w:val="24"/>
            </w:rPr>
            <w:instrText xml:space="preserve"> PAGEREF _Toc6443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_Toc6089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7</w:t>
          </w:r>
          <w:r>
            <w:rPr>
              <w:rFonts w:hint="default" w:ascii="宋体" w:hAnsi="宋体" w:eastAsia="宋体" w:cs="宋体"/>
              <w:bCs/>
              <w:kern w:val="0"/>
              <w:szCs w:val="24"/>
              <w:lang w:val="en-US" w:eastAsia="zh-CN" w:bidi="ar"/>
            </w:rPr>
            <w:t>.2.1 对决策单元间无法排序的改进</w:t>
          </w:r>
          <w:r>
            <w:rPr>
              <w:rFonts w:cs="宋体"/>
              <w:szCs w:val="24"/>
            </w:rPr>
            <w:tab/>
          </w:r>
          <w:r>
            <w:rPr>
              <w:rFonts w:cs="宋体"/>
              <w:szCs w:val="24"/>
            </w:rPr>
            <w:fldChar w:fldCharType="begin"/>
          </w:r>
          <w:r>
            <w:rPr>
              <w:rFonts w:cs="宋体"/>
              <w:szCs w:val="24"/>
            </w:rPr>
            <w:instrText xml:space="preserve"> PAGEREF _Toc6089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_Toc10160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附录</w:t>
          </w:r>
          <w:r>
            <w:rPr>
              <w:rFonts w:cs="宋体"/>
              <w:szCs w:val="24"/>
            </w:rPr>
            <w:tab/>
          </w:r>
          <w:r>
            <w:rPr>
              <w:rFonts w:cs="宋体"/>
              <w:szCs w:val="24"/>
            </w:rPr>
            <w:fldChar w:fldCharType="begin"/>
          </w:r>
          <w:r>
            <w:rPr>
              <w:rFonts w:cs="宋体"/>
              <w:szCs w:val="24"/>
            </w:rPr>
            <w:instrText xml:space="preserve"> PAGEREF _Toc10160 \h </w:instrText>
          </w:r>
          <w:r>
            <w:rPr>
              <w:rFonts w:cs="宋体"/>
              <w:szCs w:val="24"/>
            </w:rPr>
            <w:fldChar w:fldCharType="separate"/>
          </w:r>
          <w:r>
            <w:rPr>
              <w:rFonts w:cs="宋体"/>
              <w:szCs w:val="24"/>
            </w:rPr>
            <w:t>30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2"/>
            <w:rPr>
              <w:rFonts w:hint="eastAsia" w:cs="宋体"/>
              <w:szCs w:val="24"/>
              <w:lang w:val="en-US" w:eastAsia="zh-CN"/>
            </w:rPr>
          </w:pPr>
          <w:r>
            <w:rPr>
              <w:rFonts w:hint="eastAsia" w:ascii="微软雅黑" w:hAnsi="微软雅黑" w:eastAsia="微软雅黑" w:cs="宋体"/>
              <w:bCs w:val="0"/>
              <w:szCs w:val="24"/>
              <w:lang w:val="en-US" w:eastAsia="zh-CN"/>
            </w:rPr>
            <w:fldChar w:fldCharType="end"/>
          </w:r>
        </w:p>
      </w:sdtContent>
    </w:sdt>
    <w:p>
      <w:pPr>
        <w:rPr>
          <w:rFonts w:hint="eastAsia"/>
          <w:lang w:val="en-US" w:eastAsia="zh-CN"/>
        </w:rPr>
      </w:pPr>
      <w:r>
        <w:rPr>
          <w:rFonts w:hint="eastAsia"/>
          <w:lang w:val="en-US" w:eastAsia="zh-CN"/>
        </w:rPr>
        <w:br w:type="page"/>
      </w:r>
    </w:p>
    <w:p>
      <w:pPr>
        <w:pStyle w:val="3"/>
        <w:bidi w:val="0"/>
        <w:jc w:val="center"/>
        <w:outlineLvl w:val="0"/>
        <w:rPr>
          <w:rFonts w:hint="eastAsia"/>
        </w:rPr>
      </w:pPr>
      <w:bookmarkStart w:id="4" w:name="_Toc29089"/>
      <w:r>
        <w:rPr>
          <w:rFonts w:hint="eastAsia"/>
          <w:lang w:val="en-US" w:eastAsia="zh-CN"/>
        </w:rPr>
        <w:t>表格和插图清单</w:t>
      </w:r>
      <w:bookmarkEnd w:id="4"/>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TOC \h \c "图"</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_Toc17906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1 </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eastAsia="zh-CN"/>
        </w:rPr>
        <w:t>近九年全国中职教育评价关键指标</w:t>
      </w:r>
      <w:r>
        <w:rPr>
          <w:rFonts w:hint="eastAsia" w:asciiTheme="majorEastAsia" w:hAnsiTheme="majorEastAsia" w:eastAsiaTheme="majorEastAsia" w:cstheme="majorEastAsia"/>
          <w:sz w:val="24"/>
          <w:szCs w:val="24"/>
          <w:lang w:val="en-US" w:eastAsia="zh-CN"/>
        </w:rPr>
        <w:t>变化图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_Toc17906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2 </w:t>
      </w:r>
      <w:r>
        <w:rPr>
          <w:rFonts w:hint="eastAsia" w:asciiTheme="majorEastAsia" w:hAnsiTheme="majorEastAsia" w:eastAsiaTheme="majorEastAsia" w:cstheme="majorEastAsia"/>
          <w:sz w:val="24"/>
          <w:szCs w:val="24"/>
          <w:lang w:eastAsia="zh-CN"/>
        </w:rPr>
        <w:t xml:space="preserve"> 2019年各省中职教育关键评价指标统计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_Toc5708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3 </w:t>
      </w:r>
      <w:r>
        <w:rPr>
          <w:rFonts w:hint="eastAsia" w:asciiTheme="majorEastAsia" w:hAnsiTheme="majorEastAsia" w:eastAsiaTheme="majorEastAsia" w:cstheme="majorEastAsia"/>
          <w:sz w:val="24"/>
          <w:szCs w:val="24"/>
          <w:lang w:eastAsia="zh-CN"/>
        </w:rPr>
        <w:t xml:space="preserve"> 2020年各省中职教育关键评价指标统计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_Toc5708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_Toc28758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4 </w:t>
      </w:r>
      <w:r>
        <w:rPr>
          <w:rFonts w:hint="eastAsia" w:asciiTheme="majorEastAsia" w:hAnsiTheme="majorEastAsia" w:eastAsiaTheme="majorEastAsia" w:cstheme="majorEastAsia"/>
          <w:sz w:val="24"/>
          <w:szCs w:val="24"/>
          <w:lang w:eastAsia="zh-CN"/>
        </w:rPr>
        <w:t xml:space="preserve"> 2021年各省中职教育关键评价指标统计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_Toc28758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_Toc12166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1 </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eastAsia="zh-CN"/>
        </w:rPr>
        <w:t>2013-2021年中国中职教育有效性分析图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_Toc12166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tabs>
          <w:tab w:val="left" w:pos="628"/>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TOC \h \c "表"</w:instrText>
      </w:r>
      <w:r>
        <w:rPr>
          <w:rFonts w:hint="eastAsia" w:asciiTheme="majorEastAsia" w:hAnsiTheme="majorEastAsia" w:eastAsiaTheme="majorEastAsia" w:cstheme="majorEastAsia"/>
          <w:sz w:val="24"/>
          <w:szCs w:val="24"/>
        </w:rPr>
        <w:fldChar w:fldCharType="separate"/>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_Toc18342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1 </w:t>
      </w:r>
      <w:r>
        <w:rPr>
          <w:rFonts w:hint="eastAsia" w:asciiTheme="majorEastAsia" w:hAnsiTheme="majorEastAsia" w:eastAsiaTheme="majorEastAsia" w:cstheme="majorEastAsia"/>
          <w:sz w:val="24"/>
          <w:szCs w:val="24"/>
          <w:lang w:eastAsia="zh-CN"/>
        </w:rPr>
        <w:t xml:space="preserve"> 构建职高教育效率评价指标体系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_Toc18342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_Toc2948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lang w:val="en-US" w:eastAsia="zh-CN"/>
        </w:rPr>
        <w:t xml:space="preserve"> 全国的数据以及各省份的数据DEA-CCR模型和DEA-BCC模型综合评估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_Toc2948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_Toc23272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3 </w:t>
      </w:r>
      <w:r>
        <w:rPr>
          <w:rFonts w:hint="eastAsia" w:asciiTheme="majorEastAsia" w:hAnsiTheme="majorEastAsia" w:eastAsiaTheme="majorEastAsia" w:cstheme="majorEastAsia"/>
          <w:sz w:val="24"/>
          <w:szCs w:val="24"/>
          <w:lang w:val="en-US" w:eastAsia="zh-CN"/>
        </w:rPr>
        <w:t xml:space="preserve"> 2013-2021的DEA有效性分析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_Toc23272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_Toc32074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4 </w:t>
      </w:r>
      <w:r>
        <w:rPr>
          <w:rFonts w:hint="eastAsia" w:asciiTheme="majorEastAsia" w:hAnsiTheme="majorEastAsia" w:eastAsiaTheme="majorEastAsia" w:cstheme="majorEastAsia"/>
          <w:sz w:val="24"/>
          <w:szCs w:val="24"/>
          <w:lang w:eastAsia="zh-CN"/>
        </w:rPr>
        <w:t xml:space="preserve"> 2019年各省份的DEA有效性分析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_Toc32074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_Toc982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5 </w:t>
      </w:r>
      <w:r>
        <w:rPr>
          <w:rFonts w:hint="eastAsia" w:asciiTheme="majorEastAsia" w:hAnsiTheme="majorEastAsia" w:eastAsiaTheme="majorEastAsia" w:cstheme="majorEastAsia"/>
          <w:sz w:val="24"/>
          <w:szCs w:val="24"/>
          <w:lang w:eastAsia="zh-CN"/>
        </w:rPr>
        <w:t xml:space="preserve"> 2013-2021年规模报酬分析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_Toc10058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6 </w:t>
      </w:r>
      <w:r>
        <w:rPr>
          <w:rFonts w:hint="eastAsia" w:asciiTheme="majorEastAsia" w:hAnsiTheme="majorEastAsia" w:eastAsiaTheme="majorEastAsia" w:cstheme="majorEastAsia"/>
          <w:sz w:val="24"/>
          <w:szCs w:val="24"/>
          <w:lang w:eastAsia="zh-CN"/>
        </w:rPr>
        <w:t xml:space="preserve"> Malmquist指数结果(2020 -&gt; 2021)</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_Toc10058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r>
        <w:rPr>
          <w:rFonts w:hint="eastAsia" w:asciiTheme="majorEastAsia" w:hAnsiTheme="majorEastAsia" w:eastAsiaTheme="majorEastAsia" w:cstheme="majorEastAsia"/>
          <w:sz w:val="24"/>
          <w:szCs w:val="24"/>
        </w:rPr>
        <w:fldChar w:fldCharType="end"/>
      </w:r>
    </w:p>
    <w:p>
      <w:pPr>
        <w:pStyle w:val="11"/>
        <w:bidi w:val="0"/>
        <w:rPr>
          <w:rFonts w:hint="eastAsia"/>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pStyle w:val="2"/>
        <w:rPr>
          <w:rFonts w:hint="eastAsia"/>
          <w:lang w:val="en-US" w:eastAsia="zh-CN"/>
        </w:rPr>
      </w:pPr>
    </w:p>
    <w:p>
      <w:pPr>
        <w:pStyle w:val="3"/>
        <w:numPr>
          <w:ilvl w:val="0"/>
          <w:numId w:val="0"/>
        </w:numPr>
        <w:bidi w:val="0"/>
        <w:jc w:val="left"/>
        <w:outlineLvl w:val="0"/>
        <w:rPr>
          <w:rFonts w:hint="eastAsia" w:ascii="黑体" w:hAnsi="黑体" w:eastAsia="黑体" w:cs="黑体"/>
          <w:b/>
          <w:kern w:val="2"/>
          <w:sz w:val="32"/>
          <w:szCs w:val="32"/>
          <w:lang w:val="en-US" w:eastAsia="zh-CN" w:bidi="ar-SA"/>
        </w:rPr>
      </w:pPr>
      <w:bookmarkStart w:id="5" w:name="_Toc14136"/>
      <w:bookmarkStart w:id="6" w:name="_Toc20099"/>
      <w:bookmarkStart w:id="7" w:name="_Toc17897"/>
      <w:bookmarkStart w:id="8" w:name="_Toc3646"/>
      <w:r>
        <w:rPr>
          <w:rFonts w:hint="eastAsia" w:ascii="黑体" w:hAnsi="黑体" w:eastAsia="黑体" w:cs="黑体"/>
          <w:b/>
          <w:kern w:val="2"/>
          <w:sz w:val="32"/>
          <w:szCs w:val="32"/>
          <w:lang w:val="en-US" w:eastAsia="zh-CN" w:bidi="ar-SA"/>
        </w:rPr>
        <w:t>人人皆可成才，人人尽展其才</w:t>
      </w:r>
      <w:bookmarkEnd w:id="5"/>
      <w:bookmarkEnd w:id="6"/>
    </w:p>
    <w:p>
      <w:pPr>
        <w:pStyle w:val="3"/>
        <w:numPr>
          <w:ilvl w:val="0"/>
          <w:numId w:val="0"/>
        </w:numPr>
        <w:bidi w:val="0"/>
        <w:outlineLvl w:val="0"/>
        <w:rPr>
          <w:rFonts w:hint="eastAsia" w:ascii="黑体" w:hAnsi="黑体" w:eastAsia="黑体" w:cs="黑体"/>
          <w:b/>
          <w:kern w:val="2"/>
          <w:sz w:val="32"/>
          <w:szCs w:val="24"/>
          <w:lang w:val="en-US" w:eastAsia="zh-CN" w:bidi="ar-SA"/>
        </w:rPr>
      </w:pPr>
      <w:bookmarkStart w:id="9" w:name="_Toc18401"/>
      <w:bookmarkStart w:id="10" w:name="_Toc12192"/>
      <w:r>
        <w:rPr>
          <w:rFonts w:hint="eastAsia" w:ascii="黑体" w:hAnsi="黑体" w:eastAsia="黑体" w:cs="黑体"/>
          <w:b/>
          <w:kern w:val="2"/>
          <w:sz w:val="32"/>
          <w:szCs w:val="32"/>
          <w:lang w:val="en-US" w:eastAsia="zh-CN" w:bidi="ar-SA"/>
        </w:rPr>
        <w:t>——中国式现代化背景下中职教育</w:t>
      </w:r>
      <w:r>
        <w:rPr>
          <w:rFonts w:hint="eastAsia" w:ascii="黑体" w:hAnsi="黑体" w:cs="黑体"/>
          <w:b/>
          <w:kern w:val="2"/>
          <w:sz w:val="32"/>
          <w:szCs w:val="32"/>
          <w:lang w:val="en-US" w:eastAsia="zh-CN" w:bidi="ar-SA"/>
        </w:rPr>
        <w:t>效率</w:t>
      </w:r>
      <w:r>
        <w:rPr>
          <w:rFonts w:hint="eastAsia" w:ascii="黑体" w:hAnsi="黑体" w:eastAsia="黑体" w:cs="黑体"/>
          <w:b/>
          <w:kern w:val="2"/>
          <w:sz w:val="32"/>
          <w:szCs w:val="32"/>
          <w:lang w:val="en-US" w:eastAsia="zh-CN" w:bidi="ar-SA"/>
        </w:rPr>
        <w:t>的统计度量与未来期望</w:t>
      </w:r>
      <w:bookmarkEnd w:id="9"/>
      <w:bookmarkEnd w:id="10"/>
    </w:p>
    <w:p>
      <w:pPr>
        <w:pStyle w:val="3"/>
        <w:numPr>
          <w:ilvl w:val="0"/>
          <w:numId w:val="0"/>
        </w:numPr>
        <w:bidi w:val="0"/>
        <w:outlineLvl w:val="0"/>
        <w:rPr>
          <w:rFonts w:hint="eastAsia"/>
          <w:sz w:val="30"/>
          <w:szCs w:val="30"/>
          <w:lang w:val="en-US" w:eastAsia="zh-CN"/>
        </w:rPr>
      </w:pPr>
      <w:bookmarkStart w:id="11" w:name="_Toc10954"/>
      <w:r>
        <w:rPr>
          <w:rFonts w:hint="eastAsia" w:ascii="Arial" w:hAnsi="Arial" w:eastAsia="黑体" w:cs="Times New Roman"/>
          <w:b/>
          <w:kern w:val="2"/>
          <w:sz w:val="30"/>
          <w:szCs w:val="30"/>
          <w:lang w:val="en-US" w:eastAsia="zh-CN" w:bidi="ar-SA"/>
        </w:rPr>
        <w:t>第一章</w:t>
      </w:r>
      <w:r>
        <w:rPr>
          <w:rFonts w:hint="eastAsia" w:cs="Times New Roman"/>
          <w:b/>
          <w:kern w:val="2"/>
          <w:sz w:val="30"/>
          <w:szCs w:val="30"/>
          <w:lang w:val="en-US" w:eastAsia="zh-CN" w:bidi="ar-SA"/>
        </w:rPr>
        <w:t xml:space="preserve"> </w:t>
      </w:r>
      <w:r>
        <w:rPr>
          <w:rFonts w:hint="eastAsia"/>
          <w:sz w:val="30"/>
          <w:szCs w:val="30"/>
          <w:lang w:val="en-US" w:eastAsia="zh-CN"/>
        </w:rPr>
        <w:t>绪论</w:t>
      </w:r>
      <w:bookmarkEnd w:id="7"/>
      <w:bookmarkEnd w:id="11"/>
    </w:p>
    <w:p>
      <w:pPr>
        <w:rPr>
          <w:rFonts w:hint="eastAsia"/>
          <w:lang w:val="en-US" w:eastAsia="zh-CN"/>
        </w:rPr>
      </w:pPr>
    </w:p>
    <w:p>
      <w:pPr>
        <w:pStyle w:val="4"/>
        <w:bidi w:val="0"/>
        <w:outlineLvl w:val="1"/>
        <w:rPr>
          <w:rFonts w:hint="eastAsia" w:ascii="楷体" w:hAnsi="楷体" w:eastAsia="楷体" w:cs="楷体"/>
          <w:sz w:val="28"/>
          <w:szCs w:val="28"/>
          <w:lang w:val="en-US"/>
        </w:rPr>
      </w:pPr>
      <w:bookmarkStart w:id="12" w:name="_Toc18747"/>
      <w:bookmarkStart w:id="13" w:name="_Toc3158"/>
      <w:r>
        <w:rPr>
          <w:rFonts w:hint="eastAsia" w:ascii="楷体" w:hAnsi="楷体" w:eastAsia="楷体" w:cs="楷体"/>
          <w:sz w:val="28"/>
          <w:szCs w:val="28"/>
          <w:lang w:val="en-US" w:eastAsia="zh-CN"/>
        </w:rPr>
        <w:t>1.1研究背景及意义</w:t>
      </w:r>
      <w:bookmarkEnd w:id="8"/>
      <w:bookmarkEnd w:id="12"/>
      <w:bookmarkEnd w:id="13"/>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近代以来，我国对职业教育现代化的探索与追求从未停止过，进入新时代后，职业教育现代化更是面临着新的发展机遇。中国职业教育现代化应走什么样的道路？这是引领职业教育现代化的方向性问题。习近平总书记在党的二十大报告中强调“中国式现代化为人类实现现代化提供了新的选择”，这为我国职业教育现代化的体系架构、道路探索提供了思想引领和理论支撑，也明确了中国式职业教育现代化的时代必然性与使命价值。“现代化”起步于18世纪初，是一种历史现象和文明进步，同时世界上大多数国家都在经历某种现代化的过程，并将现代化作为发展目标。</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作为国家现代化的重要组成部分，教育现代化是一个由传统教育转变为现代教育的过程，并具有终身性、社会性、多样性、开放性等诸多特征，职业教育现代化既具有教育现代化的共性，也体现了职业性、技术性的个性特征。作为人口大国的社会主义国家，我国对职业教育现代化进程进行了持续探索，总结出了实现职业教育现代化的关键在于坚持中国特色、走中国式职业教育现代化道路。</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从发展实际看，我国职业教育顶层设计日趋完善、改革发展成效显著、社会吸引力不断增强，为经济社会发展提供了强有力的人才支撑，为实现职业教育现代化奠定了良好的基础。新时代站在新的历史方位上，对照2019年中共中央、国务院印发的《中国教育现代化2035》的提出的发展目标，实现职业教育的现代化进程虽已在路上，但依然面临着诸如职业教育体系仍待进一步健全、人才培养机制仍待进一步完善、产教融合仍待进一步深化、社会服务能力仍待进一步增强等新的挑战。为此，亟需加快探索符合中国发展实际、贴近时代发展要求、适应社会发展需要的中国式职业教育现代化道路，以推动新时代职业教育高质量发展。</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从国际视野看，各国职业教育的现代化在实现时间和实现模式上存在差异：如美国在职业教育发展的不同时期，根据社会经济发展需要，相继颁布《莫雷尔法案》《史密斯—休斯法案》《生计教育法》等法律法规，保障了美国职业教育现代化进程的快速推进；德国则以其特有的“双元制”职业教育模式，将政府、学校、行业协会、培训企业四个主体有机结合，培养高素质专业技术人才，以现代化职业教育支撑起德国高度发达的制造业。虽然新时代中国职业教育现代化与国外职业教育现代化有着形式或内容上的区别，但各国职业教育现代化的一个基本特点是明确的，即适应了本国经济社会发展实际和人才培养需求、遵循了职业教育发展的基本规律。</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新时代面对新问题、新矛盾、新需求，就要深入探究我国职业教育现代化的发展经验，明确发展价值，总结发展特征，以更好实现具有中国特色和世界水平的职业教育现代化。那么，我国职业教育现代化历经了什么样的发展历程？中国式职业教育现代化历程带来了什么样的经验启示？中国式职业教育现代化体现了什么样的时代特征？回答好这些问题，既是推进我国职业教育实现高质量、现代化发展的基本要求，也是为世界各国职业教育现代化发展提供中国经验、中国方案的基本前提。</w:t>
      </w:r>
    </w:p>
    <w:p>
      <w:pPr>
        <w:pStyle w:val="3"/>
        <w:bidi w:val="0"/>
        <w:outlineLvl w:val="9"/>
        <w:rPr>
          <w:rFonts w:hint="eastAsia"/>
          <w:lang w:val="en-US" w:eastAsia="zh-CN"/>
        </w:rPr>
      </w:pPr>
    </w:p>
    <w:p>
      <w:pPr>
        <w:pStyle w:val="3"/>
        <w:numPr>
          <w:ilvl w:val="0"/>
          <w:numId w:val="0"/>
        </w:numPr>
        <w:bidi w:val="0"/>
        <w:outlineLvl w:val="0"/>
        <w:rPr>
          <w:rFonts w:hint="eastAsia"/>
          <w:lang w:val="en-US" w:eastAsia="zh-CN"/>
        </w:rPr>
      </w:pPr>
      <w:bookmarkStart w:id="14" w:name="_Toc11782"/>
      <w:bookmarkStart w:id="15" w:name="_Toc25186"/>
      <w:r>
        <w:rPr>
          <w:rFonts w:hint="eastAsia" w:ascii="Arial" w:hAnsi="Arial" w:eastAsia="黑体" w:cs="Times New Roman"/>
          <w:b/>
          <w:kern w:val="2"/>
          <w:sz w:val="32"/>
          <w:szCs w:val="24"/>
          <w:lang w:val="en-US" w:eastAsia="zh-CN" w:bidi="ar-SA"/>
        </w:rPr>
        <w:t>第二章</w:t>
      </w:r>
      <w:r>
        <w:rPr>
          <w:rFonts w:hint="eastAsia" w:cs="Times New Roman"/>
          <w:b/>
          <w:kern w:val="2"/>
          <w:sz w:val="32"/>
          <w:szCs w:val="24"/>
          <w:lang w:val="en-US" w:eastAsia="zh-CN" w:bidi="ar-SA"/>
        </w:rPr>
        <w:t xml:space="preserve"> </w:t>
      </w:r>
      <w:r>
        <w:rPr>
          <w:rFonts w:hint="eastAsia"/>
          <w:lang w:val="en-US" w:eastAsia="zh-CN"/>
        </w:rPr>
        <w:t>相关概念的阐述</w:t>
      </w:r>
      <w:bookmarkEnd w:id="14"/>
      <w:bookmarkEnd w:id="15"/>
    </w:p>
    <w:p>
      <w:pPr>
        <w:pStyle w:val="4"/>
        <w:numPr>
          <w:ilvl w:val="0"/>
          <w:numId w:val="0"/>
        </w:numPr>
        <w:bidi w:val="0"/>
        <w:ind w:leftChars="0"/>
        <w:outlineLvl w:val="1"/>
        <w:rPr>
          <w:rFonts w:hint="eastAsia" w:ascii="楷体" w:hAnsi="楷体" w:eastAsia="楷体" w:cs="楷体"/>
          <w:sz w:val="28"/>
          <w:szCs w:val="28"/>
          <w:lang w:val="en-US" w:eastAsia="zh-CN"/>
        </w:rPr>
      </w:pPr>
      <w:bookmarkStart w:id="16" w:name="_Toc4041"/>
      <w:bookmarkStart w:id="17" w:name="_Toc30633"/>
      <w:r>
        <w:rPr>
          <w:rFonts w:hint="eastAsia" w:ascii="楷体" w:hAnsi="楷体" w:eastAsia="楷体" w:cs="楷体"/>
          <w:sz w:val="28"/>
          <w:szCs w:val="28"/>
          <w:lang w:val="en-US" w:eastAsia="zh-CN"/>
        </w:rPr>
        <w:t>2.1中等职业教育</w:t>
      </w:r>
      <w:bookmarkEnd w:id="16"/>
      <w:bookmarkEnd w:id="17"/>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中等职业教育分为学历教育和非学历教育，学历教育属于高中阶段教育，包括职业高中、普通中专、成人中专、技工学校（含技师学院）四类学校，按要求毕业后可取得中职学历 ，非学历教育包括中等职业学校、职业技术培训机构的资格证书培训与岗位证书培训。中等职业教育是中国中等教育的组成部分，担负着培养数以亿计高素质劳动者的重要任务，是中国经济社会发展的基础。</w:t>
      </w:r>
    </w:p>
    <w:p>
      <w:pPr>
        <w:pStyle w:val="4"/>
        <w:numPr>
          <w:ilvl w:val="0"/>
          <w:numId w:val="0"/>
        </w:numPr>
        <w:bidi w:val="0"/>
        <w:outlineLvl w:val="1"/>
        <w:rPr>
          <w:rFonts w:hint="eastAsia" w:ascii="楷体" w:hAnsi="楷体" w:eastAsia="楷体" w:cs="楷体"/>
          <w:sz w:val="28"/>
          <w:szCs w:val="28"/>
          <w:lang w:val="en-US" w:eastAsia="zh-CN"/>
        </w:rPr>
      </w:pPr>
      <w:bookmarkStart w:id="18" w:name="_Toc18493"/>
      <w:bookmarkStart w:id="19" w:name="_Toc18842"/>
      <w:r>
        <w:rPr>
          <w:rFonts w:hint="eastAsia" w:ascii="楷体" w:hAnsi="楷体" w:eastAsia="楷体" w:cs="楷体"/>
          <w:sz w:val="28"/>
          <w:szCs w:val="28"/>
          <w:lang w:val="en-US" w:eastAsia="zh-CN"/>
        </w:rPr>
        <w:t>2.2教育效率</w:t>
      </w:r>
      <w:bookmarkEnd w:id="18"/>
      <w:bookmarkEnd w:id="19"/>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效率则是指在教育投入所支撑的条件下，取得的教育产出与投入的关系。通过衡量教育资源投入与其所承载的教育产出效果，来评估教育的效率高低。教育效率的提高可以帮助提升教育质量，使得每一份投入都能够最大限度地发挥作用，实现更好的教育目标。</w:t>
      </w:r>
    </w:p>
    <w:p>
      <w:pPr>
        <w:pStyle w:val="2"/>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教育投入、教育产出和教育效率之间的关系可以看出：教育投入是为实现教育目标和提供教育服务所必需的，教育投入多的教育机构和区域通常可能更容易达到较好的教育产出。但是仅有教育投入无法衡量教育服务效果，同等条件下，高效率的教育机构或区域，可能会在相对较少的投入下也能达到更好的教育产出。因此，教育效率作为衡量教育服务效果的指标非常重要。</w:t>
      </w:r>
    </w:p>
    <w:p>
      <w:pPr>
        <w:pStyle w:val="3"/>
        <w:numPr>
          <w:ilvl w:val="0"/>
          <w:numId w:val="0"/>
        </w:numPr>
        <w:bidi w:val="0"/>
        <w:outlineLvl w:val="0"/>
        <w:rPr>
          <w:rFonts w:hint="default"/>
          <w:b w:val="0"/>
          <w:bCs/>
          <w:sz w:val="30"/>
          <w:szCs w:val="30"/>
          <w:lang w:val="en-US" w:eastAsia="zh-CN"/>
        </w:rPr>
      </w:pPr>
      <w:bookmarkStart w:id="20" w:name="_Toc22121"/>
      <w:bookmarkStart w:id="21" w:name="_Toc29385"/>
      <w:r>
        <w:rPr>
          <w:rFonts w:hint="eastAsia" w:ascii="Arial" w:hAnsi="Arial" w:eastAsia="黑体" w:cs="Times New Roman"/>
          <w:b w:val="0"/>
          <w:bCs/>
          <w:kern w:val="2"/>
          <w:sz w:val="30"/>
          <w:szCs w:val="30"/>
          <w:lang w:val="en-US" w:eastAsia="zh-CN" w:bidi="ar-SA"/>
        </w:rPr>
        <w:t>第</w:t>
      </w:r>
      <w:r>
        <w:rPr>
          <w:rFonts w:hint="eastAsia" w:cs="Times New Roman"/>
          <w:b w:val="0"/>
          <w:bCs/>
          <w:kern w:val="2"/>
          <w:sz w:val="30"/>
          <w:szCs w:val="30"/>
          <w:lang w:val="en-US" w:eastAsia="zh-CN" w:bidi="ar-SA"/>
        </w:rPr>
        <w:t>三</w:t>
      </w:r>
      <w:r>
        <w:rPr>
          <w:rFonts w:hint="eastAsia" w:ascii="Arial" w:hAnsi="Arial" w:eastAsia="黑体" w:cs="Times New Roman"/>
          <w:b w:val="0"/>
          <w:bCs/>
          <w:kern w:val="2"/>
          <w:sz w:val="30"/>
          <w:szCs w:val="30"/>
          <w:lang w:val="en-US" w:eastAsia="zh-CN" w:bidi="ar-SA"/>
        </w:rPr>
        <w:t>章</w:t>
      </w:r>
      <w:r>
        <w:rPr>
          <w:rFonts w:hint="eastAsia" w:cs="Times New Roman"/>
          <w:b w:val="0"/>
          <w:bCs/>
          <w:kern w:val="2"/>
          <w:sz w:val="30"/>
          <w:szCs w:val="30"/>
          <w:lang w:val="en-US" w:eastAsia="zh-CN" w:bidi="ar-SA"/>
        </w:rPr>
        <w:t xml:space="preserve"> 教育评价指标</w:t>
      </w:r>
      <w:r>
        <w:rPr>
          <w:rFonts w:hint="eastAsia"/>
          <w:b w:val="0"/>
          <w:bCs/>
          <w:sz w:val="30"/>
          <w:szCs w:val="30"/>
          <w:lang w:val="en-US" w:eastAsia="zh-CN"/>
        </w:rPr>
        <w:t>构成及影响因素</w:t>
      </w:r>
      <w:bookmarkEnd w:id="20"/>
      <w:bookmarkEnd w:id="21"/>
    </w:p>
    <w:p>
      <w:pPr>
        <w:pStyle w:val="4"/>
        <w:bidi w:val="0"/>
        <w:outlineLvl w:val="1"/>
        <w:rPr>
          <w:rFonts w:hint="eastAsia" w:ascii="楷体" w:hAnsi="楷体" w:eastAsia="楷体" w:cs="楷体"/>
          <w:sz w:val="28"/>
          <w:szCs w:val="28"/>
          <w:lang w:val="en-US" w:eastAsia="zh-CN"/>
        </w:rPr>
      </w:pPr>
      <w:bookmarkStart w:id="22" w:name="_Toc14984"/>
      <w:bookmarkStart w:id="23" w:name="_Toc811"/>
      <w:r>
        <w:rPr>
          <w:rFonts w:hint="eastAsia" w:ascii="楷体" w:hAnsi="楷体" w:eastAsia="楷体" w:cs="楷体"/>
          <w:sz w:val="28"/>
          <w:szCs w:val="28"/>
          <w:lang w:val="en-US" w:eastAsia="zh-CN"/>
        </w:rPr>
        <w:t>3.1教育评价指标的构成</w:t>
      </w:r>
      <w:bookmarkEnd w:id="22"/>
      <w:bookmarkEnd w:id="23"/>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教育评价指标的构成通常包括以下几个方面：</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教育投入指标：这包括教育经费支出、学生教师比例、教师培训和提升等。教育投入较为直接地反映了教育行政机关和学校管理者对教育的关注程度。</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教育过程指标：这些指标包括学校和教师师资水平、课程设置、教学活动等方面。这些指标可以帮助评估教育过程中的教育质量和效果。</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教育产出指标：这些指标用于反映教育投入和教育过程的结果，包括学生的知识技能水平、毕业后的就业情况、社会贡献等。这些指标的评估可以帮助评估教育成果和教育效果。</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教育档案指标：这些指标主要是关于学生综合素质评价、学籍管理、招生和录取情况等。这些指标可以反映学校在学生管理和教育服务方面的水平。</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综合以上几个方面的指标，可以评估教育的质量和效益，为政府、学校和家长等提供决策参考和助力。</w:t>
      </w:r>
    </w:p>
    <w:p>
      <w:pPr>
        <w:pStyle w:val="4"/>
        <w:numPr>
          <w:ilvl w:val="0"/>
          <w:numId w:val="0"/>
        </w:numPr>
        <w:bidi w:val="0"/>
        <w:outlineLvl w:val="1"/>
        <w:rPr>
          <w:rFonts w:hint="eastAsia" w:ascii="楷体" w:hAnsi="楷体" w:eastAsia="楷体" w:cs="楷体"/>
          <w:sz w:val="28"/>
          <w:szCs w:val="28"/>
          <w:lang w:val="en-US" w:eastAsia="zh-CN"/>
        </w:rPr>
      </w:pPr>
      <w:bookmarkStart w:id="24" w:name="_Toc30523"/>
      <w:bookmarkStart w:id="25" w:name="_Toc4131"/>
      <w:r>
        <w:rPr>
          <w:rFonts w:hint="eastAsia" w:ascii="楷体" w:hAnsi="楷体" w:eastAsia="楷体" w:cs="楷体"/>
          <w:sz w:val="28"/>
          <w:szCs w:val="28"/>
          <w:lang w:val="en-US" w:eastAsia="zh-CN"/>
        </w:rPr>
        <w:t>3.2教育评价指标的影响因素</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教育评价指标的影响因素包括以下几个方面：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文化和社会环境：评价指标的制定和应用受到当地文化和社会环境的影响，不同地区和社会的评价指标可能存在差异。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政策和法规：政府相关政策和法规对教育评价指标的设计、采集和应用有着重要影响。政策和法规的变化会对教育评价体系和指标的改变产生影响。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技术和数据采集工具：评价指标体系和具体指标的设计和采集离不开相关技术和数据采集工具的支持。随着技术和数据采集工具不断更新和进步，评价指标也会发生相应的变化。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教育改革和发展：教育改革和发展推进了教育评价指标的更新和改进。随着教育改革的不断深入和发展，评价指标也需要不断进行调整和更新。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综合以上几个方面，教育评价指标的设计、采集和应用需要综合考虑各方面的影响因素，以确保评价指标的科学性和客观性。</w:t>
      </w:r>
    </w:p>
    <w:p>
      <w:pPr>
        <w:pStyle w:val="3"/>
        <w:numPr>
          <w:ilvl w:val="0"/>
          <w:numId w:val="0"/>
        </w:numPr>
        <w:bidi w:val="0"/>
        <w:ind w:left="0" w:leftChars="0" w:firstLine="0" w:firstLineChars="0"/>
        <w:outlineLvl w:val="0"/>
        <w:rPr>
          <w:rFonts w:hint="eastAsia"/>
          <w:sz w:val="30"/>
          <w:szCs w:val="30"/>
          <w:lang w:val="en-US" w:eastAsia="zh-CN"/>
        </w:rPr>
      </w:pPr>
      <w:bookmarkStart w:id="26" w:name="_Toc9296"/>
      <w:bookmarkStart w:id="27" w:name="_Toc11231"/>
      <w:r>
        <w:rPr>
          <w:rFonts w:hint="eastAsia" w:ascii="Arial" w:hAnsi="Arial" w:eastAsia="黑体" w:cs="Times New Roman"/>
          <w:b/>
          <w:kern w:val="2"/>
          <w:sz w:val="30"/>
          <w:szCs w:val="30"/>
          <w:lang w:val="en-US" w:eastAsia="zh-CN" w:bidi="ar-SA"/>
        </w:rPr>
        <w:t>第</w:t>
      </w:r>
      <w:r>
        <w:rPr>
          <w:rFonts w:hint="eastAsia" w:cs="Times New Roman"/>
          <w:b/>
          <w:kern w:val="2"/>
          <w:sz w:val="30"/>
          <w:szCs w:val="30"/>
          <w:lang w:val="en-US" w:eastAsia="zh-CN" w:bidi="ar-SA"/>
        </w:rPr>
        <w:t>四</w:t>
      </w:r>
      <w:r>
        <w:rPr>
          <w:rFonts w:hint="eastAsia" w:ascii="Arial" w:hAnsi="Arial" w:eastAsia="黑体" w:cs="Times New Roman"/>
          <w:b/>
          <w:kern w:val="2"/>
          <w:sz w:val="30"/>
          <w:szCs w:val="30"/>
          <w:lang w:val="en-US" w:eastAsia="zh-CN" w:bidi="ar-SA"/>
        </w:rPr>
        <w:t>章</w:t>
      </w:r>
      <w:r>
        <w:rPr>
          <w:rFonts w:hint="eastAsia" w:cs="Times New Roman"/>
          <w:b/>
          <w:kern w:val="2"/>
          <w:sz w:val="30"/>
          <w:szCs w:val="30"/>
          <w:lang w:val="en-US" w:eastAsia="zh-CN" w:bidi="ar-SA"/>
        </w:rPr>
        <w:t xml:space="preserve"> </w:t>
      </w:r>
      <w:r>
        <w:rPr>
          <w:rFonts w:hint="eastAsia"/>
          <w:sz w:val="30"/>
          <w:szCs w:val="30"/>
          <w:lang w:val="en-US" w:eastAsia="zh-CN"/>
        </w:rPr>
        <w:t>职业高中的教育现状分析</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直至2021年，全国共有中等职业学校7294所，同口径比上年减少179所。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中等职业教育[23]招生488.99万人，同口径比上年增加4.38万人，增长0.90%；在校生1311.81万人，同口径比上年增加43.98万人，增长3.47%；毕业生375.37万人，同口径比上年减少8.09万人，下降2.11%。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中等职业教育专任教师69.54万人；生师比18.86:1；专任教师中本科以上学历比例93.57%；“双师型”专任教师占专业（技能）课程专任教师比例55.51%。</w:t>
      </w:r>
    </w:p>
    <w:p>
      <w:pPr>
        <w:pStyle w:val="6"/>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Fonts w:hint="eastAsia" w:asciiTheme="majorEastAsia" w:hAnsiTheme="majorEastAsia" w:eastAsiaTheme="majorEastAsia" w:cstheme="majorEastAsia"/>
          <w:sz w:val="24"/>
          <w:szCs w:val="24"/>
        </w:rPr>
      </w:pPr>
    </w:p>
    <w:p>
      <w:pPr>
        <w:pStyle w:val="2"/>
        <w:spacing w:line="240" w:lineRule="auto"/>
        <w:ind w:left="0" w:leftChars="0" w:firstLine="0" w:firstLineChars="0"/>
        <w:jc w:val="center"/>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ajorEastAsia" w:hAnsiTheme="majorEastAsia" w:eastAsiaTheme="majorEastAsia" w:cstheme="majorEastAsia"/>
          <w:sz w:val="24"/>
          <w:szCs w:val="24"/>
          <w:lang w:eastAsia="zh-CN"/>
        </w:rPr>
      </w:pPr>
      <w:bookmarkStart w:id="28" w:name="_Toc5691"/>
    </w:p>
    <w:p>
      <w:pPr>
        <w:pStyle w:val="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drawing>
          <wp:inline distT="0" distB="0" distL="114300" distR="114300">
            <wp:extent cx="5271770" cy="6337300"/>
            <wp:effectExtent l="0" t="0" r="1270" b="2540"/>
            <wp:docPr id="10" name="图片 10" descr="Merge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ergedImages"/>
                    <pic:cNvPicPr>
                      <a:picLocks noChangeAspect="1"/>
                    </pic:cNvPicPr>
                  </pic:nvPicPr>
                  <pic:blipFill>
                    <a:blip r:embed="rId6"/>
                    <a:stretch>
                      <a:fillRect/>
                    </a:stretch>
                  </pic:blipFill>
                  <pic:spPr>
                    <a:xfrm>
                      <a:off x="0" y="0"/>
                      <a:ext cx="5271770" cy="6337300"/>
                    </a:xfrm>
                    <a:prstGeom prst="rect">
                      <a:avLst/>
                    </a:prstGeom>
                  </pic:spPr>
                </pic:pic>
              </a:graphicData>
            </a:graphic>
          </wp:inline>
        </w:drawing>
      </w: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图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bookmarkStart w:id="29" w:name="_Toc24874"/>
      <w:bookmarkStart w:id="30" w:name="_Toc17906"/>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eastAsia="zh-CN"/>
        </w:rPr>
        <w:t>近九年全国中职教育评价关键指标</w:t>
      </w:r>
      <w:r>
        <w:rPr>
          <w:rFonts w:hint="eastAsia" w:asciiTheme="majorEastAsia" w:hAnsiTheme="majorEastAsia" w:eastAsiaTheme="majorEastAsia" w:cstheme="majorEastAsia"/>
          <w:sz w:val="24"/>
          <w:szCs w:val="24"/>
          <w:lang w:val="en-US" w:eastAsia="zh-CN"/>
        </w:rPr>
        <w:t>变化图</w:t>
      </w:r>
      <w:bookmarkEnd w:id="29"/>
      <w:bookmarkEnd w:id="30"/>
    </w:p>
    <w:p>
      <w:pPr>
        <w:pStyle w:val="6"/>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Fonts w:hint="eastAsia" w:ascii="楷体" w:hAnsi="楷体" w:eastAsia="楷体" w:cs="楷体"/>
          <w:sz w:val="28"/>
          <w:szCs w:val="28"/>
          <w:lang w:val="en-US" w:eastAsia="zh-CN"/>
        </w:rPr>
      </w:pPr>
    </w:p>
    <w:p>
      <w:pPr>
        <w:pStyle w:val="4"/>
        <w:tabs>
          <w:tab w:val="left" w:pos="4698"/>
        </w:tabs>
        <w:bidi w:val="0"/>
        <w:outlineLvl w:val="1"/>
        <w:rPr>
          <w:rFonts w:hint="eastAsia" w:ascii="楷体" w:hAnsi="楷体" w:eastAsia="楷体" w:cs="楷体"/>
          <w:sz w:val="28"/>
          <w:szCs w:val="28"/>
          <w:lang w:val="en-US" w:eastAsia="zh-CN"/>
        </w:rPr>
      </w:pPr>
      <w:bookmarkStart w:id="31" w:name="_Toc7145"/>
      <w:r>
        <w:rPr>
          <w:rFonts w:hint="eastAsia" w:ascii="楷体" w:hAnsi="楷体" w:eastAsia="楷体" w:cs="楷体"/>
          <w:sz w:val="28"/>
          <w:szCs w:val="28"/>
          <w:lang w:val="en-US" w:eastAsia="zh-CN"/>
        </w:rPr>
        <w:t>4.1职业高中教育投入现状</w:t>
      </w:r>
      <w:bookmarkEnd w:id="28"/>
      <w:bookmarkEnd w:id="31"/>
      <w:r>
        <w:rPr>
          <w:rFonts w:hint="eastAsia" w:ascii="楷体" w:hAnsi="楷体" w:eastAsia="楷体" w:cs="楷体"/>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据官方统计，中国的职业教育投入呈逐年增长的趋势，尤其是2010年以后，国家开始加大对职业教育的支持力度，相应的投入也在增长。其中，投入主要包括基础设施建设、师资培训和课程改革等方面。具体来说，中国政府在职业教育方面的投入包括以下几个方面：</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基础设施建设：政府在职业教育方面投入较多的基础设施建设，以改善教学条件和学校环境。近年来，政府重点支持了教学设施建设，比如实训中心、实验室和教师培训中心等。</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师资培训：政府鼓励教育机构加强教师培养，提高职业教育教师教学水平。这包括引入国外职业教育专家进行教学指导和培训，组织大型教师培训班等。</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课程改革：政府逐步推进职业教育课程改革，提高职业教育的实用性和就业率。大力发展校企合作，鼓励学生参与实践和技能竞赛。</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总的来说，中国在职业教育方面的投入逐年增长，国家层面和地方政府都在积极推进各项改革，以提高职业教育质量和教育效益。</w:t>
      </w:r>
    </w:p>
    <w:p>
      <w:pPr>
        <w:pStyle w:val="4"/>
        <w:numPr>
          <w:ilvl w:val="0"/>
          <w:numId w:val="0"/>
        </w:numPr>
        <w:bidi w:val="0"/>
        <w:ind w:leftChars="0"/>
        <w:outlineLvl w:val="1"/>
        <w:rPr>
          <w:rFonts w:hint="eastAsia" w:ascii="楷体" w:hAnsi="楷体" w:eastAsia="楷体" w:cs="楷体"/>
          <w:sz w:val="28"/>
          <w:szCs w:val="28"/>
          <w:lang w:val="en-US" w:eastAsia="zh-CN"/>
        </w:rPr>
      </w:pPr>
      <w:bookmarkStart w:id="32" w:name="_Toc30553"/>
      <w:bookmarkStart w:id="33" w:name="_Toc22033"/>
      <w:r>
        <w:rPr>
          <w:rFonts w:hint="eastAsia" w:ascii="楷体" w:hAnsi="楷体" w:eastAsia="楷体" w:cs="楷体"/>
          <w:sz w:val="28"/>
          <w:szCs w:val="28"/>
          <w:lang w:val="en-US" w:eastAsia="zh-CN"/>
        </w:rPr>
        <w:t>4.2职业高中教育产出现状</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中国职业高中教育的产出现状与投入相比，存在一定程度的不匹配。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虽然职业教育的就业率较高，但是目前职业教育的毕业生在获得高质量就业的同时，教育质量与教育效益问题也日益凸显。一些职业高中学生基础薄弱、实践技能不足，出现“有毕业证，无技能”的现象；一些职业教育学科和专业未能顺应市场需求及有效供求方面；教育资源配置不均衡，职业教育与高等教育之间的差距也逐渐扩大。</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为了改善这种现状，中国正在推行职业教育改革，不断优化职业教育体系、培养职业型人才，并加大职业教育资源投入。同时，提高教育教学质量也成为政府和教育机构的重要任务。可以预见，随着职业教育改革的深入进行，职业教育的产出效益会不断提升。</w:t>
      </w:r>
    </w:p>
    <w:p>
      <w:pPr>
        <w:numPr>
          <w:ilvl w:val="0"/>
          <w:numId w:val="0"/>
        </w:numPr>
        <w:rPr>
          <w:rFonts w:hint="default"/>
          <w:lang w:val="en-US"/>
        </w:rPr>
      </w:pPr>
    </w:p>
    <w:p>
      <w:pPr>
        <w:pStyle w:val="4"/>
        <w:numPr>
          <w:ilvl w:val="0"/>
          <w:numId w:val="0"/>
        </w:numPr>
        <w:bidi w:val="0"/>
        <w:ind w:leftChars="0"/>
        <w:outlineLvl w:val="1"/>
        <w:rPr>
          <w:rFonts w:hint="eastAsia" w:ascii="楷体" w:hAnsi="楷体" w:eastAsia="楷体" w:cs="楷体"/>
          <w:sz w:val="28"/>
          <w:szCs w:val="28"/>
          <w:lang w:val="en-US" w:eastAsia="zh-CN"/>
        </w:rPr>
      </w:pPr>
      <w:bookmarkStart w:id="34" w:name="_Toc8723"/>
      <w:bookmarkStart w:id="35" w:name="_Toc13054"/>
      <w:r>
        <w:rPr>
          <w:rFonts w:hint="eastAsia" w:ascii="楷体" w:hAnsi="楷体" w:eastAsia="楷体" w:cs="楷体"/>
          <w:sz w:val="28"/>
          <w:szCs w:val="28"/>
          <w:lang w:val="en-US" w:eastAsia="zh-CN"/>
        </w:rPr>
        <w:t>4.3职业高中教育投入产出现状综合分析</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分析中国职业高中教育的投入和产出现状，可以发现当前存在一定的不平衡和不匹配。虽然政府在职业教育方面的投入不断增加，但是仍然存在教育资源配置不均衡、教育效益不高等问题。部分职业高中学生虽然可以获得就业机会，但是由于个人技能和素质水平不高，存在“有毕业证，无用武之地”的情况。此外，职业高中学生的就业机会广泛，但就业岗位与市场需求不太匹配，职业教育专业与劳动力市场需求之间的契合度有待进一步提升。</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些问题，中国政府正在加大对职业教育的投入力度，并推行各项改革，包括基础设施建设、师资培养、课程改革等方面。同时，提高教育教学质量和教育效益，使得投入的资源能够最大程度地发挥作用，是当前职业教育工作者的共同任务。在未来，职业高中教育投入产出水平将会进一步提高，职业教育学生的就业前景和生活质量也将得到更好的保障。</w:t>
      </w:r>
    </w:p>
    <w:p>
      <w:pPr>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br w:type="page"/>
      </w:r>
    </w:p>
    <w:p>
      <w:pPr>
        <w:pStyle w:val="4"/>
        <w:numPr>
          <w:ilvl w:val="0"/>
          <w:numId w:val="0"/>
        </w:numPr>
        <w:bidi w:val="0"/>
        <w:ind w:leftChars="0"/>
        <w:outlineLvl w:val="1"/>
        <w:rPr>
          <w:rFonts w:hint="eastAsia"/>
          <w:lang w:val="en-US" w:eastAsia="zh-CN"/>
        </w:rPr>
      </w:pPr>
      <w:bookmarkStart w:id="36" w:name="_Toc27570"/>
      <w:r>
        <w:rPr>
          <w:rFonts w:hint="eastAsia" w:ascii="楷体" w:hAnsi="楷体" w:eastAsia="楷体" w:cs="楷体"/>
          <w:sz w:val="28"/>
          <w:szCs w:val="28"/>
          <w:lang w:val="en-US" w:eastAsia="zh-CN"/>
        </w:rPr>
        <w:t>4.4各省中职教育近三年的关键评价指标统计</w:t>
      </w:r>
      <w:bookmarkEnd w:id="36"/>
    </w:p>
    <w:bookmarkEnd w:id="35"/>
    <w:p>
      <w:pPr>
        <w:rPr>
          <w:rFonts w:hint="eastAsia" w:ascii="宋体" w:hAnsi="宋体" w:eastAsia="宋体" w:cs="宋体"/>
          <w:b/>
          <w:bCs/>
          <w:color w:val="000000"/>
          <w:kern w:val="0"/>
          <w:sz w:val="24"/>
          <w:szCs w:val="24"/>
          <w:lang w:val="en-US" w:eastAsia="zh-CN" w:bidi="ar"/>
        </w:rPr>
      </w:pPr>
    </w:p>
    <w:p>
      <w:pPr>
        <w:pStyle w:val="6"/>
        <w:jc w:val="center"/>
        <w:rPr>
          <w:rFonts w:hint="eastAsia"/>
          <w:lang w:val="en-US" w:eastAsia="zh-CN"/>
        </w:rPr>
      </w:pPr>
      <w:r>
        <w:rPr>
          <w:rFonts w:hint="eastAsia"/>
          <w:lang w:val="en-US" w:eastAsia="zh-CN"/>
        </w:rPr>
        <w:drawing>
          <wp:inline distT="0" distB="0" distL="114300" distR="114300">
            <wp:extent cx="5271770" cy="6337300"/>
            <wp:effectExtent l="0" t="0" r="1270" b="2540"/>
            <wp:docPr id="8" name="图片 8" descr="Merge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ergedImages"/>
                    <pic:cNvPicPr>
                      <a:picLocks noChangeAspect="1"/>
                    </pic:cNvPicPr>
                  </pic:nvPicPr>
                  <pic:blipFill>
                    <a:blip r:embed="rId7"/>
                    <a:stretch>
                      <a:fillRect/>
                    </a:stretch>
                  </pic:blipFill>
                  <pic:spPr>
                    <a:xfrm>
                      <a:off x="0" y="0"/>
                      <a:ext cx="5271770" cy="6337300"/>
                    </a:xfrm>
                    <a:prstGeom prst="rect">
                      <a:avLst/>
                    </a:prstGeom>
                  </pic:spPr>
                </pic:pic>
              </a:graphicData>
            </a:graphic>
          </wp:inline>
        </w:drawing>
      </w:r>
    </w:p>
    <w:p>
      <w:pPr>
        <w:pStyle w:val="6"/>
        <w:jc w:val="center"/>
        <w:rPr>
          <w:rFonts w:hint="eastAsia" w:asciiTheme="majorEastAsia" w:hAnsiTheme="majorEastAsia" w:eastAsiaTheme="majorEastAsia" w:cstheme="majorEastAsia"/>
          <w:sz w:val="24"/>
          <w:szCs w:val="24"/>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图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bookmarkStart w:id="37" w:name="_Toc30853"/>
      <w:r>
        <w:rPr>
          <w:rFonts w:hint="eastAsia" w:asciiTheme="majorEastAsia" w:hAnsiTheme="majorEastAsia" w:eastAsiaTheme="majorEastAsia" w:cstheme="majorEastAsia"/>
          <w:sz w:val="24"/>
          <w:szCs w:val="24"/>
          <w:lang w:eastAsia="zh-CN"/>
        </w:rPr>
        <w:t xml:space="preserve"> 2019年各省中职教育关键评价指标统计</w:t>
      </w:r>
      <w:bookmarkEnd w:id="37"/>
    </w:p>
    <w:p>
      <w:pPr>
        <w:pStyle w:val="6"/>
        <w:jc w:val="center"/>
        <w:rPr>
          <w:rFonts w:hint="eastAsia" w:asciiTheme="majorEastAsia" w:hAnsiTheme="majorEastAsia" w:eastAsiaTheme="majorEastAsia" w:cstheme="majorEastAsia"/>
          <w:sz w:val="24"/>
          <w:szCs w:val="24"/>
        </w:rPr>
      </w:pPr>
    </w:p>
    <w:p>
      <w:pPr>
        <w:pStyle w:val="6"/>
        <w:jc w:val="center"/>
        <w:rPr>
          <w:rFonts w:hint="eastAsia" w:asciiTheme="majorEastAsia" w:hAnsiTheme="majorEastAsia" w:eastAsiaTheme="majorEastAsia" w:cstheme="majorEastAsia"/>
          <w:sz w:val="24"/>
          <w:szCs w:val="24"/>
        </w:rPr>
      </w:pPr>
    </w:p>
    <w:p>
      <w:pPr>
        <w:rPr>
          <w:rFonts w:hint="eastAsia" w:ascii="宋体" w:hAnsi="宋体" w:eastAsia="宋体" w:cs="宋体"/>
          <w:b/>
          <w:bCs/>
          <w:color w:val="000000"/>
          <w:kern w:val="0"/>
          <w:sz w:val="24"/>
          <w:szCs w:val="24"/>
          <w:lang w:val="en-US" w:eastAsia="zh-CN" w:bidi="ar"/>
        </w:rPr>
      </w:pPr>
    </w:p>
    <w:p>
      <w:pPr>
        <w:rPr>
          <w:rFonts w:hint="eastAsia"/>
          <w:lang w:eastAsia="zh-CN"/>
        </w:rPr>
      </w:pPr>
      <w:r>
        <w:rPr>
          <w:rFonts w:hint="eastAsia"/>
          <w:lang w:eastAsia="zh-CN"/>
        </w:rPr>
        <w:drawing>
          <wp:inline distT="0" distB="0" distL="114300" distR="114300">
            <wp:extent cx="5271770" cy="6337300"/>
            <wp:effectExtent l="0" t="0" r="1270" b="2540"/>
            <wp:docPr id="9" name="图片 9" descr="Merged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rgedImages (1)"/>
                    <pic:cNvPicPr>
                      <a:picLocks noChangeAspect="1"/>
                    </pic:cNvPicPr>
                  </pic:nvPicPr>
                  <pic:blipFill>
                    <a:blip r:embed="rId8"/>
                    <a:stretch>
                      <a:fillRect/>
                    </a:stretch>
                  </pic:blipFill>
                  <pic:spPr>
                    <a:xfrm>
                      <a:off x="0" y="0"/>
                      <a:ext cx="5271770" cy="6337300"/>
                    </a:xfrm>
                    <a:prstGeom prst="rect">
                      <a:avLst/>
                    </a:prstGeom>
                  </pic:spPr>
                </pic:pic>
              </a:graphicData>
            </a:graphic>
          </wp:inline>
        </w:drawing>
      </w:r>
    </w:p>
    <w:p>
      <w:pPr>
        <w:pStyle w:val="6"/>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图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bookmarkStart w:id="38" w:name="_Toc5708"/>
      <w:r>
        <w:rPr>
          <w:rFonts w:hint="eastAsia" w:asciiTheme="majorEastAsia" w:hAnsiTheme="majorEastAsia" w:eastAsiaTheme="majorEastAsia" w:cstheme="majorEastAsia"/>
          <w:sz w:val="24"/>
          <w:szCs w:val="24"/>
          <w:lang w:eastAsia="zh-CN"/>
        </w:rPr>
        <w:t xml:space="preserve"> 2020年各省中职教育关键评价指标统计</w:t>
      </w:r>
      <w:bookmarkEnd w:id="38"/>
    </w:p>
    <w:p>
      <w:pPr>
        <w:pStyle w:val="2"/>
        <w:ind w:left="0" w:leftChars="0" w:firstLine="0" w:firstLineChars="0"/>
        <w:rPr>
          <w:rFonts w:hint="eastAsia"/>
          <w:lang w:eastAsia="zh-CN"/>
        </w:rPr>
      </w:pPr>
    </w:p>
    <w:p>
      <w:pPr>
        <w:pStyle w:val="6"/>
        <w:jc w:val="center"/>
        <w:rPr>
          <w:rFonts w:hint="eastAsia" w:asciiTheme="minorEastAsia" w:hAnsiTheme="minorEastAsia" w:eastAsiaTheme="minorEastAsia" w:cstheme="minorEastAsia"/>
          <w:sz w:val="24"/>
          <w:szCs w:val="24"/>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5271770" cy="6337300"/>
            <wp:effectExtent l="0" t="0" r="1270" b="2540"/>
            <wp:docPr id="1" name="图片 1" descr="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
                    <pic:cNvPicPr>
                      <a:picLocks noChangeAspect="1"/>
                    </pic:cNvPicPr>
                  </pic:nvPicPr>
                  <pic:blipFill>
                    <a:blip r:embed="rId9"/>
                    <a:stretch>
                      <a:fillRect/>
                    </a:stretch>
                  </pic:blipFill>
                  <pic:spPr>
                    <a:xfrm>
                      <a:off x="0" y="0"/>
                      <a:ext cx="5271770" cy="6337300"/>
                    </a:xfrm>
                    <a:prstGeom prst="rect">
                      <a:avLst/>
                    </a:prstGeom>
                  </pic:spPr>
                </pic:pic>
              </a:graphicData>
            </a:graphic>
          </wp:inline>
        </w:drawing>
      </w:r>
    </w:p>
    <w:p>
      <w:pPr>
        <w:pStyle w:val="6"/>
        <w:jc w:val="center"/>
        <w:rPr>
          <w:rFonts w:hint="eastAsia" w:asciiTheme="minorEastAsia" w:hAnsiTheme="minorEastAsia" w:eastAsiaTheme="minorEastAsia" w:cstheme="minorEastAsia"/>
          <w:sz w:val="24"/>
          <w:szCs w:val="24"/>
        </w:rPr>
      </w:pPr>
    </w:p>
    <w:p>
      <w:pPr>
        <w:pStyle w:val="6"/>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\s 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bookmarkStart w:id="39" w:name="_Toc28758"/>
      <w:r>
        <w:rPr>
          <w:rFonts w:hint="eastAsia" w:asciiTheme="minorEastAsia" w:hAnsiTheme="minorEastAsia" w:eastAsiaTheme="minorEastAsia" w:cstheme="minorEastAsia"/>
          <w:sz w:val="24"/>
          <w:szCs w:val="24"/>
          <w:lang w:eastAsia="zh-CN"/>
        </w:rPr>
        <w:t xml:space="preserve"> 2021年各省中职教育关键评价指标统计</w:t>
      </w:r>
      <w:bookmarkEnd w:id="39"/>
    </w:p>
    <w:p>
      <w:pPr>
        <w:rPr>
          <w:rFonts w:hint="eastAsia" w:ascii="宋体" w:hAnsi="宋体" w:eastAsia="宋体" w:cs="宋体"/>
          <w:b/>
          <w:bCs/>
          <w:color w:val="000000"/>
          <w:kern w:val="0"/>
          <w:sz w:val="24"/>
          <w:szCs w:val="24"/>
          <w:lang w:val="en-US" w:eastAsia="zh-CN" w:bidi="ar"/>
        </w:rPr>
      </w:pPr>
    </w:p>
    <w:p>
      <w:pPr>
        <w:outlineLvl w:val="0"/>
        <w:rPr>
          <w:rFonts w:hint="eastAsia" w:ascii="黑体" w:hAnsi="黑体" w:eastAsia="黑体" w:cs="黑体"/>
          <w:b/>
          <w:bCs/>
          <w:color w:val="000000"/>
          <w:kern w:val="0"/>
          <w:sz w:val="30"/>
          <w:szCs w:val="30"/>
          <w:lang w:val="en-US" w:eastAsia="zh-CN" w:bidi="ar"/>
        </w:rPr>
      </w:pPr>
      <w:bookmarkStart w:id="40" w:name="_Toc28506"/>
      <w:bookmarkStart w:id="41" w:name="_Toc28316"/>
      <w:r>
        <w:rPr>
          <w:rFonts w:hint="eastAsia" w:ascii="黑体" w:hAnsi="黑体" w:eastAsia="黑体" w:cs="黑体"/>
          <w:b/>
          <w:bCs/>
          <w:color w:val="000000"/>
          <w:kern w:val="0"/>
          <w:sz w:val="30"/>
          <w:szCs w:val="30"/>
          <w:lang w:val="en-US" w:eastAsia="zh-CN" w:bidi="ar"/>
        </w:rPr>
        <w:t>第五章 职业高中教育投入产出效率测度与分析</w:t>
      </w:r>
      <w:bookmarkEnd w:id="40"/>
      <w:bookmarkEnd w:id="41"/>
    </w:p>
    <w:p>
      <w:pPr>
        <w:outlineLvl w:val="1"/>
        <w:rPr>
          <w:rFonts w:hint="eastAsia" w:ascii="楷体" w:hAnsi="楷体" w:eastAsia="楷体" w:cs="楷体"/>
          <w:b w:val="0"/>
          <w:bCs w:val="0"/>
          <w:color w:val="000000"/>
          <w:kern w:val="0"/>
          <w:sz w:val="28"/>
          <w:szCs w:val="28"/>
          <w:lang w:val="en-US" w:eastAsia="zh-CN" w:bidi="ar"/>
        </w:rPr>
      </w:pPr>
      <w:bookmarkStart w:id="42" w:name="_Toc20217"/>
      <w:bookmarkStart w:id="43" w:name="_Toc1936"/>
      <w:r>
        <w:rPr>
          <w:rFonts w:hint="eastAsia" w:ascii="楷体" w:hAnsi="楷体" w:eastAsia="楷体" w:cs="楷体"/>
          <w:b w:val="0"/>
          <w:bCs w:val="0"/>
          <w:color w:val="000000"/>
          <w:kern w:val="0"/>
          <w:sz w:val="28"/>
          <w:szCs w:val="28"/>
          <w:lang w:val="en-US" w:eastAsia="zh-CN" w:bidi="ar"/>
        </w:rPr>
        <w:t>5.1 职业高中教育投入产出效率模型的建立</w:t>
      </w:r>
      <w:bookmarkEnd w:id="42"/>
      <w:bookmarkEnd w:id="43"/>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为研究职业高中投入产出效率，本文引入了DEA模型以及Malmquist指数模型来对职业高中教育投入产出效率进行分析及研究。</w:t>
      </w:r>
    </w:p>
    <w:p>
      <w:pPr>
        <w:outlineLvl w:val="2"/>
        <w:rPr>
          <w:rFonts w:hint="eastAsia" w:ascii="宋体" w:hAnsi="宋体" w:eastAsia="宋体" w:cs="宋体"/>
          <w:b/>
          <w:bCs/>
          <w:color w:val="000000"/>
          <w:kern w:val="0"/>
          <w:sz w:val="24"/>
          <w:szCs w:val="24"/>
          <w:lang w:val="en-US" w:eastAsia="zh-CN" w:bidi="ar"/>
        </w:rPr>
      </w:pPr>
      <w:bookmarkStart w:id="44" w:name="_Toc6469"/>
      <w:bookmarkStart w:id="45" w:name="_Toc17150"/>
      <w:r>
        <w:rPr>
          <w:rFonts w:hint="eastAsia" w:ascii="宋体" w:hAnsi="宋体" w:eastAsia="宋体" w:cs="宋体"/>
          <w:b/>
          <w:bCs/>
          <w:color w:val="000000"/>
          <w:kern w:val="0"/>
          <w:sz w:val="24"/>
          <w:szCs w:val="24"/>
          <w:lang w:val="en-US" w:eastAsia="zh-CN" w:bidi="ar"/>
        </w:rPr>
        <w:t>5.1.1 DEA模型</w:t>
      </w:r>
      <w:bookmarkEnd w:id="44"/>
      <w:bookmarkEnd w:id="45"/>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1978年，美国著名的运筹学家A.Charnes、W.W.Cooper和E.Rhodes提出了数据包络分析（DEA）这种非参数检验方法，它是建立在相对效率评价概念基础上的。在这种方法中，被评估的单位或组织被称为决策单元（简称DMU）。利用线性规划，DEA选取了多项投入和产出数据，并以最优投入与产出作为生产前沿，构建数据包络曲线。在这条曲线上，有效点是指位于前沿面上的该类型决策单元，其效率值标定为1；无效点则位于前沿面外，并赋予一个大于0但小于1的相对效率值指标。DEA的主要用途是测量同一类型的多个输出和输入决策单元的相对效率。</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DEA-CCR模型构建如下：</w:t>
      </w:r>
    </w:p>
    <w:p>
      <w:pPr>
        <w:rPr>
          <w:rFonts w:hint="default" w:ascii="Arial" w:hAnsi="Arial" w:eastAsia="宋体" w:cs="Arial"/>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tabs>
          <w:tab w:val="left" w:pos="2743"/>
        </w:tabs>
        <w:jc w:val="center"/>
        <w:rPr>
          <w:rFonts w:hint="default" w:ascii="Arial" w:hAnsi="Arial" w:eastAsia="宋体" w:cs="Arial"/>
          <w:b/>
          <w:bCs/>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4434840</wp:posOffset>
                </wp:positionH>
                <wp:positionV relativeFrom="paragraph">
                  <wp:posOffset>1376680</wp:posOffset>
                </wp:positionV>
                <wp:extent cx="1632585" cy="284480"/>
                <wp:effectExtent l="0" t="0" r="13335" b="5080"/>
                <wp:wrapNone/>
                <wp:docPr id="3" name="文本框 3"/>
                <wp:cNvGraphicFramePr/>
                <a:graphic xmlns:a="http://schemas.openxmlformats.org/drawingml/2006/main">
                  <a:graphicData uri="http://schemas.microsoft.com/office/word/2010/wordprocessingShape">
                    <wps:wsp>
                      <wps:cNvSpPr txBox="1"/>
                      <wps:spPr>
                        <a:xfrm>
                          <a:off x="4697095" y="4596765"/>
                          <a:ext cx="1632585"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2pt;margin-top:108.4pt;height:22.4pt;width:128.55pt;z-index:251659264;mso-width-relative:page;mso-height-relative:page;" fillcolor="#FFFFFF [3201]" filled="t" stroked="f" coordsize="21600,21600" o:gfxdata="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sc3&#10;EtYAAAALAQAADwAAAAAAAAABACAAAAAiAAAAZHJzL2Rvd25yZXYueG1sUEsBAhQAFAAAAAgAh07i&#10;QHmZIyJdAgAAmwQAAA4AAAAAAAAAAQAgAAAAJQEAAGRycy9lMm9Eb2MueG1sUEsFBgAAAAAGAAYA&#10;WQEAAPQFAAAAAA==&#10;">
                <v:fill on="t" focussize="0,0"/>
                <v:stroke on="f" weight="0.5pt"/>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公式（5.1）</w:t>
                      </w:r>
                    </w:p>
                  </w:txbxContent>
                </v:textbox>
              </v:shape>
            </w:pict>
          </mc:Fallback>
        </mc:AlternateContent>
      </w:r>
      <w:r>
        <w:rPr>
          <w:rFonts w:hint="eastAsia" w:ascii="Arial" w:hAnsi="Arial" w:eastAsia="宋体" w:cs="Arial"/>
          <w:b/>
          <w:bCs/>
          <w:color w:val="000000"/>
          <w:kern w:val="0"/>
          <w:position w:val="-104"/>
          <w:sz w:val="24"/>
          <w:szCs w:val="24"/>
          <w:lang w:val="en-US" w:eastAsia="zh-CN" w:bidi="ar"/>
        </w:rPr>
        <w:object>
          <v:shape id="_x0000_i1025" o:spt="75" type="#_x0000_t75" style="height:126pt;width:10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Arial" w:hAnsi="Arial" w:eastAsia="宋体" w:cs="Arial"/>
          <w:b/>
          <w:bCs/>
          <w:color w:val="000000"/>
          <w:kern w:val="0"/>
          <w:position w:val="-104"/>
          <w:sz w:val="24"/>
          <w:szCs w:val="24"/>
          <w:lang w:val="en-US" w:eastAsia="zh-CN" w:bidi="ar"/>
        </w:rPr>
        <w:t xml:space="preserve">  </w:t>
      </w:r>
    </w:p>
    <w:p>
      <w:p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DEA-BCC模型构建如下：</w:t>
      </w:r>
    </w:p>
    <w:p>
      <w:pPr>
        <w:numPr>
          <w:ilvl w:val="0"/>
          <w:numId w:val="0"/>
        </w:numPr>
        <w:tabs>
          <w:tab w:val="left" w:pos="2743"/>
        </w:tabs>
        <w:ind w:leftChars="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4445000</wp:posOffset>
                </wp:positionH>
                <wp:positionV relativeFrom="paragraph">
                  <wp:posOffset>1388745</wp:posOffset>
                </wp:positionV>
                <wp:extent cx="1632585" cy="284480"/>
                <wp:effectExtent l="0" t="0" r="13335" b="5080"/>
                <wp:wrapNone/>
                <wp:docPr id="4" name="文本框 4"/>
                <wp:cNvGraphicFramePr/>
                <a:graphic xmlns:a="http://schemas.openxmlformats.org/drawingml/2006/main">
                  <a:graphicData uri="http://schemas.microsoft.com/office/word/2010/wordprocessingShape">
                    <wps:wsp>
                      <wps:cNvSpPr txBox="1"/>
                      <wps:spPr>
                        <a:xfrm>
                          <a:off x="0" y="0"/>
                          <a:ext cx="1632585"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pt;margin-top:109.35pt;height:22.4pt;width:128.55pt;z-index:251660288;mso-width-relative:page;mso-height-relative:page;" fillcolor="#FFFFFF [3201]" filled="t" stroked="f" coordsize="21600,21600" o:gfxdata="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L0zgi1wAAAAsBAAAP&#10;AAAAAAAAAAEAIAAAACIAAABkcnMvZG93bnJldi54bWxQSwECFAAUAAAACACHTuJArsNblVICAACP&#10;BAAADgAAAAAAAAABACAAAAAmAQAAZHJzL2Uyb0RvYy54bWxQSwUGAAAAAAYABgBZAQAA6gUAAAAA&#10;">
                <v:fill on="t" focussize="0,0"/>
                <v:stroke on="f" weight="0.5pt"/>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公式（5.2）</w:t>
                      </w:r>
                    </w:p>
                  </w:txbxContent>
                </v:textbox>
              </v:shape>
            </w:pict>
          </mc:Fallback>
        </mc:AlternateContent>
      </w:r>
      <w:r>
        <w:rPr>
          <w:rFonts w:hint="eastAsia" w:ascii="Arial" w:hAnsi="Arial" w:eastAsia="宋体" w:cs="Arial"/>
          <w:b w:val="0"/>
          <w:bCs w:val="0"/>
          <w:color w:val="000000"/>
          <w:kern w:val="0"/>
          <w:position w:val="-10"/>
          <w:sz w:val="24"/>
          <w:szCs w:val="24"/>
          <w:lang w:val="en-US" w:eastAsia="zh-CN" w:bidi="ar"/>
        </w:rPr>
        <w:object>
          <v:shape id="_x0000_i1026" o:spt="75" type="#_x0000_t75" style="height:17pt;width:9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Arial" w:hAnsi="Arial" w:eastAsia="宋体" w:cs="Arial"/>
          <w:b w:val="0"/>
          <w:bCs w:val="0"/>
          <w:color w:val="000000"/>
          <w:kern w:val="0"/>
          <w:position w:val="-110"/>
          <w:sz w:val="24"/>
          <w:szCs w:val="24"/>
          <w:lang w:val="en-US" w:eastAsia="zh-CN" w:bidi="ar"/>
        </w:rPr>
        <w:object>
          <v:shape id="_x0000_i1027" o:spt="75" type="#_x0000_t75" style="height:129pt;width:10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numPr>
          <w:ilvl w:val="0"/>
          <w:numId w:val="0"/>
        </w:numPr>
        <w:tabs>
          <w:tab w:val="left" w:pos="2743"/>
        </w:tabs>
        <w:ind w:leftChars="0"/>
        <w:jc w:val="center"/>
        <w:rPr>
          <w:rFonts w:hint="default" w:ascii="Arial" w:hAnsi="Arial" w:eastAsia="宋体" w:cs="Arial"/>
          <w:b w:val="0"/>
          <w:bCs w:val="0"/>
          <w:color w:val="000000"/>
          <w:kern w:val="0"/>
          <w:sz w:val="24"/>
          <w:szCs w:val="24"/>
          <w:lang w:val="en-US" w:eastAsia="zh-CN" w:bidi="ar"/>
        </w:rPr>
      </w:pPr>
      <w:r>
        <w:rPr>
          <w:rFonts w:hint="eastAsia" w:ascii="Arial" w:hAnsi="Arial" w:eastAsia="宋体" w:cs="Arial"/>
          <w:b w:val="0"/>
          <w:bCs w:val="0"/>
          <w:color w:val="000000"/>
          <w:kern w:val="0"/>
          <w:position w:val="-110"/>
          <w:sz w:val="24"/>
          <w:szCs w:val="24"/>
          <w:lang w:val="en-US" w:eastAsia="zh-CN" w:bidi="ar"/>
        </w:rPr>
        <w:t xml:space="preserve">    </w:t>
      </w:r>
    </w:p>
    <w:p>
      <w:pPr>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其中θ为综合效益，</w:t>
      </w:r>
      <w:r>
        <w:rPr>
          <w:rFonts w:hint="default" w:ascii="宋体" w:hAnsi="宋体" w:eastAsia="宋体" w:cs="宋体"/>
          <w:b w:val="0"/>
          <w:bCs w:val="0"/>
          <w:color w:val="000000"/>
          <w:kern w:val="0"/>
          <w:sz w:val="24"/>
          <w:szCs w:val="24"/>
          <w:lang w:val="en-US" w:eastAsia="zh-CN" w:bidi="ar"/>
        </w:rPr>
        <w:object>
          <v:shape id="_x0000_i1028" o:spt="75" type="#_x0000_t75" style="height:17pt;width:15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宋体" w:hAnsi="宋体" w:eastAsia="宋体" w:cs="宋体"/>
          <w:b w:val="0"/>
          <w:bCs w:val="0"/>
          <w:color w:val="000000"/>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default" w:ascii="宋体" w:hAnsi="宋体" w:eastAsia="宋体" w:cs="宋体"/>
          <w:b w:val="0"/>
          <w:bCs w:val="0"/>
          <w:color w:val="000000"/>
          <w:kern w:val="0"/>
          <w:sz w:val="24"/>
          <w:szCs w:val="24"/>
          <w:lang w:val="en-US" w:eastAsia="zh-CN" w:bidi="ar"/>
        </w:rPr>
      </w:pPr>
      <w:bookmarkStart w:id="46" w:name="_Toc17449"/>
      <w:bookmarkStart w:id="47" w:name="_Toc176"/>
      <w:r>
        <w:rPr>
          <w:rFonts w:hint="default" w:ascii="宋体" w:hAnsi="宋体" w:eastAsia="宋体" w:cs="宋体"/>
          <w:b w:val="0"/>
          <w:bCs w:val="0"/>
          <w:color w:val="000000"/>
          <w:kern w:val="0"/>
          <w:sz w:val="24"/>
          <w:szCs w:val="24"/>
          <w:lang w:val="en-US" w:eastAsia="zh-CN" w:bidi="ar"/>
        </w:rPr>
        <w:t>我们可以使用CCR模型来判断技术有效和规模有效是否同时成立。如果θ=1，那么该决策单元是DEA有效的，经济活动同时是技术有效和规模有效的。如果θ=1，但是至少某个投入或产出大于0，那么该决策单元是弱DEA有效的，经济活动不是同时技术有效和规模有效的。如果θ&lt;1，那么该决策单元不是DEA有效的，经济活动既不是技术有效也不是规模有效。此外，我们可以对数据使用CCR模型和BCC模型的DEA分析来评判决策单元的规模效率。如果CCR和BCC的技术效益存在差异，那么说明该决策单元规模无效，并且规模无效效率可以通过计算BCC模型的技术效益和CCR模型的技术效益之间的差异来得到。</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5.1.2 Malmquist指数模型</w:t>
      </w:r>
      <w:bookmarkEnd w:id="46"/>
      <w:bookmarkEnd w:id="47"/>
    </w:p>
    <w:p>
      <w:pPr>
        <w:ind w:firstLine="420" w:firstLineChars="0"/>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传统的CCR和BCC模型只能将决策单元在同一时间点的生产效率进行横向比较，而DEA-Malmquist指数模型则可以测量决策单元在不同时期的效率动态变化。</w:t>
      </w:r>
      <w:r>
        <w:rPr>
          <w:rFonts w:hint="eastAsia" w:ascii="宋体" w:hAnsi="宋体" w:eastAsia="宋体" w:cs="宋体"/>
          <w:b w:val="0"/>
          <w:bCs w:val="0"/>
          <w:color w:val="000000"/>
          <w:kern w:val="0"/>
          <w:sz w:val="24"/>
          <w:szCs w:val="24"/>
          <w:lang w:val="en-US" w:eastAsia="zh-CN" w:bidi="ar"/>
        </w:rPr>
        <w:t>Malmquist指数模型构建如下：</w:t>
      </w:r>
    </w:p>
    <w:p>
      <w:pPr>
        <w:tabs>
          <w:tab w:val="left" w:pos="2836"/>
        </w:tabs>
        <w:rPr>
          <w:rFonts w:hint="eastAsia" w:ascii="Arial" w:hAnsi="Arial" w:eastAsia="宋体" w:cs="Arial"/>
          <w:b w:val="0"/>
          <w:bCs w:val="0"/>
          <w:color w:val="000000"/>
          <w:kern w:val="0"/>
          <w:sz w:val="24"/>
          <w:szCs w:val="24"/>
          <w:lang w:val="en-US" w:eastAsia="zh-CN" w:bidi="ar"/>
        </w:rPr>
      </w:pPr>
    </w:p>
    <w:p>
      <w:pPr>
        <w:tabs>
          <w:tab w:val="left" w:pos="2836"/>
        </w:tabs>
        <w:rPr>
          <w:rFonts w:hint="eastAsia" w:ascii="Arial" w:hAnsi="Arial" w:eastAsia="宋体" w:cs="Arial"/>
          <w:b w:val="0"/>
          <w:bCs w:val="0"/>
          <w:color w:val="000000"/>
          <w:kern w:val="0"/>
          <w:sz w:val="24"/>
          <w:szCs w:val="24"/>
          <w:lang w:val="en-US" w:eastAsia="zh-CN" w:bidi="ar"/>
        </w:rPr>
      </w:pPr>
    </w:p>
    <w:p>
      <w:pPr>
        <w:tabs>
          <w:tab w:val="left" w:pos="2836"/>
        </w:tabs>
        <w:ind w:left="960" w:hanging="960" w:hangingChars="400"/>
        <w:jc w:val="center"/>
        <w:rPr>
          <w:rFonts w:hint="eastAsia" w:asciiTheme="minorEastAsia" w:hAnsiTheme="minorEastAsia" w:eastAsiaTheme="minorEastAsia" w:cstheme="minorEastAsia"/>
          <w:sz w:val="24"/>
          <w:szCs w:val="24"/>
          <w:lang w:val="en-US" w:eastAsia="zh-CN"/>
        </w:rPr>
      </w:pPr>
      <w:r>
        <w:rPr>
          <w:rFonts w:hint="eastAsia" w:ascii="Arial" w:hAnsi="Arial" w:eastAsia="宋体" w:cs="Arial"/>
          <w:b w:val="0"/>
          <w:bCs w:val="0"/>
          <w:color w:val="000000"/>
          <w:kern w:val="0"/>
          <w:position w:val="-30"/>
          <w:sz w:val="24"/>
          <w:szCs w:val="24"/>
          <w:lang w:val="en-US" w:eastAsia="zh-CN" w:bidi="ar"/>
        </w:rPr>
        <w:object>
          <v:shape id="_x0000_i1029" o:spt="75" type="#_x0000_t75" style="height:36pt;width:321.8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tabs>
          <w:tab w:val="left" w:pos="2836"/>
        </w:tabs>
        <w:rPr>
          <w:rFonts w:hint="eastAsia" w:ascii="Arial" w:hAnsi="Arial" w:eastAsia="宋体" w:cs="Arial"/>
          <w:b w:val="0"/>
          <w:bCs w:val="0"/>
          <w:color w:val="000000"/>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1965960</wp:posOffset>
                </wp:positionH>
                <wp:positionV relativeFrom="paragraph">
                  <wp:posOffset>26035</wp:posOffset>
                </wp:positionV>
                <wp:extent cx="1632585" cy="284480"/>
                <wp:effectExtent l="0" t="0" r="13335" b="5080"/>
                <wp:wrapNone/>
                <wp:docPr id="5" name="文本框 5"/>
                <wp:cNvGraphicFramePr/>
                <a:graphic xmlns:a="http://schemas.openxmlformats.org/drawingml/2006/main">
                  <a:graphicData uri="http://schemas.microsoft.com/office/word/2010/wordprocessingShape">
                    <wps:wsp>
                      <wps:cNvSpPr txBox="1"/>
                      <wps:spPr>
                        <a:xfrm>
                          <a:off x="0" y="0"/>
                          <a:ext cx="1632585"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2.05pt;height:22.4pt;width:128.55pt;z-index:251661312;mso-width-relative:page;mso-height-relative:page;" fillcolor="#FFFFFF [3201]" filled="t" stroked="f" coordsize="21600,21600" o:gfxdata="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m5WwTUAAAACAEAAA8AAAAA&#10;AAAAAQAgAAAAIgAAAGRycy9kb3ducmV2LnhtbFBLAQIUABQAAAAIAIdO4kB+DW5WUQIAAI8EAAAO&#10;AAAAAAAAAAEAIAAAACMBAABkcnMvZTJvRG9jLnhtbFBLBQYAAAAABgAGAFkBAADmBQAAAAA=&#10;">
                <v:fill on="t" focussize="0,0"/>
                <v:stroke on="f" weight="0.5pt"/>
                <v:imagedata o:title=""/>
                <o:lock v:ext="edit" aspectratio="f"/>
                <v:textbo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公式（5.3）</w:t>
                      </w:r>
                    </w:p>
                  </w:txbxContent>
                </v:textbox>
              </v:shape>
            </w:pict>
          </mc:Fallback>
        </mc:AlternateConten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textAlignment w:val="auto"/>
        <w:rPr>
          <w:rFonts w:hint="eastAsia" w:ascii="Arial" w:hAnsi="Arial" w:eastAsia="宋体" w:cs="Arial"/>
          <w:b w:val="0"/>
          <w:bCs w:val="0"/>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Malmquist指数反映从第t期到第t+1期时的变化情况，比如Malmquist指数＞1则说明某项效率在增长，反之Malmquist指数&lt;1则说明在减少或衰退；Malmquist指数可以分解为技术效率（EC）和技术进步（TC），其中技术效率（EC）可以再次分解为纯技术效率（PEC）和规模效率（SEC）。其中：技术效率（EC）=纯技术效率（PEC）*规模效率（SEC），全要素生产率（TFP）=技术效率（EC）* 技术进步（TC）。</w:t>
      </w:r>
    </w:p>
    <w:p>
      <w:pPr>
        <w:pStyle w:val="2"/>
        <w:rPr>
          <w:rFonts w:hint="eastAsia"/>
          <w:lang w:val="en-US" w:eastAsia="zh-CN"/>
        </w:rPr>
      </w:pPr>
    </w:p>
    <w:p>
      <w:pPr>
        <w:tabs>
          <w:tab w:val="left" w:pos="2836"/>
        </w:tabs>
        <w:outlineLvl w:val="2"/>
        <w:rPr>
          <w:rFonts w:hint="eastAsia" w:ascii="宋体" w:hAnsi="宋体" w:eastAsia="宋体" w:cs="宋体"/>
          <w:b/>
          <w:bCs/>
          <w:color w:val="000000"/>
          <w:kern w:val="0"/>
          <w:sz w:val="24"/>
          <w:szCs w:val="24"/>
          <w:lang w:val="en-US" w:eastAsia="zh-CN" w:bidi="ar"/>
        </w:rPr>
      </w:pPr>
      <w:bookmarkStart w:id="48" w:name="_Toc17175"/>
      <w:bookmarkStart w:id="49" w:name="_Toc593"/>
      <w:r>
        <w:rPr>
          <w:rFonts w:hint="eastAsia" w:ascii="宋体" w:hAnsi="宋体" w:eastAsia="宋体" w:cs="宋体"/>
          <w:b/>
          <w:bCs/>
          <w:color w:val="000000"/>
          <w:kern w:val="0"/>
          <w:sz w:val="24"/>
          <w:szCs w:val="24"/>
          <w:lang w:val="en-US" w:eastAsia="zh-CN" w:bidi="ar"/>
        </w:rPr>
        <w:t>5.1.3模型选取原因</w:t>
      </w:r>
      <w:bookmarkEnd w:id="48"/>
      <w:bookmarkEnd w:id="49"/>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DEA 模型在计算效率方面具有较大优势，其常被国内外学者广泛用于如学校或医院等单位的效率测算。其次对学校的教育效率进行测度所需的变量是及其多的，而DEA方法的处理能力在多输入和特别是多输出问题方面具有绝对的优势，非常符合本文需求。Malmquist指数模型能够反映从第t期到第t+1期时的变化情况，较符合本文所需要研究的教育投入产出效率的变化情况，成功实现了对效率的动态分析。故本文选取DEA模型及Malmquist指数模型作为</w:t>
      </w:r>
      <w:r>
        <w:rPr>
          <w:rFonts w:hint="default" w:ascii="宋体" w:hAnsi="宋体" w:eastAsia="宋体" w:cs="宋体"/>
          <w:b w:val="0"/>
          <w:bCs w:val="0"/>
          <w:color w:val="000000"/>
          <w:kern w:val="0"/>
          <w:sz w:val="24"/>
          <w:szCs w:val="24"/>
          <w:lang w:val="en-US" w:eastAsia="zh-CN" w:bidi="ar"/>
        </w:rPr>
        <w:t>职业高中教育投入产出效率</w:t>
      </w:r>
      <w:r>
        <w:rPr>
          <w:rFonts w:hint="eastAsia" w:ascii="宋体" w:hAnsi="宋体" w:eastAsia="宋体" w:cs="宋体"/>
          <w:b w:val="0"/>
          <w:bCs w:val="0"/>
          <w:color w:val="000000"/>
          <w:kern w:val="0"/>
          <w:sz w:val="24"/>
          <w:szCs w:val="24"/>
          <w:lang w:val="en-US" w:eastAsia="zh-CN" w:bidi="ar"/>
        </w:rPr>
        <w:t>模型。</w:t>
      </w:r>
    </w:p>
    <w:p>
      <w:pPr>
        <w:pStyle w:val="2"/>
        <w:rPr>
          <w:rFonts w:hint="eastAsia"/>
          <w:lang w:val="en-US" w:eastAsia="zh-CN"/>
        </w:rPr>
      </w:pPr>
    </w:p>
    <w:p>
      <w:pPr>
        <w:tabs>
          <w:tab w:val="left" w:pos="2836"/>
        </w:tabs>
        <w:outlineLvl w:val="1"/>
        <w:rPr>
          <w:rFonts w:hint="default" w:ascii="Arial" w:hAnsi="Arial" w:eastAsia="宋体" w:cs="Arial"/>
          <w:b w:val="0"/>
          <w:bCs w:val="0"/>
          <w:color w:val="000000"/>
          <w:kern w:val="0"/>
          <w:sz w:val="24"/>
          <w:szCs w:val="24"/>
          <w:lang w:val="en-US" w:eastAsia="zh-CN" w:bidi="ar"/>
        </w:rPr>
      </w:pPr>
      <w:bookmarkStart w:id="50" w:name="_Toc26398"/>
      <w:bookmarkStart w:id="51" w:name="_Toc14029"/>
      <w:r>
        <w:rPr>
          <w:rFonts w:hint="eastAsia" w:ascii="楷体" w:hAnsi="楷体" w:eastAsia="楷体" w:cs="楷体"/>
          <w:b w:val="0"/>
          <w:bCs w:val="0"/>
          <w:color w:val="000000"/>
          <w:kern w:val="0"/>
          <w:sz w:val="28"/>
          <w:szCs w:val="28"/>
          <w:lang w:val="en-US" w:eastAsia="zh-CN" w:bidi="ar"/>
        </w:rPr>
        <w:t>5.2 职业高中教育效率测度指标体系设计</w:t>
      </w:r>
      <w:bookmarkEnd w:id="50"/>
      <w:bookmarkEnd w:id="51"/>
    </w:p>
    <w:p>
      <w:pPr>
        <w:tabs>
          <w:tab w:val="left" w:pos="2836"/>
        </w:tabs>
        <w:outlineLvl w:val="2"/>
        <w:rPr>
          <w:rFonts w:hint="eastAsia" w:asciiTheme="minorEastAsia" w:hAnsiTheme="minorEastAsia" w:eastAsiaTheme="minorEastAsia" w:cstheme="minorEastAsia"/>
          <w:b/>
          <w:bCs/>
          <w:color w:val="000000"/>
          <w:kern w:val="0"/>
          <w:sz w:val="24"/>
          <w:szCs w:val="24"/>
          <w:lang w:val="en-US" w:eastAsia="zh-CN" w:bidi="ar"/>
        </w:rPr>
      </w:pPr>
      <w:bookmarkStart w:id="52" w:name="_Toc2606"/>
      <w:bookmarkStart w:id="53" w:name="_Toc24642"/>
      <w:r>
        <w:rPr>
          <w:rFonts w:hint="eastAsia" w:asciiTheme="minorEastAsia" w:hAnsiTheme="minorEastAsia" w:cstheme="minorEastAsia"/>
          <w:b/>
          <w:bCs/>
          <w:color w:val="000000"/>
          <w:kern w:val="0"/>
          <w:sz w:val="24"/>
          <w:szCs w:val="24"/>
          <w:lang w:val="en-US" w:eastAsia="zh-CN" w:bidi="ar"/>
        </w:rPr>
        <w:t>5</w:t>
      </w:r>
      <w:r>
        <w:rPr>
          <w:rFonts w:hint="eastAsia" w:asciiTheme="minorEastAsia" w:hAnsiTheme="minorEastAsia" w:eastAsiaTheme="minorEastAsia" w:cstheme="minorEastAsia"/>
          <w:b/>
          <w:bCs/>
          <w:color w:val="000000"/>
          <w:kern w:val="0"/>
          <w:sz w:val="24"/>
          <w:szCs w:val="24"/>
          <w:lang w:val="en-US" w:eastAsia="zh-CN" w:bidi="ar"/>
        </w:rPr>
        <w:t>.2.1指标体系设计的目标：</w:t>
      </w:r>
      <w:bookmarkEnd w:id="52"/>
      <w:bookmarkEnd w:id="53"/>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设计一份能够全面反映 、客观描述而又便于操作的指标体系是对职业教育效率进行测度与比较的前提条件，选取投入产出指标</w:t>
      </w:r>
      <w:r>
        <w:rPr>
          <w:rFonts w:hint="eastAsia" w:ascii="宋体" w:hAnsi="宋体" w:eastAsia="宋体" w:cs="宋体"/>
          <w:b w:val="0"/>
          <w:bCs w:val="0"/>
          <w:color w:val="000000"/>
          <w:kern w:val="0"/>
          <w:sz w:val="24"/>
          <w:szCs w:val="24"/>
          <w:lang w:val="en-US" w:eastAsia="zh-CN" w:bidi="ar"/>
        </w:rPr>
        <w:t>应能</w:t>
      </w:r>
      <w:r>
        <w:rPr>
          <w:rFonts w:hint="default" w:ascii="宋体" w:hAnsi="宋体" w:eastAsia="宋体" w:cs="宋体"/>
          <w:b w:val="0"/>
          <w:bCs w:val="0"/>
          <w:color w:val="000000"/>
          <w:kern w:val="0"/>
          <w:sz w:val="24"/>
          <w:szCs w:val="24"/>
          <w:lang w:val="en-US" w:eastAsia="zh-CN" w:bidi="ar"/>
        </w:rPr>
        <w:t>简化复杂多元的职高教育投入产出效率</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易于建模以及计算，能够客观评价职高教育投入产出效率，为了解和深入研究职高教育投入产出效率现状提供可视化的依据。能够通过此指标体系反映出职高教育投入及产出的变化程度以及趋势，找出影响职高教育投入产出效率的因素并能够根据本指标体系给出提高职高教育效率的建议。</w:t>
      </w:r>
    </w:p>
    <w:p>
      <w:pPr>
        <w:pStyle w:val="2"/>
        <w:rPr>
          <w:rFonts w:hint="default"/>
          <w:lang w:val="en-US" w:eastAsia="zh-CN"/>
        </w:rPr>
      </w:pPr>
    </w:p>
    <w:p>
      <w:pPr>
        <w:tabs>
          <w:tab w:val="left" w:pos="2836"/>
        </w:tabs>
        <w:outlineLvl w:val="2"/>
        <w:rPr>
          <w:rFonts w:hint="eastAsia" w:asciiTheme="minorEastAsia" w:hAnsiTheme="minorEastAsia" w:eastAsiaTheme="minorEastAsia" w:cstheme="minorEastAsia"/>
          <w:b/>
          <w:bCs/>
          <w:color w:val="000000"/>
          <w:kern w:val="0"/>
          <w:sz w:val="24"/>
          <w:szCs w:val="24"/>
          <w:lang w:val="en-US" w:eastAsia="zh-CN" w:bidi="ar"/>
        </w:rPr>
      </w:pPr>
      <w:bookmarkStart w:id="54" w:name="_Toc4187"/>
      <w:bookmarkStart w:id="55" w:name="_Toc17531"/>
      <w:r>
        <w:rPr>
          <w:rFonts w:hint="eastAsia" w:asciiTheme="minorEastAsia" w:hAnsiTheme="minorEastAsia" w:cstheme="minorEastAsia"/>
          <w:b/>
          <w:bCs/>
          <w:color w:val="000000"/>
          <w:kern w:val="0"/>
          <w:sz w:val="24"/>
          <w:szCs w:val="24"/>
          <w:lang w:val="en-US" w:eastAsia="zh-CN" w:bidi="ar"/>
        </w:rPr>
        <w:t>5</w:t>
      </w:r>
      <w:r>
        <w:rPr>
          <w:rFonts w:hint="eastAsia" w:asciiTheme="minorEastAsia" w:hAnsiTheme="minorEastAsia" w:eastAsiaTheme="minorEastAsia" w:cstheme="minorEastAsia"/>
          <w:b/>
          <w:bCs/>
          <w:color w:val="000000"/>
          <w:kern w:val="0"/>
          <w:sz w:val="24"/>
          <w:szCs w:val="24"/>
          <w:lang w:val="en-US" w:eastAsia="zh-CN" w:bidi="ar"/>
        </w:rPr>
        <w:t>.2.2指标体系设计的原则：</w:t>
      </w:r>
      <w:bookmarkEnd w:id="54"/>
      <w:bookmarkEnd w:id="55"/>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职高教育效率评价指标体系是一个评价职业高中教育投入产出效率的体系，在体系设计时应遵循以下原则：</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1.导向性原则：对教育效率测度的主要目的之一就是通过教育效率的测度来体现</w:t>
      </w:r>
      <w:r>
        <w:rPr>
          <w:rFonts w:hint="eastAsia" w:ascii="宋体" w:hAnsi="宋体" w:eastAsia="宋体" w:cs="宋体"/>
          <w:b w:val="0"/>
          <w:bCs w:val="0"/>
          <w:color w:val="000000"/>
          <w:kern w:val="0"/>
          <w:sz w:val="24"/>
          <w:szCs w:val="24"/>
          <w:lang w:val="en-US" w:eastAsia="zh-CN" w:bidi="ar"/>
        </w:rPr>
        <w:t>在如今中国式现代化下教育现代化大力推行中</w:t>
      </w:r>
      <w:r>
        <w:rPr>
          <w:rFonts w:hint="default" w:ascii="宋体" w:hAnsi="宋体" w:eastAsia="宋体" w:cs="宋体"/>
          <w:b w:val="0"/>
          <w:bCs w:val="0"/>
          <w:color w:val="000000"/>
          <w:kern w:val="0"/>
          <w:sz w:val="24"/>
          <w:szCs w:val="24"/>
          <w:lang w:val="en-US" w:eastAsia="zh-CN" w:bidi="ar"/>
        </w:rPr>
        <w:t>教育质量以及成果</w:t>
      </w:r>
      <w:r>
        <w:rPr>
          <w:rFonts w:hint="eastAsia" w:ascii="宋体" w:hAnsi="宋体" w:eastAsia="宋体" w:cs="宋体"/>
          <w:b w:val="0"/>
          <w:bCs w:val="0"/>
          <w:color w:val="000000"/>
          <w:kern w:val="0"/>
          <w:sz w:val="24"/>
          <w:szCs w:val="24"/>
          <w:lang w:val="en-US" w:eastAsia="zh-CN" w:bidi="ar"/>
        </w:rPr>
        <w:t>的变化</w:t>
      </w:r>
      <w:r>
        <w:rPr>
          <w:rFonts w:hint="default" w:ascii="宋体" w:hAnsi="宋体" w:eastAsia="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所设计指标</w:t>
      </w:r>
      <w:r>
        <w:rPr>
          <w:rFonts w:hint="default" w:ascii="宋体" w:hAnsi="宋体" w:eastAsia="宋体" w:cs="宋体"/>
          <w:b w:val="0"/>
          <w:bCs w:val="0"/>
          <w:color w:val="000000"/>
          <w:kern w:val="0"/>
          <w:sz w:val="24"/>
          <w:szCs w:val="24"/>
          <w:lang w:val="en-US" w:eastAsia="zh-CN" w:bidi="ar"/>
        </w:rPr>
        <w:t>应以社会主义方向为总原则。</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2.科学性原则：所选定的指标必须具有科学的理论基础，</w:t>
      </w:r>
      <w:r>
        <w:rPr>
          <w:rFonts w:hint="eastAsia" w:ascii="宋体" w:hAnsi="宋体" w:eastAsia="宋体" w:cs="宋体"/>
          <w:b w:val="0"/>
          <w:bCs w:val="0"/>
          <w:color w:val="000000"/>
          <w:kern w:val="0"/>
          <w:sz w:val="24"/>
          <w:szCs w:val="24"/>
          <w:lang w:val="en-US" w:eastAsia="zh-CN" w:bidi="ar"/>
        </w:rPr>
        <w:t>且应</w:t>
      </w:r>
      <w:r>
        <w:rPr>
          <w:rFonts w:hint="default" w:ascii="宋体" w:hAnsi="宋体" w:eastAsia="宋体" w:cs="宋体"/>
          <w:b w:val="0"/>
          <w:bCs w:val="0"/>
          <w:color w:val="000000"/>
          <w:kern w:val="0"/>
          <w:sz w:val="24"/>
          <w:szCs w:val="24"/>
          <w:lang w:val="en-US" w:eastAsia="zh-CN" w:bidi="ar"/>
        </w:rPr>
        <w:t>反映客观事实。</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3.整体性原则：指标系统对目标应有完备性、全面性。设计指标系统时，考虑要周到，不能遗漏任一重要的、反映评价对象实质的指标。</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4.可行性原则：获取数据途径应方便，操作可行，为了减少主观假设并确保评估工作的顺利进行。</w:t>
      </w:r>
    </w:p>
    <w:p>
      <w:pPr>
        <w:pStyle w:val="2"/>
        <w:rPr>
          <w:rFonts w:hint="default"/>
          <w:lang w:val="en-US" w:eastAsia="zh-CN"/>
        </w:rPr>
      </w:pPr>
    </w:p>
    <w:p>
      <w:pPr>
        <w:tabs>
          <w:tab w:val="left" w:pos="2836"/>
        </w:tabs>
        <w:outlineLvl w:val="2"/>
        <w:rPr>
          <w:rFonts w:hint="eastAsia" w:ascii="宋体" w:hAnsi="宋体" w:eastAsia="宋体" w:cs="宋体"/>
          <w:b/>
          <w:bCs/>
          <w:color w:val="000000"/>
          <w:kern w:val="0"/>
          <w:sz w:val="24"/>
          <w:szCs w:val="24"/>
          <w:lang w:val="en-US" w:eastAsia="zh-CN" w:bidi="ar"/>
        </w:rPr>
      </w:pPr>
      <w:bookmarkStart w:id="56" w:name="_Toc3058"/>
      <w:bookmarkStart w:id="57" w:name="_Toc9074"/>
      <w:r>
        <w:rPr>
          <w:rFonts w:hint="eastAsia" w:ascii="宋体" w:hAnsi="宋体" w:eastAsia="宋体" w:cs="宋体"/>
          <w:b/>
          <w:bCs/>
          <w:color w:val="000000"/>
          <w:kern w:val="0"/>
          <w:sz w:val="24"/>
          <w:szCs w:val="24"/>
          <w:lang w:val="en-US" w:eastAsia="zh-CN" w:bidi="ar"/>
        </w:rPr>
        <w:t>5.2.3 评价指标体系的构成：</w:t>
      </w:r>
      <w:bookmarkEnd w:id="56"/>
      <w:bookmarkEnd w:id="57"/>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经过我们查阅大量文献后得知，教育评价教育产出投入体系指标由投入指标和产出指标构成，而投入指标常分为人力投入，物理投入以及财力投入；产出指标常分为数量产出和质量产出。</w:t>
      </w:r>
      <w:r>
        <w:rPr>
          <w:rFonts w:hint="default" w:ascii="宋体" w:hAnsi="宋体" w:eastAsia="宋体" w:cs="宋体"/>
          <w:b w:val="0"/>
          <w:bCs w:val="0"/>
          <w:color w:val="000000"/>
          <w:kern w:val="0"/>
          <w:sz w:val="24"/>
          <w:szCs w:val="24"/>
          <w:lang w:val="en-US" w:eastAsia="zh-CN" w:bidi="ar"/>
        </w:rPr>
        <w:t>因此本文选取如表</w:t>
      </w:r>
      <w:r>
        <w:rPr>
          <w:rFonts w:hint="eastAsia" w:ascii="宋体" w:hAnsi="宋体" w:eastAsia="宋体" w:cs="宋体"/>
          <w:b w:val="0"/>
          <w:bCs w:val="0"/>
          <w:color w:val="000000"/>
          <w:kern w:val="0"/>
          <w:sz w:val="24"/>
          <w:szCs w:val="24"/>
          <w:lang w:val="en-US" w:eastAsia="zh-CN" w:bidi="ar"/>
        </w:rPr>
        <w:t>5</w:t>
      </w:r>
      <w:r>
        <w:rPr>
          <w:rFonts w:hint="default" w:ascii="宋体" w:hAnsi="宋体" w:eastAsia="宋体" w:cs="宋体"/>
          <w:b w:val="0"/>
          <w:bCs w:val="0"/>
          <w:color w:val="000000"/>
          <w:kern w:val="0"/>
          <w:sz w:val="24"/>
          <w:szCs w:val="24"/>
          <w:lang w:val="en-US" w:eastAsia="zh-CN" w:bidi="ar"/>
        </w:rPr>
        <w:t>-1构建职高教育效率评价指标体系。</w:t>
      </w:r>
    </w:p>
    <w:p>
      <w:pPr>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br w:type="page"/>
      </w:r>
    </w:p>
    <w:p>
      <w:pPr>
        <w:tabs>
          <w:tab w:val="left" w:pos="2836"/>
        </w:tabs>
        <w:rPr>
          <w:rFonts w:hint="eastAsia" w:ascii="Arial" w:hAnsi="Arial" w:eastAsia="宋体" w:cs="Arial"/>
          <w:b/>
          <w:bCs/>
          <w:color w:val="000000"/>
          <w:kern w:val="0"/>
          <w:sz w:val="24"/>
          <w:szCs w:val="24"/>
          <w:lang w:val="en-US" w:eastAsia="zh-CN" w:bidi="ar"/>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bookmarkStart w:id="58" w:name="_Toc18342"/>
      <w:r>
        <w:rPr>
          <w:rFonts w:hint="eastAsia" w:asciiTheme="majorEastAsia" w:hAnsiTheme="majorEastAsia" w:eastAsiaTheme="majorEastAsia" w:cstheme="majorEastAsia"/>
          <w:sz w:val="24"/>
          <w:szCs w:val="24"/>
          <w:lang w:eastAsia="zh-CN"/>
        </w:rPr>
        <w:t xml:space="preserve"> 构建职高教育效率评价指标体系</w:t>
      </w:r>
      <w:bookmarkEnd w:id="58"/>
    </w:p>
    <w:p/>
    <w:tbl>
      <w:tblPr>
        <w:tblStyle w:val="14"/>
        <w:tblW w:w="5496" w:type="pct"/>
        <w:tblInd w:w="-337" w:type="dxa"/>
        <w:tblBorders>
          <w:top w:val="single" w:color="000000" w:themeColor="text1" w:sz="18" w:space="0"/>
          <w:left w:val="single" w:color="FFFFFF" w:themeColor="background1" w:sz="18" w:space="0"/>
          <w:bottom w:val="single" w:color="000000" w:themeColor="text1" w:sz="18" w:space="0"/>
          <w:right w:val="single" w:color="FFFFFF" w:themeColor="background1" w:sz="18" w:space="0"/>
          <w:insideH w:val="single" w:color="000000" w:themeColor="text1" w:sz="18" w:space="0"/>
          <w:insideV w:val="single" w:color="FFFFFF" w:themeColor="background1" w:sz="18" w:space="0"/>
        </w:tblBorders>
        <w:shd w:val="clear" w:color="auto" w:fill="FFFFFF"/>
        <w:tblLayout w:type="autofit"/>
        <w:tblCellMar>
          <w:top w:w="0" w:type="dxa"/>
          <w:left w:w="0" w:type="dxa"/>
          <w:bottom w:w="0" w:type="dxa"/>
          <w:right w:w="0" w:type="dxa"/>
        </w:tblCellMar>
      </w:tblPr>
      <w:tblGrid>
        <w:gridCol w:w="2697"/>
        <w:gridCol w:w="2645"/>
        <w:gridCol w:w="3820"/>
      </w:tblGrid>
      <w:tr>
        <w:tblPrEx>
          <w:tblBorders>
            <w:top w:val="single" w:color="000000" w:themeColor="text1" w:sz="18" w:space="0"/>
            <w:left w:val="single" w:color="FFFFFF" w:themeColor="background1" w:sz="18" w:space="0"/>
            <w:bottom w:val="single" w:color="000000" w:themeColor="text1" w:sz="18" w:space="0"/>
            <w:right w:val="single" w:color="FFFFFF" w:themeColor="background1" w:sz="18" w:space="0"/>
            <w:insideH w:val="single" w:color="000000" w:themeColor="text1" w:sz="18" w:space="0"/>
            <w:insideV w:val="single" w:color="FFFFFF" w:themeColor="background1" w:sz="18" w:space="0"/>
          </w:tblBorders>
          <w:shd w:val="clear" w:color="auto" w:fill="FFFFFF"/>
          <w:tblCellMar>
            <w:top w:w="0" w:type="dxa"/>
            <w:left w:w="0" w:type="dxa"/>
            <w:bottom w:w="0" w:type="dxa"/>
            <w:right w:w="0" w:type="dxa"/>
          </w:tblCellMar>
        </w:tblPrEx>
        <w:trPr>
          <w:trHeight w:val="850" w:hRule="atLeast"/>
        </w:trPr>
        <w:tc>
          <w:tcPr>
            <w:tcW w:w="2690" w:type="dxa"/>
            <w:tcBorders>
              <w:left w:val="nil"/>
              <w:right w:val="nil"/>
            </w:tcBorders>
            <w:shd w:val="clear" w:color="auto" w:fill="FFFFFF"/>
            <w:vAlign w:val="center"/>
          </w:tcPr>
          <w:p>
            <w:pPr>
              <w:widowControl/>
              <w:spacing w:after="150" w:line="450" w:lineRule="atLeast"/>
              <w:ind w:firstLine="960" w:firstLineChars="4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一级指标</w:t>
            </w:r>
          </w:p>
        </w:tc>
        <w:tc>
          <w:tcPr>
            <w:tcW w:w="2638" w:type="dxa"/>
            <w:tcBorders>
              <w:left w:val="nil"/>
              <w:right w:val="nil"/>
            </w:tcBorders>
            <w:shd w:val="clear" w:color="auto" w:fill="FFFFFF"/>
            <w:vAlign w:val="center"/>
          </w:tcPr>
          <w:p>
            <w:pPr>
              <w:widowControl/>
              <w:spacing w:after="150" w:line="450" w:lineRule="atLeast"/>
              <w:ind w:firstLine="960" w:firstLineChars="4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二级指标</w:t>
            </w:r>
          </w:p>
        </w:tc>
        <w:tc>
          <w:tcPr>
            <w:tcW w:w="3809" w:type="dxa"/>
            <w:tcBorders>
              <w:left w:val="nil"/>
              <w:tl2br w:val="nil"/>
              <w:tr2bl w:val="nil"/>
            </w:tcBorders>
            <w:shd w:val="clear" w:color="auto" w:fill="FFFFFF"/>
            <w:vAlign w:val="center"/>
          </w:tcPr>
          <w:p>
            <w:pPr>
              <w:widowControl/>
              <w:spacing w:after="150" w:line="450" w:lineRule="atLeast"/>
              <w:ind w:firstLine="1200" w:firstLineChars="5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三级指标</w:t>
            </w:r>
          </w:p>
        </w:tc>
      </w:tr>
      <w:tr>
        <w:tblPrEx>
          <w:tblBorders>
            <w:top w:val="single" w:color="000000" w:themeColor="text1" w:sz="18" w:space="0"/>
            <w:left w:val="single" w:color="FFFFFF" w:themeColor="background1" w:sz="18" w:space="0"/>
            <w:bottom w:val="single" w:color="000000" w:themeColor="text1" w:sz="18" w:space="0"/>
            <w:right w:val="single" w:color="FFFFFF" w:themeColor="background1" w:sz="18" w:space="0"/>
            <w:insideH w:val="single" w:color="000000" w:themeColor="text1" w:sz="18" w:space="0"/>
            <w:insideV w:val="single" w:color="FFFFFF" w:themeColor="background1" w:sz="18" w:space="0"/>
          </w:tblBorders>
          <w:tblCellMar>
            <w:top w:w="0" w:type="dxa"/>
            <w:left w:w="0" w:type="dxa"/>
            <w:bottom w:w="0" w:type="dxa"/>
            <w:right w:w="0" w:type="dxa"/>
          </w:tblCellMar>
        </w:tblPrEx>
        <w:trPr>
          <w:trHeight w:val="1660" w:hRule="atLeast"/>
        </w:trPr>
        <w:tc>
          <w:tcPr>
            <w:tcW w:w="2690" w:type="dxa"/>
            <w:tcBorders>
              <w:left w:val="nil"/>
              <w:right w:val="nil"/>
            </w:tcBorders>
            <w:shd w:val="clear" w:color="auto" w:fill="FFFFFF"/>
            <w:vAlign w:val="center"/>
          </w:tcPr>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lang w:val="en-US" w:eastAsia="zh-CN"/>
              </w:rPr>
              <w:t>投入指标</w:t>
            </w:r>
            <w:r>
              <w:rPr>
                <w:rFonts w:hint="eastAsia" w:asciiTheme="minorEastAsia" w:hAnsiTheme="minorEastAsia" w:eastAsiaTheme="minorEastAsia" w:cstheme="minorEastAsia"/>
                <w:color w:val="000000"/>
                <w:kern w:val="0"/>
                <w:sz w:val="24"/>
                <w:szCs w:val="24"/>
                <w:lang w:val="en-US" w:eastAsia="zh-CN"/>
              </w:rPr>
              <w:tab/>
            </w:r>
            <w:r>
              <w:rPr>
                <w:rFonts w:hint="eastAsia" w:asciiTheme="minorEastAsia" w:hAnsiTheme="minorEastAsia" w:eastAsiaTheme="minorEastAsia" w:cstheme="minorEastAsia"/>
                <w:color w:val="000000"/>
                <w:kern w:val="0"/>
                <w:sz w:val="24"/>
                <w:szCs w:val="24"/>
                <w:lang w:val="en-US" w:eastAsia="zh-CN"/>
              </w:rPr>
              <w:t>人力投入</w:t>
            </w:r>
          </w:p>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p>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p>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p>
          <w:p>
            <w:pPr>
              <w:widowControl/>
              <w:jc w:val="both"/>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产出指标</w:t>
            </w:r>
          </w:p>
        </w:tc>
        <w:tc>
          <w:tcPr>
            <w:tcW w:w="2638" w:type="dxa"/>
            <w:tcBorders>
              <w:left w:val="nil"/>
              <w:right w:val="nil"/>
            </w:tcBorders>
            <w:shd w:val="clear" w:color="auto" w:fill="FFFFFF"/>
            <w:vAlign w:val="center"/>
          </w:tcPr>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人力投入</w:t>
            </w:r>
          </w:p>
          <w:p>
            <w:pPr>
              <w:widowControl/>
              <w:ind w:firstLine="1200" w:firstLineChars="500"/>
              <w:jc w:val="center"/>
              <w:rPr>
                <w:rFonts w:hint="eastAsia" w:asciiTheme="minorEastAsia" w:hAnsiTheme="minorEastAsia" w:eastAsiaTheme="minorEastAsia" w:cstheme="minorEastAsia"/>
                <w:color w:val="000000"/>
                <w:kern w:val="0"/>
                <w:sz w:val="24"/>
                <w:szCs w:val="24"/>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物力投入</w:t>
            </w:r>
          </w:p>
          <w:p>
            <w:pPr>
              <w:widowControl/>
              <w:ind w:firstLine="1200" w:firstLineChars="500"/>
              <w:jc w:val="center"/>
              <w:rPr>
                <w:rFonts w:hint="eastAsia" w:asciiTheme="minorEastAsia" w:hAnsiTheme="minorEastAsia" w:eastAsiaTheme="minorEastAsia" w:cstheme="minorEastAsia"/>
                <w:color w:val="000000"/>
                <w:kern w:val="0"/>
                <w:sz w:val="24"/>
                <w:szCs w:val="24"/>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财力投入</w:t>
            </w:r>
          </w:p>
          <w:p>
            <w:pPr>
              <w:pStyle w:val="2"/>
              <w:rPr>
                <w:rFonts w:hint="eastAsia"/>
                <w:lang w:val="en-US" w:eastAsia="zh-CN"/>
              </w:rPr>
            </w:pPr>
          </w:p>
          <w:p>
            <w:pPr>
              <w:widowControl/>
              <w:ind w:firstLine="1200" w:firstLineChars="500"/>
              <w:jc w:val="center"/>
              <w:rPr>
                <w:rFonts w:hint="eastAsia" w:asciiTheme="minorEastAsia" w:hAnsiTheme="minorEastAsia" w:eastAsiaTheme="minorEastAsia" w:cstheme="minorEastAsia"/>
                <w:color w:val="000000"/>
                <w:kern w:val="0"/>
                <w:sz w:val="24"/>
                <w:szCs w:val="24"/>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数量产出</w:t>
            </w:r>
          </w:p>
          <w:p>
            <w:pPr>
              <w:pStyle w:val="2"/>
              <w:spacing w:line="240" w:lineRule="auto"/>
              <w:jc w:val="both"/>
              <w:rPr>
                <w:rFonts w:hint="eastAsia"/>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质量产出</w:t>
            </w:r>
          </w:p>
        </w:tc>
        <w:tc>
          <w:tcPr>
            <w:tcW w:w="3809" w:type="dxa"/>
            <w:tcBorders>
              <w:left w:val="nil"/>
              <w:tl2br w:val="nil"/>
              <w:tr2bl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X1：教职工总数</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X2：生师比</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X3：教学科研仪器设备资产值</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X4：校舍建筑面积</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X5：一般公共预算教育事业费支出</w:t>
            </w:r>
          </w:p>
          <w:p>
            <w:pPr>
              <w:widowControl/>
              <w:jc w:val="center"/>
              <w:rPr>
                <w:rFonts w:hint="eastAsia" w:asciiTheme="minorEastAsia" w:hAnsiTheme="minorEastAsia" w:eastAsiaTheme="minorEastAsia" w:cstheme="minorEastAsia"/>
                <w:color w:val="000000"/>
                <w:kern w:val="0"/>
                <w:sz w:val="24"/>
                <w:szCs w:val="24"/>
                <w:lang w:val="en-US" w:eastAsia="zh-CN"/>
              </w:rPr>
            </w:pPr>
          </w:p>
          <w:p>
            <w:pPr>
              <w:pStyle w:val="2"/>
              <w:rPr>
                <w:rFonts w:hint="eastAsia"/>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Y1：在校生数</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Y2：毕业生中获得职业资格证书人数</w:t>
            </w:r>
          </w:p>
        </w:tc>
      </w:tr>
    </w:tbl>
    <w:p>
      <w:pPr>
        <w:keepNext w:val="0"/>
        <w:keepLines w:val="0"/>
        <w:widowControl/>
        <w:suppressLineNumbers w:val="0"/>
        <w:jc w:val="left"/>
        <w:outlineLvl w:val="1"/>
        <w:rPr>
          <w:rFonts w:hint="eastAsia"/>
          <w:lang w:val="en-US" w:eastAsia="zh-CN"/>
        </w:rPr>
      </w:pPr>
      <w:bookmarkStart w:id="59" w:name="_Toc7015"/>
      <w:bookmarkStart w:id="60" w:name="_Toc6713"/>
      <w:r>
        <w:rPr>
          <w:rFonts w:hint="eastAsia" w:ascii="楷体" w:hAnsi="楷体" w:eastAsia="楷体" w:cs="楷体"/>
          <w:sz w:val="28"/>
          <w:szCs w:val="28"/>
          <w:lang w:val="en-US" w:eastAsia="zh-CN"/>
        </w:rPr>
        <w:t>5.3  职业高中教育投入产出效率模型的结果及分析</w:t>
      </w:r>
      <w:bookmarkEnd w:id="59"/>
      <w:bookmarkEnd w:id="60"/>
    </w:p>
    <w:p>
      <w:pPr>
        <w:keepNext w:val="0"/>
        <w:keepLines w:val="0"/>
        <w:widowControl/>
        <w:suppressLineNumbers w:val="0"/>
        <w:jc w:val="left"/>
        <w:outlineLvl w:val="2"/>
        <w:rPr>
          <w:rFonts w:hint="eastAsia" w:ascii="宋体" w:hAnsi="宋体" w:eastAsia="宋体" w:cs="宋体"/>
          <w:b/>
          <w:bCs/>
          <w:sz w:val="24"/>
          <w:szCs w:val="24"/>
          <w:lang w:val="en-US" w:eastAsia="zh-CN"/>
        </w:rPr>
      </w:pPr>
      <w:bookmarkStart w:id="61" w:name="_Toc31147"/>
      <w:bookmarkStart w:id="62" w:name="_Toc15921"/>
      <w:r>
        <w:rPr>
          <w:rFonts w:hint="eastAsia" w:ascii="宋体" w:hAnsi="宋体" w:eastAsia="宋体" w:cs="宋体"/>
          <w:b/>
          <w:bCs/>
          <w:sz w:val="24"/>
          <w:szCs w:val="24"/>
          <w:lang w:val="en-US" w:eastAsia="zh-CN"/>
        </w:rPr>
        <w:t>5.3.1 数据来源及处理</w:t>
      </w:r>
      <w:bookmarkEnd w:id="61"/>
      <w:bookmarkEnd w:id="62"/>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国家教育局的教育统计数据及教育经费执行公告，本文搜集了从2013-2021年全国的教职工总数、生师比、教学科研仪器设备资产值、校舍建筑面积、一般公共预算教育事业费支出、在校生数以及毕业生中获得职业资格证数人数的数据，同时也收集了2017-2021年全国31个省市（不含港澳台）的教职工总数、生师比、教学科研仪器设备资产值、校舍建筑面积、一般公共预算教育事业费支出、在校生数以及毕业生中获得职业资格证数人数的数据。本文所有数据均来自国家统计局官方网站，确保了数据的真实性以及可靠性。</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收集到的数据，经过去噪、量纲化等数据预处理操作，得到方便用于计算的数值。再利用SPSS工具，分别将全国的数据以及各省份的数据带入DEA-CCR模型和DEA-BCC模型进行综合评估，得出的分析结果如下。</w:t>
      </w:r>
    </w:p>
    <w:p>
      <w:p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br w:type="page"/>
      </w:r>
    </w:p>
    <w:p>
      <w:pPr>
        <w:bidi w:val="0"/>
        <w:jc w:val="center"/>
        <w:rPr>
          <w:rFonts w:hint="eastAsia"/>
          <w:sz w:val="24"/>
          <w:szCs w:val="24"/>
          <w:lang w:val="en-US" w:eastAsia="zh-CN"/>
        </w:rPr>
      </w:pPr>
    </w:p>
    <w:tbl>
      <w:tblPr>
        <w:tblStyle w:val="14"/>
        <w:tblpPr w:leftFromText="180" w:rightFromText="180" w:vertAnchor="text" w:horzAnchor="page" w:tblpX="587" w:tblpY="539"/>
        <w:tblOverlap w:val="never"/>
        <w:tblW w:w="6577" w:type="pct"/>
        <w:tblInd w:w="0" w:type="dxa"/>
        <w:shd w:val="clear" w:color="auto" w:fill="FFFFFF"/>
        <w:tblLayout w:type="autofit"/>
        <w:tblCellMar>
          <w:top w:w="0" w:type="dxa"/>
          <w:left w:w="0" w:type="dxa"/>
          <w:bottom w:w="0" w:type="dxa"/>
          <w:right w:w="0" w:type="dxa"/>
        </w:tblCellMar>
      </w:tblPr>
      <w:tblGrid>
        <w:gridCol w:w="480"/>
        <w:gridCol w:w="932"/>
        <w:gridCol w:w="711"/>
        <w:gridCol w:w="726"/>
        <w:gridCol w:w="1144"/>
        <w:gridCol w:w="1348"/>
        <w:gridCol w:w="717"/>
        <w:gridCol w:w="934"/>
        <w:gridCol w:w="711"/>
        <w:gridCol w:w="729"/>
        <w:gridCol w:w="1145"/>
        <w:gridCol w:w="1357"/>
      </w:tblGrid>
      <w:tr>
        <w:tblPrEx>
          <w:shd w:val="clear" w:color="auto" w:fill="FFFFFF"/>
          <w:tblCellMar>
            <w:top w:w="0" w:type="dxa"/>
            <w:left w:w="0" w:type="dxa"/>
            <w:bottom w:w="0" w:type="dxa"/>
            <w:right w:w="0" w:type="dxa"/>
          </w:tblCellMar>
        </w:tblPrEx>
        <w:trPr>
          <w:trHeight w:val="1025" w:hRule="atLeast"/>
          <w:tblHeader/>
        </w:trPr>
        <w:tc>
          <w:tcPr>
            <w:tcW w:w="206" w:type="pct"/>
            <w:tcBorders>
              <w:bottom w:val="single" w:color="auto" w:sz="6" w:space="0"/>
            </w:tcBorders>
            <w:shd w:val="clear" w:color="auto" w:fill="FFFFFF"/>
            <w:vAlign w:val="center"/>
          </w:tcPr>
          <w:p>
            <w:pPr>
              <w:widowControl/>
              <w:spacing w:after="150"/>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年份</w:t>
            </w:r>
          </w:p>
        </w:tc>
        <w:tc>
          <w:tcPr>
            <w:tcW w:w="427"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教职工总数</w:t>
            </w:r>
          </w:p>
        </w:tc>
        <w:tc>
          <w:tcPr>
            <w:tcW w:w="326"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生师比</w:t>
            </w:r>
          </w:p>
        </w:tc>
        <w:tc>
          <w:tcPr>
            <w:tcW w:w="333"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科研仪器</w:t>
            </w:r>
          </w:p>
        </w:tc>
        <w:tc>
          <w:tcPr>
            <w:tcW w:w="524"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校舍建筑面积</w:t>
            </w:r>
          </w:p>
        </w:tc>
        <w:tc>
          <w:tcPr>
            <w:tcW w:w="617"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教育事业费支出</w:t>
            </w:r>
          </w:p>
        </w:tc>
        <w:tc>
          <w:tcPr>
            <w:tcW w:w="329"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汇总</w:t>
            </w:r>
          </w:p>
        </w:tc>
        <w:tc>
          <w:tcPr>
            <w:tcW w:w="428"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教职工总数</w:t>
            </w:r>
          </w:p>
        </w:tc>
        <w:tc>
          <w:tcPr>
            <w:tcW w:w="326"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生师比</w:t>
            </w:r>
          </w:p>
        </w:tc>
        <w:tc>
          <w:tcPr>
            <w:tcW w:w="334"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科研仪器</w:t>
            </w:r>
          </w:p>
        </w:tc>
        <w:tc>
          <w:tcPr>
            <w:tcW w:w="524"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校舍建筑面积</w:t>
            </w:r>
          </w:p>
        </w:tc>
        <w:tc>
          <w:tcPr>
            <w:tcW w:w="621"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教育事业费支出</w:t>
            </w:r>
          </w:p>
        </w:tc>
      </w:tr>
      <w:tr>
        <w:tblPrEx>
          <w:shd w:val="clear" w:color="auto" w:fill="FFFFFF"/>
          <w:tblCellMar>
            <w:top w:w="0" w:type="dxa"/>
            <w:left w:w="0" w:type="dxa"/>
            <w:bottom w:w="0" w:type="dxa"/>
            <w:right w:w="0" w:type="dxa"/>
          </w:tblCellMar>
        </w:tblPrEx>
        <w:trPr>
          <w:trHeight w:val="410"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2021</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2020</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2019</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2018</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2017</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0.092</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0.012</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0.210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0.319</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0.092</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0.012</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0.205</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2016</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0.248</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0.014</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0.337</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0.599</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0.227</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0.014</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0.302</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2015</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0.353</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0.034</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0.471</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0.862</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0.297</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0.034</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0.379</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2014</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0.447</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0.049</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0.709</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1.210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0.351</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0.050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0.475</w:t>
            </w:r>
          </w:p>
        </w:tc>
      </w:tr>
      <w:tr>
        <w:tblPrEx>
          <w:tblCellMar>
            <w:top w:w="0" w:type="dxa"/>
            <w:left w:w="0" w:type="dxa"/>
            <w:bottom w:w="0" w:type="dxa"/>
            <w:right w:w="0" w:type="dxa"/>
          </w:tblCellMar>
        </w:tblPrEx>
        <w:trPr>
          <w:trHeight w:val="425" w:hRule="atLeast"/>
        </w:trPr>
        <w:tc>
          <w:tcPr>
            <w:tcW w:w="206"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2013</w:t>
            </w:r>
          </w:p>
        </w:tc>
        <w:tc>
          <w:tcPr>
            <w:tcW w:w="427"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0.029</w:t>
            </w:r>
          </w:p>
        </w:tc>
        <w:tc>
          <w:tcPr>
            <w:tcW w:w="326"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0.536</w:t>
            </w:r>
          </w:p>
        </w:tc>
        <w:tc>
          <w:tcPr>
            <w:tcW w:w="524"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0.102</w:t>
            </w:r>
          </w:p>
        </w:tc>
        <w:tc>
          <w:tcPr>
            <w:tcW w:w="617"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0.749</w:t>
            </w:r>
          </w:p>
        </w:tc>
        <w:tc>
          <w:tcPr>
            <w:tcW w:w="329"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1.417</w:t>
            </w:r>
          </w:p>
        </w:tc>
        <w:tc>
          <w:tcPr>
            <w:tcW w:w="428"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0.031</w:t>
            </w:r>
          </w:p>
        </w:tc>
        <w:tc>
          <w:tcPr>
            <w:tcW w:w="326"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0.385</w:t>
            </w:r>
          </w:p>
        </w:tc>
        <w:tc>
          <w:tcPr>
            <w:tcW w:w="524"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0.103</w:t>
            </w:r>
          </w:p>
        </w:tc>
        <w:tc>
          <w:tcPr>
            <w:tcW w:w="621"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0.483</w:t>
            </w:r>
          </w:p>
        </w:tc>
      </w:tr>
    </w:tbl>
    <w:p>
      <w:pPr>
        <w:pStyle w:val="6"/>
        <w:jc w:val="center"/>
        <w:rPr>
          <w:rFonts w:hint="eastAsia" w:asciiTheme="minorEastAsia" w:hAnsiTheme="minorEastAsia" w:eastAsiaTheme="minorEastAsia" w:cstheme="minorEastAsia"/>
          <w:sz w:val="24"/>
          <w:szCs w:val="24"/>
        </w:rPr>
      </w:pPr>
      <w:bookmarkStart w:id="63" w:name="_Toc12306"/>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\s 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bookmarkStart w:id="64" w:name="_Toc2948"/>
      <w:r>
        <w:rPr>
          <w:rFonts w:hint="eastAsia" w:asciiTheme="minorEastAsia" w:hAnsiTheme="minorEastAsia" w:eastAsiaTheme="minorEastAsia" w:cstheme="minorEastAsia"/>
          <w:sz w:val="24"/>
          <w:szCs w:val="24"/>
          <w:lang w:val="en-US" w:eastAsia="zh-CN"/>
        </w:rPr>
        <w:t xml:space="preserve"> 全国的数据以及各省份的数据DEA-CCR模型和DEA-BCC模型综合评估</w:t>
      </w:r>
      <w:bookmarkEnd w:id="64"/>
    </w:p>
    <w:p>
      <w:pPr>
        <w:pStyle w:val="2"/>
        <w:jc w:val="center"/>
        <w:rPr>
          <w:rFonts w:hint="eastAsia" w:ascii="宋体" w:hAnsi="宋体" w:eastAsia="宋体" w:cs="宋体"/>
          <w:sz w:val="24"/>
          <w:szCs w:val="24"/>
          <w:lang w:val="en-US" w:eastAsia="zh-CN"/>
        </w:rPr>
      </w:pPr>
    </w:p>
    <w:p>
      <w:pPr>
        <w:keepNext w:val="0"/>
        <w:keepLines w:val="0"/>
        <w:widowControl/>
        <w:suppressLineNumbers w:val="0"/>
        <w:jc w:val="left"/>
        <w:outlineLvl w:val="2"/>
        <w:rPr>
          <w:rFonts w:hint="eastAsia" w:asciiTheme="minorEastAsia" w:hAnsiTheme="minorEastAsia" w:eastAsiaTheme="minorEastAsia" w:cstheme="minorEastAsia"/>
          <w:b/>
          <w:bCs/>
          <w:sz w:val="24"/>
          <w:szCs w:val="24"/>
          <w:lang w:val="en-US" w:eastAsia="zh-CN"/>
        </w:rPr>
      </w:pPr>
      <w:bookmarkStart w:id="65" w:name="_Toc15973"/>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.3.2 职高教育效率有效性分析</w:t>
      </w:r>
      <w:bookmarkEnd w:id="63"/>
      <w:bookmarkEnd w:id="65"/>
    </w:p>
    <w:p>
      <w:pPr>
        <w:keepNext w:val="0"/>
        <w:keepLines w:val="0"/>
        <w:pageBreakBefore w:val="0"/>
        <w:widowControl w:val="0"/>
        <w:tabs>
          <w:tab w:val="left" w:pos="2951"/>
        </w:tabs>
        <w:kinsoku/>
        <w:wordWrap/>
        <w:overflowPunct/>
        <w:topLinePunct w:val="0"/>
        <w:autoSpaceDE/>
        <w:autoSpaceDN/>
        <w:bidi w:val="0"/>
        <w:adjustRightInd/>
        <w:snapToGrid/>
        <w:spacing w:line="480" w:lineRule="exact"/>
        <w:ind w:firstLine="480" w:firstLineChars="200"/>
        <w:textAlignment w:val="auto"/>
        <w:rPr>
          <w:rFonts w:hint="eastAsia" w:ascii="Arial" w:hAnsi="Arial" w:eastAsia="宋体" w:cs="Arial"/>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2013至2021年职高教育效率有效性分析如表5-3所示，如图5.1所示的折线图展示了综合效益、规模效益和技术效益对应的数据。当综合效益值等于1时，DEA处于有效状态；反之，若综合效益值小于1，则DEA无效。观察数据，我们可以看到，在从2013年至2017年期间，我国的教育产出与投入不匹配，这意味着存在着松驰变量</w:t>
      </w:r>
      <w:r>
        <w:rPr>
          <w:rFonts w:hint="eastAsia" w:ascii="宋体" w:hAnsi="宋体" w:eastAsia="宋体" w:cs="宋体"/>
          <w:b w:val="0"/>
          <w:bCs w:val="0"/>
          <w:color w:val="000000"/>
          <w:kern w:val="0"/>
          <w:sz w:val="24"/>
          <w:szCs w:val="24"/>
          <w:lang w:val="en-US" w:eastAsia="zh-CN" w:bidi="ar"/>
        </w:rPr>
        <w:object>
          <v:shape id="_x0000_i1030" o:spt="75" type="#_x0000_t75" style="height:16pt;width:13.95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宋体" w:hAnsi="宋体" w:eastAsia="宋体" w:cs="宋体"/>
          <w:b w:val="0"/>
          <w:bCs w:val="0"/>
          <w:color w:val="000000"/>
          <w:kern w:val="0"/>
          <w:sz w:val="24"/>
          <w:szCs w:val="24"/>
          <w:lang w:val="en-US" w:eastAsia="zh-CN" w:bidi="ar"/>
        </w:rPr>
        <w:t>，即需要降低投入以达到目标效率的程度。此外，投入冗余率指投入过多和实际投入的比率，值越大则代表投入过多的情况越严重。通过图表5所示可以看出，教育事业费支出冗余最为严重，其次为科研仪器设备资产值，这说明了我国在当时于教育经费支出以及科研仪器设备资产值方面严重溢出，2018年及以后我国中等职业教育投入产出效率都为DEA有效，说明此方面有较为优异的改善；技术效益值等于1意味着技术效率合理，反之技术效益值小于1意味着技术效益还有提升空间，根据数据显示，从2013年至2021年，我国的技术效益一直维持在1的水平，这意味着技术效率是合理的。另外，当规模效益值等于1时，说明处于规模收益的最优状态；如果该值小于1，则规模收益递增；而如果该值大于1，则规模收益递减。我国规模效益自2013年至2017年均小于1，但是逐年稳步增长，最终于2018年达到1，这也同时说明了我国综合效益的提高是由于规模效益的提高。</w:t>
      </w:r>
    </w:p>
    <w:p>
      <w:pPr>
        <w:tabs>
          <w:tab w:val="left" w:pos="2951"/>
        </w:tabs>
        <w:jc w:val="center"/>
        <w:rPr>
          <w:rFonts w:hint="default" w:ascii="Arial" w:hAnsi="Arial" w:eastAsia="宋体" w:cs="Arial"/>
          <w:b/>
          <w:bCs/>
          <w:color w:val="000000"/>
          <w:kern w:val="0"/>
          <w:sz w:val="24"/>
          <w:szCs w:val="24"/>
          <w:lang w:val="en-US" w:eastAsia="zh-CN" w:bidi="ar"/>
        </w:rPr>
      </w:pPr>
      <w:r>
        <w:rPr>
          <w:rFonts w:hint="default" w:ascii="Arial" w:hAnsi="Arial" w:eastAsia="宋体" w:cs="Arial"/>
          <w:b/>
          <w:bCs/>
          <w:color w:val="000000"/>
          <w:kern w:val="0"/>
          <w:sz w:val="24"/>
          <w:szCs w:val="24"/>
          <w:lang w:val="en-US" w:eastAsia="zh-CN" w:bidi="ar"/>
        </w:rPr>
        <w:drawing>
          <wp:inline distT="0" distB="0" distL="114300" distR="114300">
            <wp:extent cx="4855845" cy="2680335"/>
            <wp:effectExtent l="0" t="0" r="1905" b="5715"/>
            <wp:docPr id="2" name="图片 2" descr="2013-2021年中国中职教育有效性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3-2021年中国中职教育有效性分析图"/>
                    <pic:cNvPicPr>
                      <a:picLocks noChangeAspect="1"/>
                    </pic:cNvPicPr>
                  </pic:nvPicPr>
                  <pic:blipFill>
                    <a:blip r:embed="rId22"/>
                    <a:stretch>
                      <a:fillRect/>
                    </a:stretch>
                  </pic:blipFill>
                  <pic:spPr>
                    <a:xfrm>
                      <a:off x="0" y="0"/>
                      <a:ext cx="4855845" cy="2680335"/>
                    </a:xfrm>
                    <a:prstGeom prst="rect">
                      <a:avLst/>
                    </a:prstGeom>
                  </pic:spPr>
                </pic:pic>
              </a:graphicData>
            </a:graphic>
          </wp:inline>
        </w:drawing>
      </w:r>
    </w:p>
    <w:p>
      <w:pPr>
        <w:pStyle w:val="6"/>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\s 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bookmarkStart w:id="66" w:name="_Toc12166"/>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2013-2021年中国中职教育有效性分析图</w:t>
      </w:r>
      <w:bookmarkEnd w:id="66"/>
    </w:p>
    <w:p>
      <w:pPr>
        <w:pStyle w:val="6"/>
        <w:rPr>
          <w:rFonts w:hint="eastAsia" w:eastAsia="黑体"/>
          <w:lang w:val="en-US" w:eastAsia="zh-CN"/>
        </w:rPr>
      </w:pPr>
    </w:p>
    <w:p>
      <w:pPr>
        <w:tabs>
          <w:tab w:val="left" w:pos="2743"/>
        </w:tabs>
        <w:rPr>
          <w:rFonts w:hint="default" w:ascii="Arial" w:hAnsi="Arial" w:eastAsia="宋体" w:cs="Arial"/>
          <w:b/>
          <w:bCs/>
          <w:color w:val="000000"/>
          <w:kern w:val="0"/>
          <w:sz w:val="24"/>
          <w:szCs w:val="24"/>
          <w:lang w:val="en-US" w:eastAsia="zh-CN" w:bidi="ar"/>
        </w:rPr>
      </w:pPr>
    </w:p>
    <w:p>
      <w:pPr>
        <w:tabs>
          <w:tab w:val="left" w:pos="2743"/>
        </w:tabs>
        <w:rPr>
          <w:rFonts w:hint="default" w:ascii="Arial" w:hAnsi="Arial" w:eastAsia="宋体" w:cs="Arial"/>
          <w:b/>
          <w:bCs/>
          <w:color w:val="000000"/>
          <w:kern w:val="0"/>
          <w:sz w:val="24"/>
          <w:szCs w:val="24"/>
          <w:lang w:val="en-US" w:eastAsia="zh-CN" w:bidi="ar"/>
        </w:rPr>
      </w:pPr>
    </w:p>
    <w:p>
      <w:pPr>
        <w:rPr>
          <w:rFonts w:hint="default" w:ascii="Arial" w:hAnsi="Arial" w:eastAsia="宋体" w:cs="Arial"/>
          <w:b/>
          <w:bCs/>
          <w:color w:val="000000"/>
          <w:kern w:val="0"/>
          <w:sz w:val="24"/>
          <w:szCs w:val="24"/>
          <w:lang w:val="en-US" w:eastAsia="zh-CN" w:bidi="ar"/>
        </w:rPr>
      </w:pPr>
    </w:p>
    <w:p>
      <w:pPr>
        <w:pStyle w:val="6"/>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bookmarkStart w:id="67" w:name="_Toc23272"/>
      <w:r>
        <w:rPr>
          <w:rFonts w:hint="eastAsia" w:asciiTheme="majorEastAsia" w:hAnsiTheme="majorEastAsia" w:eastAsiaTheme="majorEastAsia" w:cstheme="majorEastAsia"/>
          <w:sz w:val="24"/>
          <w:szCs w:val="24"/>
          <w:lang w:val="en-US" w:eastAsia="zh-CN"/>
        </w:rPr>
        <w:t xml:space="preserve"> 2013-2021的DEA有效性分析</w:t>
      </w:r>
      <w:bookmarkEnd w:id="67"/>
    </w:p>
    <w:tbl>
      <w:tblPr>
        <w:tblStyle w:val="14"/>
        <w:tblW w:w="5468" w:type="pct"/>
        <w:tblInd w:w="-367" w:type="dxa"/>
        <w:shd w:val="clear" w:color="auto" w:fill="FFFFFF"/>
        <w:tblLayout w:type="autofit"/>
        <w:tblCellMar>
          <w:top w:w="0" w:type="dxa"/>
          <w:left w:w="0" w:type="dxa"/>
          <w:bottom w:w="0" w:type="dxa"/>
          <w:right w:w="0" w:type="dxa"/>
        </w:tblCellMar>
      </w:tblPr>
      <w:tblGrid>
        <w:gridCol w:w="1023"/>
        <w:gridCol w:w="1189"/>
        <w:gridCol w:w="1453"/>
        <w:gridCol w:w="1487"/>
        <w:gridCol w:w="1127"/>
        <w:gridCol w:w="1182"/>
        <w:gridCol w:w="1629"/>
      </w:tblGrid>
      <w:tr>
        <w:tblPrEx>
          <w:shd w:val="clear" w:color="auto" w:fill="FFFFFF"/>
          <w:tblCellMar>
            <w:top w:w="0" w:type="dxa"/>
            <w:left w:w="0" w:type="dxa"/>
            <w:bottom w:w="0" w:type="dxa"/>
            <w:right w:w="0" w:type="dxa"/>
          </w:tblCellMar>
        </w:tblPrEx>
        <w:trPr>
          <w:trHeight w:val="405" w:hRule="atLeast"/>
          <w:tblHeader/>
        </w:trPr>
        <w:tc>
          <w:tcPr>
            <w:tcW w:w="5000" w:type="pct"/>
            <w:gridSpan w:val="7"/>
            <w:tcBorders>
              <w:bottom w:val="single" w:color="auto" w:sz="12" w:space="0"/>
            </w:tcBorders>
            <w:shd w:val="clear" w:color="auto" w:fill="FFFFFF"/>
            <w:vAlign w:val="center"/>
          </w:tcPr>
          <w:p>
            <w:pPr>
              <w:jc w:val="center"/>
              <w:rPr>
                <w:rFonts w:hint="eastAsia" w:asciiTheme="majorEastAsia" w:hAnsiTheme="majorEastAsia" w:eastAsiaTheme="majorEastAsia" w:cstheme="majorEastAsia"/>
                <w:color w:val="000000"/>
                <w:kern w:val="0"/>
                <w:sz w:val="24"/>
                <w:szCs w:val="24"/>
              </w:rPr>
            </w:pPr>
          </w:p>
        </w:tc>
      </w:tr>
      <w:tr>
        <w:tblPrEx>
          <w:shd w:val="clear" w:color="auto" w:fill="FFFFFF"/>
          <w:tblCellMar>
            <w:top w:w="0" w:type="dxa"/>
            <w:left w:w="0" w:type="dxa"/>
            <w:bottom w:w="0" w:type="dxa"/>
            <w:right w:w="0" w:type="dxa"/>
          </w:tblCellMar>
        </w:tblPrEx>
        <w:trPr>
          <w:trHeight w:val="405" w:hRule="atLeast"/>
          <w:tblHeader/>
        </w:trPr>
        <w:tc>
          <w:tcPr>
            <w:tcW w:w="563"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项</w:t>
            </w:r>
          </w:p>
        </w:tc>
        <w:tc>
          <w:tcPr>
            <w:tcW w:w="654"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技术效益TE</w:t>
            </w:r>
          </w:p>
        </w:tc>
        <w:tc>
          <w:tcPr>
            <w:tcW w:w="799"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规模效益SE(k)</w:t>
            </w:r>
          </w:p>
        </w:tc>
        <w:tc>
          <w:tcPr>
            <w:tcW w:w="818"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综合效益OE(θ)</w:t>
            </w:r>
          </w:p>
        </w:tc>
        <w:tc>
          <w:tcPr>
            <w:tcW w:w="620"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松驰变量S-</w:t>
            </w:r>
          </w:p>
        </w:tc>
        <w:tc>
          <w:tcPr>
            <w:tcW w:w="650"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松驰变量S+</w:t>
            </w:r>
          </w:p>
        </w:tc>
        <w:tc>
          <w:tcPr>
            <w:tcW w:w="893"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有效性</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2021.0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2020.0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2019.0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2018.0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2017.0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0.999</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0.986</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0.986</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0.319</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0.040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2016.0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0.999</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0.977</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0.976</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0.599</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0.178</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2015.0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0.956</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0.956</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0.862</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0.194</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2014.0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0.929</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0.929</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1.210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0.180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tblCellMar>
            <w:top w:w="0" w:type="dxa"/>
            <w:left w:w="0" w:type="dxa"/>
            <w:bottom w:w="0" w:type="dxa"/>
            <w:right w:w="0" w:type="dxa"/>
          </w:tblCellMar>
        </w:tblPrEx>
        <w:trPr>
          <w:trHeight w:val="405" w:hRule="atLeast"/>
        </w:trPr>
        <w:tc>
          <w:tcPr>
            <w:tcW w:w="563"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2013.0</w:t>
            </w:r>
          </w:p>
        </w:tc>
        <w:tc>
          <w:tcPr>
            <w:tcW w:w="654"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0.905</w:t>
            </w:r>
          </w:p>
        </w:tc>
        <w:tc>
          <w:tcPr>
            <w:tcW w:w="818"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0.905</w:t>
            </w:r>
          </w:p>
        </w:tc>
        <w:tc>
          <w:tcPr>
            <w:tcW w:w="620"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1.417</w:t>
            </w:r>
          </w:p>
        </w:tc>
        <w:tc>
          <w:tcPr>
            <w:tcW w:w="650"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0.109</w:t>
            </w:r>
          </w:p>
        </w:tc>
        <w:tc>
          <w:tcPr>
            <w:tcW w:w="893"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bl>
    <w:p>
      <w:pPr>
        <w:numPr>
          <w:ilvl w:val="0"/>
          <w:numId w:val="0"/>
        </w:num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从各个省份来看，2021年我国职业教育投入产出效率的DEA有效率为100.00%，全部省份皆DEA有效，较2020年的77.4%增长了22.6%，但2020年较2019年的83.8%却略有下滑。如表5-4为2019年个省份有效性分析表，因篇幅原因，其余省份及年份表格将放至数据包中。由表可得出，非DEA有效省份分别是贵州，黑龙江，江西，西藏和新疆。其中技术效益最低为新疆0.975，技术效益最低为西藏0.952，综合效益最低为新疆0.940，大部分非DEA有效省份位于我国西部和北部。</w:t>
      </w:r>
    </w:p>
    <w:p>
      <w:pPr>
        <w:pStyle w:val="2"/>
        <w:rPr>
          <w:rFonts w:hint="default"/>
          <w:lang w:val="en-US" w:eastAsia="zh-CN"/>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 xml:space="preserve">表 </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bookmarkStart w:id="68" w:name="_Toc32074"/>
      <w:r>
        <w:rPr>
          <w:rFonts w:hint="eastAsia" w:asciiTheme="majorEastAsia" w:hAnsiTheme="majorEastAsia" w:eastAsiaTheme="majorEastAsia" w:cstheme="majorEastAsia"/>
          <w:sz w:val="24"/>
          <w:szCs w:val="24"/>
          <w:lang w:eastAsia="zh-CN"/>
        </w:rPr>
        <w:t xml:space="preserve"> 2019年各省份的DEA有效性分析</w:t>
      </w:r>
      <w:bookmarkEnd w:id="68"/>
    </w:p>
    <w:tbl>
      <w:tblPr>
        <w:tblStyle w:val="14"/>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7"/>
        <w:gridCol w:w="1189"/>
        <w:gridCol w:w="1455"/>
        <w:gridCol w:w="1488"/>
        <w:gridCol w:w="1129"/>
        <w:gridCol w:w="1184"/>
        <w:gridCol w:w="12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blHeader/>
        </w:trPr>
        <w:tc>
          <w:tcPr>
            <w:tcW w:w="39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省份</w:t>
            </w:r>
          </w:p>
        </w:tc>
        <w:tc>
          <w:tcPr>
            <w:tcW w:w="71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技术效益TE</w:t>
            </w:r>
          </w:p>
        </w:tc>
        <w:tc>
          <w:tcPr>
            <w:tcW w:w="87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规模效益SE(k)</w:t>
            </w:r>
          </w:p>
        </w:tc>
        <w:tc>
          <w:tcPr>
            <w:tcW w:w="89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综合效益OE(θ)</w:t>
            </w:r>
          </w:p>
        </w:tc>
        <w:tc>
          <w:tcPr>
            <w:tcW w:w="679"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712"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727"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有效性</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bookmarkStart w:id="69" w:name="_Hlk135975961"/>
            <w:bookmarkStart w:id="70" w:name="_Hlk135976100"/>
            <w:r>
              <w:rPr>
                <w:rFonts w:hint="eastAsia" w:asciiTheme="minorEastAsia" w:hAnsiTheme="minorEastAsia" w:eastAsiaTheme="minorEastAsia" w:cstheme="minorEastAsia"/>
                <w:color w:val="000000"/>
                <w:kern w:val="0"/>
                <w:sz w:val="24"/>
                <w:szCs w:val="24"/>
              </w:rPr>
              <w:t>安徽</w:t>
            </w:r>
          </w:p>
        </w:tc>
        <w:tc>
          <w:tcPr>
            <w:tcW w:w="71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w:t>
            </w:r>
            <w:r>
              <w:rPr>
                <w:rFonts w:hint="eastAsia" w:asciiTheme="minorEastAsia" w:hAnsiTheme="minorEastAsia" w:eastAsiaTheme="minorEastAsia" w:cstheme="minorEastAsia"/>
                <w:color w:val="000000"/>
                <w:kern w:val="0"/>
                <w:sz w:val="24"/>
                <w:szCs w:val="24"/>
                <w:lang w:val="en-US" w:eastAsia="zh-CN"/>
              </w:rPr>
              <w:t>强有</w:t>
            </w:r>
            <w:r>
              <w:rPr>
                <w:rFonts w:hint="eastAsia" w:asciiTheme="minorEastAsia" w:hAnsiTheme="minorEastAsia" w:eastAsiaTheme="minorEastAsia" w:cstheme="minorEastAsia"/>
                <w:color w:val="000000"/>
                <w:kern w:val="0"/>
                <w:sz w:val="24"/>
                <w:szCs w:val="24"/>
              </w:rPr>
              <w:t>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北京</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福建</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bookmarkStart w:id="71" w:name="_Hlk135975856"/>
            <w:r>
              <w:rPr>
                <w:rFonts w:hint="eastAsia" w:asciiTheme="minorEastAsia" w:hAnsiTheme="minorEastAsia" w:eastAsiaTheme="minorEastAsia" w:cstheme="minorEastAsia"/>
                <w:color w:val="000000"/>
                <w:kern w:val="0"/>
                <w:sz w:val="24"/>
                <w:szCs w:val="24"/>
              </w:rPr>
              <w:t>甘肃</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69"/>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广东</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70"/>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71"/>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贵州</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0.969</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0.969</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0.121</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0.136</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海南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黑龙江</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0.995</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0.995</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0.114</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吉林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江苏</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0.971</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0.971</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0.054</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0.134</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辽宁</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内蒙古</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宁夏</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青海</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山东</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陕西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bl>
    <w:p>
      <w:bookmarkStart w:id="72" w:name="_Hlk135976242"/>
    </w:p>
    <w:p>
      <w:pPr>
        <w:pStyle w:val="2"/>
        <w:ind w:left="0" w:leftChars="0" w:firstLine="0" w:firstLineChars="0"/>
        <w:jc w:val="center"/>
      </w:pPr>
      <w:r>
        <w:rPr>
          <w:rFonts w:hint="eastAsia" w:asciiTheme="majorEastAsia" w:hAnsiTheme="majorEastAsia" w:eastAsiaTheme="majorEastAsia" w:cstheme="majorEastAsia"/>
          <w:sz w:val="24"/>
          <w:szCs w:val="24"/>
        </w:rPr>
        <w:t xml:space="preserve">表 </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续表</w:t>
      </w:r>
      <w:r>
        <w:rPr>
          <w:rFonts w:hint="eastAsia" w:asciiTheme="majorEastAsia" w:hAnsiTheme="majorEastAsia" w:eastAsiaTheme="majorEastAsia" w:cstheme="majorEastAsia"/>
          <w:sz w:val="24"/>
          <w:szCs w:val="24"/>
          <w:lang w:eastAsia="zh-CN"/>
        </w:rPr>
        <w:t>） 2019年各省份的DEA有效性分析</w:t>
      </w:r>
    </w:p>
    <w:tbl>
      <w:tblPr>
        <w:tblStyle w:val="14"/>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7"/>
        <w:gridCol w:w="1189"/>
        <w:gridCol w:w="1455"/>
        <w:gridCol w:w="1488"/>
        <w:gridCol w:w="1129"/>
        <w:gridCol w:w="1184"/>
        <w:gridCol w:w="12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657"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省份</w:t>
            </w:r>
          </w:p>
        </w:tc>
        <w:tc>
          <w:tcPr>
            <w:tcW w:w="1189"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技术效益TE</w:t>
            </w:r>
          </w:p>
        </w:tc>
        <w:tc>
          <w:tcPr>
            <w:tcW w:w="1455"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规模效益SE(k)</w:t>
            </w:r>
          </w:p>
        </w:tc>
        <w:tc>
          <w:tcPr>
            <w:tcW w:w="1488"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综合效益OE(θ)</w:t>
            </w:r>
          </w:p>
        </w:tc>
        <w:tc>
          <w:tcPr>
            <w:tcW w:w="1129"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1184"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1210"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有效性</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657"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上海</w:t>
            </w:r>
          </w:p>
        </w:tc>
        <w:tc>
          <w:tcPr>
            <w:tcW w:w="1189"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1455"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1488"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1129"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1184"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1210"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四川</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天津</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72"/>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西藏</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0.952</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0.952</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0.210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0.270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新疆</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0.975</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0.965</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0.940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0.060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0.141</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云南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浙江</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重庆</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bl>
    <w:p>
      <w:pPr>
        <w:jc w:val="center"/>
        <w:rPr>
          <w:rFonts w:hint="default" w:ascii="宋体" w:hAnsi="宋体" w:eastAsia="宋体" w:cs="宋体"/>
          <w:color w:val="000000"/>
          <w:kern w:val="0"/>
          <w:sz w:val="21"/>
          <w:szCs w:val="21"/>
          <w:lang w:val="en-US" w:eastAsia="zh-CN" w:bidi="ar"/>
        </w:rPr>
      </w:pPr>
    </w:p>
    <w:p>
      <w:pPr>
        <w:pStyle w:val="2"/>
        <w:rPr>
          <w:rFonts w:hint="default"/>
          <w:lang w:val="en-US" w:eastAsia="zh-CN"/>
        </w:rPr>
      </w:pPr>
    </w:p>
    <w:p>
      <w:pPr>
        <w:outlineLvl w:val="2"/>
        <w:rPr>
          <w:rFonts w:hint="default" w:ascii="宋体" w:hAnsi="宋体" w:eastAsia="宋体" w:cs="宋体"/>
          <w:b/>
          <w:bCs/>
          <w:color w:val="000000"/>
          <w:kern w:val="0"/>
          <w:sz w:val="24"/>
          <w:szCs w:val="24"/>
          <w:lang w:val="en-US" w:eastAsia="zh-CN" w:bidi="ar"/>
        </w:rPr>
      </w:pPr>
      <w:bookmarkStart w:id="73" w:name="_Toc8835"/>
      <w:bookmarkStart w:id="74" w:name="_Toc31705"/>
      <w:r>
        <w:rPr>
          <w:rFonts w:hint="eastAsia" w:ascii="宋体" w:hAnsi="宋体" w:eastAsia="宋体" w:cs="宋体"/>
          <w:b/>
          <w:bCs/>
          <w:color w:val="000000"/>
          <w:kern w:val="0"/>
          <w:sz w:val="24"/>
          <w:szCs w:val="24"/>
          <w:lang w:val="en-US" w:eastAsia="zh-CN" w:bidi="ar"/>
        </w:rPr>
        <w:t>5</w:t>
      </w:r>
      <w:r>
        <w:rPr>
          <w:rFonts w:hint="default" w:ascii="宋体" w:hAnsi="宋体" w:eastAsia="宋体" w:cs="宋体"/>
          <w:b/>
          <w:bCs/>
          <w:color w:val="000000"/>
          <w:kern w:val="0"/>
          <w:sz w:val="24"/>
          <w:szCs w:val="24"/>
          <w:lang w:val="en-US" w:eastAsia="zh-CN" w:bidi="ar"/>
        </w:rPr>
        <w:t>.3.3 职高教育效率规模报酬分析</w:t>
      </w:r>
      <w:bookmarkEnd w:id="73"/>
      <w:bookmarkEnd w:id="74"/>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5-5为2013年至2021年的规模报酬分析表，由表不难看出，我国自2013年起规模报酬系数不断攀升，最终于2018年达到一并维持至今。BBC模型假设规模报酬可变，这意味着我们可以通过规模报酬系数来研究规模报酬的情况。如果规模报酬系数等于1，那么说明规模收益不会变化，这是最佳状态。如果规模报酬系数小于1，说明规模收益递增，因此我们可以考虑扩大规模来提高收益。而如果规模报酬系数大于1，说明规模收益递减，这时如果规模过大则可能会减少收益，因此我们可以考虑减少规模来提高效益。我国规模报酬系数自2018年起大小便一直为一即规模报酬已达到最优形态，无需扩大或减少规模来增加收益。</w:t>
      </w:r>
    </w:p>
    <w:p>
      <w:pPr>
        <w:pStyle w:val="2"/>
        <w:rPr>
          <w:rFonts w:hint="default"/>
          <w:lang w:val="en-US" w:eastAsia="zh-CN"/>
        </w:rPr>
      </w:pPr>
    </w:p>
    <w:tbl>
      <w:tblPr>
        <w:tblStyle w:val="14"/>
        <w:tblW w:w="5000" w:type="pct"/>
        <w:tblInd w:w="0" w:type="dxa"/>
        <w:shd w:val="clear" w:color="auto" w:fill="FFFFFF"/>
        <w:tblLayout w:type="autofit"/>
        <w:tblCellMar>
          <w:top w:w="0" w:type="dxa"/>
          <w:left w:w="0" w:type="dxa"/>
          <w:bottom w:w="0" w:type="dxa"/>
          <w:right w:w="0" w:type="dxa"/>
        </w:tblCellMar>
      </w:tblPr>
      <w:tblGrid>
        <w:gridCol w:w="1687"/>
        <w:gridCol w:w="3312"/>
        <w:gridCol w:w="3313"/>
      </w:tblGrid>
      <w:tr>
        <w:tblPrEx>
          <w:shd w:val="clear" w:color="auto" w:fill="FFFFFF"/>
          <w:tblCellMar>
            <w:top w:w="0" w:type="dxa"/>
            <w:left w:w="0" w:type="dxa"/>
            <w:bottom w:w="0" w:type="dxa"/>
            <w:right w:w="0" w:type="dxa"/>
          </w:tblCellMar>
        </w:tblPrEx>
        <w:trPr>
          <w:trHeight w:val="405" w:hRule="atLeast"/>
          <w:tblHeader/>
        </w:trPr>
        <w:tc>
          <w:tcPr>
            <w:tcW w:w="5000" w:type="pct"/>
            <w:gridSpan w:val="3"/>
            <w:tcBorders>
              <w:bottom w:val="single" w:color="auto" w:sz="12" w:space="0"/>
            </w:tcBorders>
            <w:shd w:val="clear" w:color="auto" w:fill="FFFFFF"/>
            <w:vAlign w:val="center"/>
          </w:tcPr>
          <w:p>
            <w:pPr>
              <w:pStyle w:val="6"/>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bookmarkStart w:id="75" w:name="_Toc982"/>
            <w:r>
              <w:rPr>
                <w:rFonts w:hint="eastAsia" w:asciiTheme="majorEastAsia" w:hAnsiTheme="majorEastAsia" w:eastAsiaTheme="majorEastAsia" w:cstheme="majorEastAsia"/>
                <w:sz w:val="24"/>
                <w:szCs w:val="24"/>
                <w:lang w:eastAsia="zh-CN"/>
              </w:rPr>
              <w:t xml:space="preserve"> 2013-2021年规模报酬分析</w:t>
            </w:r>
            <w:bookmarkEnd w:id="75"/>
          </w:p>
        </w:tc>
      </w:tr>
      <w:tr>
        <w:tblPrEx>
          <w:shd w:val="clear" w:color="auto" w:fill="FFFFFF"/>
          <w:tblCellMar>
            <w:top w:w="0" w:type="dxa"/>
            <w:left w:w="0" w:type="dxa"/>
            <w:bottom w:w="0" w:type="dxa"/>
            <w:right w:w="0" w:type="dxa"/>
          </w:tblCellMar>
        </w:tblPrEx>
        <w:trPr>
          <w:trHeight w:val="405" w:hRule="atLeast"/>
          <w:tblHeader/>
        </w:trPr>
        <w:tc>
          <w:tcPr>
            <w:tcW w:w="1015"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项</w:t>
            </w:r>
          </w:p>
        </w:tc>
        <w:tc>
          <w:tcPr>
            <w:tcW w:w="1992"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规模报酬系数</w:t>
            </w:r>
          </w:p>
        </w:tc>
        <w:tc>
          <w:tcPr>
            <w:tcW w:w="1992"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类型</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2021.0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2019.0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2018.0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2017.0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0.968</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bl>
    <w:p/>
    <w:p>
      <w:pPr>
        <w:pStyle w:val="2"/>
        <w:ind w:left="0" w:leftChars="0"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续表</w:t>
      </w:r>
      <w:r>
        <w:rPr>
          <w:rFonts w:hint="eastAsia" w:asciiTheme="majorEastAsia" w:hAnsiTheme="majorEastAsia" w:eastAsiaTheme="majorEastAsia" w:cstheme="majorEastAsia"/>
          <w:sz w:val="24"/>
          <w:szCs w:val="24"/>
          <w:lang w:eastAsia="zh-CN"/>
        </w:rPr>
        <w:t>） 2013-2021年规模报酬分析</w:t>
      </w:r>
    </w:p>
    <w:tbl>
      <w:tblPr>
        <w:tblStyle w:val="14"/>
        <w:tblW w:w="5000" w:type="pct"/>
        <w:tblInd w:w="0" w:type="dxa"/>
        <w:shd w:val="clear" w:color="auto" w:fill="FFFFFF"/>
        <w:tblLayout w:type="autofit"/>
        <w:tblCellMar>
          <w:top w:w="0" w:type="dxa"/>
          <w:left w:w="0" w:type="dxa"/>
          <w:bottom w:w="0" w:type="dxa"/>
          <w:right w:w="0" w:type="dxa"/>
        </w:tblCellMar>
      </w:tblPr>
      <w:tblGrid>
        <w:gridCol w:w="1688"/>
        <w:gridCol w:w="3312"/>
        <w:gridCol w:w="3312"/>
      </w:tblGrid>
      <w:tr>
        <w:tblPrEx>
          <w:tblCellMar>
            <w:top w:w="0" w:type="dxa"/>
            <w:left w:w="0" w:type="dxa"/>
            <w:bottom w:w="0" w:type="dxa"/>
            <w:right w:w="0" w:type="dxa"/>
          </w:tblCellMar>
        </w:tblPrEx>
        <w:trPr>
          <w:trHeight w:val="405" w:hRule="atLeast"/>
        </w:trPr>
        <w:tc>
          <w:tcPr>
            <w:tcW w:w="1688" w:type="dxa"/>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项</w:t>
            </w:r>
          </w:p>
        </w:tc>
        <w:tc>
          <w:tcPr>
            <w:tcW w:w="3312" w:type="dxa"/>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规模报酬系数</w:t>
            </w:r>
          </w:p>
        </w:tc>
        <w:tc>
          <w:tcPr>
            <w:tcW w:w="3312" w:type="dxa"/>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类型</w:t>
            </w:r>
          </w:p>
        </w:tc>
      </w:tr>
      <w:tr>
        <w:tblPrEx>
          <w:tblCellMar>
            <w:top w:w="0" w:type="dxa"/>
            <w:left w:w="0" w:type="dxa"/>
            <w:bottom w:w="0" w:type="dxa"/>
            <w:right w:w="0" w:type="dxa"/>
          </w:tblCellMar>
        </w:tblPrEx>
        <w:trPr>
          <w:trHeight w:val="405" w:hRule="atLeast"/>
        </w:trPr>
        <w:tc>
          <w:tcPr>
            <w:tcW w:w="1015" w:type="pct"/>
            <w:tcBorders>
              <w:top w:val="single" w:color="auto" w:sz="4" w:space="0"/>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2016.0</w:t>
            </w:r>
          </w:p>
        </w:tc>
        <w:tc>
          <w:tcPr>
            <w:tcW w:w="1992" w:type="pct"/>
            <w:tcBorders>
              <w:top w:val="single" w:color="auto" w:sz="4" w:space="0"/>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0.953</w:t>
            </w:r>
          </w:p>
        </w:tc>
        <w:tc>
          <w:tcPr>
            <w:tcW w:w="1992" w:type="pct"/>
            <w:tcBorders>
              <w:top w:val="single" w:color="auto" w:sz="4" w:space="0"/>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r>
        <w:tblPrEx>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2015.0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0.911</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r>
        <w:tblPrEx>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2014.0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0.859</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r>
        <w:tblPrEx>
          <w:tblCellMar>
            <w:top w:w="0" w:type="dxa"/>
            <w:left w:w="0" w:type="dxa"/>
            <w:bottom w:w="0" w:type="dxa"/>
            <w:right w:w="0" w:type="dxa"/>
          </w:tblCellMar>
        </w:tblPrEx>
        <w:trPr>
          <w:trHeight w:val="405" w:hRule="atLeast"/>
        </w:trPr>
        <w:tc>
          <w:tcPr>
            <w:tcW w:w="1015"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2013.0</w:t>
            </w:r>
          </w:p>
        </w:tc>
        <w:tc>
          <w:tcPr>
            <w:tcW w:w="1992"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0.790</w:t>
            </w:r>
          </w:p>
        </w:tc>
        <w:tc>
          <w:tcPr>
            <w:tcW w:w="1992"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bl>
    <w:p>
      <w:pPr>
        <w:jc w:val="center"/>
        <w:rPr>
          <w:rFonts w:hint="default" w:ascii="等线" w:hAnsi="等线" w:eastAsia="等线" w:cs="Times New Roman"/>
          <w:szCs w:val="22"/>
          <w:lang w:val="en-US" w:eastAsia="zh-CN"/>
        </w:rPr>
      </w:pPr>
      <w:r>
        <w:rPr>
          <w:rFonts w:hint="eastAsia" w:ascii="等线" w:hAnsi="等线" w:eastAsia="等线" w:cs="Times New Roman"/>
          <w:szCs w:val="22"/>
          <w:lang w:val="en-US" w:eastAsia="zh-CN"/>
        </w:rPr>
        <w:t> </w:t>
      </w:r>
    </w:p>
    <w:p>
      <w:pPr>
        <w:pStyle w:val="2"/>
        <w:rPr>
          <w:rFonts w:hint="eastAsia"/>
        </w:rPr>
      </w:pPr>
    </w:p>
    <w:p>
      <w:pPr>
        <w:outlineLvl w:val="2"/>
        <w:rPr>
          <w:rFonts w:hint="eastAsia" w:ascii="宋体" w:hAnsi="宋体" w:eastAsia="宋体" w:cs="宋体"/>
          <w:b/>
          <w:bCs/>
          <w:sz w:val="24"/>
          <w:szCs w:val="24"/>
        </w:rPr>
      </w:pPr>
      <w:bookmarkStart w:id="76" w:name="_Toc25096"/>
      <w:bookmarkStart w:id="77" w:name="_Toc3750"/>
      <w:r>
        <w:rPr>
          <w:rFonts w:hint="eastAsia" w:ascii="宋体" w:hAnsi="宋体" w:eastAsia="宋体" w:cs="宋体"/>
          <w:b/>
          <w:bCs/>
          <w:sz w:val="24"/>
          <w:szCs w:val="24"/>
          <w:lang w:val="en-US" w:eastAsia="zh-CN"/>
        </w:rPr>
        <w:t>5</w:t>
      </w:r>
      <w:r>
        <w:rPr>
          <w:rFonts w:hint="eastAsia" w:ascii="宋体" w:hAnsi="宋体" w:eastAsia="宋体" w:cs="宋体"/>
          <w:b/>
          <w:bCs/>
          <w:sz w:val="24"/>
          <w:szCs w:val="24"/>
        </w:rPr>
        <w:t>.3.4 职高教育效率Malmquist指数分析</w:t>
      </w:r>
      <w:bookmarkEnd w:id="76"/>
      <w:bookmarkEnd w:id="77"/>
    </w:p>
    <w:p>
      <w:pPr>
        <w:pStyle w:val="2"/>
        <w:rPr>
          <w:rFonts w:hint="eastAsia"/>
        </w:rPr>
      </w:pPr>
    </w:p>
    <w:p>
      <w:pPr>
        <w:pStyle w:val="6"/>
        <w:jc w:val="center"/>
        <w:rPr>
          <w:rFonts w:hint="eastAsia" w:asciiTheme="majorEastAsia" w:hAnsiTheme="majorEastAsia" w:eastAsiaTheme="majorEastAsia" w:cstheme="majorEastAsia"/>
          <w:sz w:val="24"/>
          <w:szCs w:val="24"/>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bookmarkStart w:id="78" w:name="_Toc10058"/>
      <w:r>
        <w:rPr>
          <w:rFonts w:hint="eastAsia" w:asciiTheme="majorEastAsia" w:hAnsiTheme="majorEastAsia" w:eastAsiaTheme="majorEastAsia" w:cstheme="majorEastAsia"/>
          <w:sz w:val="24"/>
          <w:szCs w:val="24"/>
          <w:lang w:eastAsia="zh-CN"/>
        </w:rPr>
        <w:t xml:space="preserve"> Malmquist指数结果(2020 -&gt; 2021)</w:t>
      </w:r>
      <w:bookmarkEnd w:id="78"/>
    </w:p>
    <w:tbl>
      <w:tblPr>
        <w:tblStyle w:val="14"/>
        <w:tblW w:w="5000" w:type="pct"/>
        <w:tblInd w:w="0" w:type="dxa"/>
        <w:shd w:val="clear" w:color="auto" w:fill="FFFFFF"/>
        <w:tblLayout w:type="autofit"/>
        <w:tblCellMar>
          <w:top w:w="0" w:type="dxa"/>
          <w:left w:w="0" w:type="dxa"/>
          <w:bottom w:w="0" w:type="dxa"/>
          <w:right w:w="0" w:type="dxa"/>
        </w:tblCellMar>
      </w:tblPr>
      <w:tblGrid>
        <w:gridCol w:w="775"/>
        <w:gridCol w:w="1202"/>
        <w:gridCol w:w="1445"/>
        <w:gridCol w:w="1558"/>
        <w:gridCol w:w="1405"/>
        <w:gridCol w:w="1927"/>
      </w:tblGrid>
      <w:tr>
        <w:tblPrEx>
          <w:shd w:val="clear" w:color="auto" w:fill="FFFFFF"/>
          <w:tblCellMar>
            <w:top w:w="0" w:type="dxa"/>
            <w:left w:w="0" w:type="dxa"/>
            <w:bottom w:w="0" w:type="dxa"/>
            <w:right w:w="0" w:type="dxa"/>
          </w:tblCellMar>
        </w:tblPrEx>
        <w:trPr>
          <w:trHeight w:val="405" w:hRule="atLeast"/>
          <w:tblHeader/>
        </w:trPr>
        <w:tc>
          <w:tcPr>
            <w:tcW w:w="466"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DMU</w:t>
            </w:r>
          </w:p>
        </w:tc>
        <w:tc>
          <w:tcPr>
            <w:tcW w:w="723"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Effch技术效率（EC）</w:t>
            </w:r>
          </w:p>
        </w:tc>
        <w:tc>
          <w:tcPr>
            <w:tcW w:w="869"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Techch技术进步(TC)</w:t>
            </w:r>
          </w:p>
        </w:tc>
        <w:tc>
          <w:tcPr>
            <w:tcW w:w="937"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Pech纯技术效率(PEC)</w:t>
            </w:r>
          </w:p>
        </w:tc>
        <w:tc>
          <w:tcPr>
            <w:tcW w:w="845"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Sech规模效率(SEC)</w:t>
            </w:r>
          </w:p>
        </w:tc>
        <w:tc>
          <w:tcPr>
            <w:tcW w:w="1159"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Tfpch全要素生产率（TFP）</w:t>
            </w:r>
          </w:p>
        </w:tc>
      </w:tr>
      <w:tr>
        <w:tblPrEx>
          <w:shd w:val="clear" w:color="auto" w:fill="FFFFFF"/>
          <w:tblCellMar>
            <w:top w:w="0" w:type="dxa"/>
            <w:left w:w="0" w:type="dxa"/>
            <w:bottom w:w="0" w:type="dxa"/>
            <w:right w:w="0" w:type="dxa"/>
          </w:tblCellMar>
        </w:tblPrEx>
        <w:trPr>
          <w:trHeight w:val="405" w:hRule="atLeast"/>
        </w:trPr>
        <w:tc>
          <w:tcPr>
            <w:tcW w:w="466"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云南</w:t>
            </w:r>
          </w:p>
        </w:tc>
        <w:tc>
          <w:tcPr>
            <w:tcW w:w="723"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1.0279</w:t>
            </w:r>
          </w:p>
        </w:tc>
        <w:tc>
          <w:tcPr>
            <w:tcW w:w="86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1.0704</w:t>
            </w:r>
          </w:p>
        </w:tc>
        <w:tc>
          <w:tcPr>
            <w:tcW w:w="937"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1.0279</w:t>
            </w:r>
          </w:p>
        </w:tc>
        <w:tc>
          <w:tcPr>
            <w:tcW w:w="845"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1.1002</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四川</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宁夏</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0.7782</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0.7782</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山东</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1.0335</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1.0001</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1.0335</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1.0336</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广东</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1.0418</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1.0418</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1.0485</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0.9827</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1.0485</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1.0304</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新疆</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1.0091</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1.0609</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1.0091</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1.0706</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1.0712</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0.9487</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1.0712</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1.0162</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海南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1.0650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0.9364</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1.0650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0.9973</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1.0038</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1.0064</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1.0038</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1.0103</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1.0580</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1.0580</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甘肃</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1.0100</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1.0370</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福建</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1.0329</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1.0062</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1.0329</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1.0393</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西藏</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1.0381</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1.0381</w:t>
            </w:r>
          </w:p>
        </w:tc>
      </w:tr>
      <w:tr>
        <w:tblPrEx>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贵州</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bl>
    <w:p>
      <w:pPr>
        <w:jc w:val="both"/>
        <w:rPr>
          <w:rFonts w:hint="eastAsia" w:asciiTheme="majorEastAsia" w:hAnsiTheme="majorEastAsia" w:eastAsiaTheme="majorEastAsia" w:cstheme="majorEastAsia"/>
          <w:sz w:val="24"/>
          <w:szCs w:val="24"/>
        </w:rPr>
      </w:pPr>
    </w:p>
    <w:p>
      <w:pPr>
        <w:jc w:val="center"/>
        <w:rPr>
          <w:rFonts w:hint="eastAsia" w:asciiTheme="majorEastAsia" w:hAnsiTheme="majorEastAsia" w:eastAsiaTheme="majorEastAsia" w:cstheme="majorEastAsia"/>
          <w:sz w:val="24"/>
          <w:szCs w:val="24"/>
        </w:rPr>
      </w:pPr>
    </w:p>
    <w:p>
      <w:pPr>
        <w:jc w:val="center"/>
        <w:rPr>
          <w:rFonts w:hint="eastAsia" w:asciiTheme="majorEastAsia" w:hAnsiTheme="majorEastAsia" w:eastAsiaTheme="majorEastAsia" w:cstheme="majorEastAsia"/>
          <w:sz w:val="24"/>
          <w:szCs w:val="24"/>
        </w:rPr>
      </w:pPr>
    </w:p>
    <w:p>
      <w:pPr>
        <w:jc w:val="cente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续表</w:t>
      </w:r>
      <w:r>
        <w:rPr>
          <w:rFonts w:hint="eastAsia" w:asciiTheme="majorEastAsia" w:hAnsiTheme="majorEastAsia" w:eastAsiaTheme="majorEastAsia" w:cstheme="majorEastAsia"/>
          <w:sz w:val="24"/>
          <w:szCs w:val="24"/>
          <w:lang w:eastAsia="zh-CN"/>
        </w:rPr>
        <w:t>） Malmquist指数结果(2020 -&gt; 2021)</w:t>
      </w:r>
    </w:p>
    <w:tbl>
      <w:tblPr>
        <w:tblStyle w:val="14"/>
        <w:tblW w:w="5000" w:type="pct"/>
        <w:tblInd w:w="0" w:type="dxa"/>
        <w:shd w:val="clear" w:color="auto" w:fill="FFFFFF"/>
        <w:tblLayout w:type="autofit"/>
        <w:tblCellMar>
          <w:top w:w="0" w:type="dxa"/>
          <w:left w:w="0" w:type="dxa"/>
          <w:bottom w:w="0" w:type="dxa"/>
          <w:right w:w="0" w:type="dxa"/>
        </w:tblCellMar>
      </w:tblPr>
      <w:tblGrid>
        <w:gridCol w:w="775"/>
        <w:gridCol w:w="1202"/>
        <w:gridCol w:w="1445"/>
        <w:gridCol w:w="1558"/>
        <w:gridCol w:w="1405"/>
        <w:gridCol w:w="1927"/>
      </w:tblGrid>
      <w:tr>
        <w:tblPrEx>
          <w:shd w:val="clear" w:color="auto" w:fill="FFFFFF"/>
          <w:tblCellMar>
            <w:top w:w="0" w:type="dxa"/>
            <w:left w:w="0" w:type="dxa"/>
            <w:bottom w:w="0" w:type="dxa"/>
            <w:right w:w="0" w:type="dxa"/>
          </w:tblCellMar>
        </w:tblPrEx>
        <w:trPr>
          <w:trHeight w:val="405" w:hRule="atLeast"/>
        </w:trPr>
        <w:tc>
          <w:tcPr>
            <w:tcW w:w="775"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DMU</w:t>
            </w:r>
          </w:p>
        </w:tc>
        <w:tc>
          <w:tcPr>
            <w:tcW w:w="1202"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Effch技术效率（EC）</w:t>
            </w:r>
          </w:p>
        </w:tc>
        <w:tc>
          <w:tcPr>
            <w:tcW w:w="1445"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Techch技术进步(TC)</w:t>
            </w:r>
          </w:p>
        </w:tc>
        <w:tc>
          <w:tcPr>
            <w:tcW w:w="1558"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Pech纯技术效率(PEC)</w:t>
            </w:r>
          </w:p>
        </w:tc>
        <w:tc>
          <w:tcPr>
            <w:tcW w:w="1405"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Sech规模效率(SEC)</w:t>
            </w:r>
          </w:p>
        </w:tc>
        <w:tc>
          <w:tcPr>
            <w:tcW w:w="1927"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Tfpch全要素生产率（TFP）</w:t>
            </w:r>
          </w:p>
        </w:tc>
      </w:tr>
      <w:tr>
        <w:tblPrEx>
          <w:shd w:val="clear" w:color="auto" w:fill="FFFFFF"/>
          <w:tblCellMar>
            <w:top w:w="0" w:type="dxa"/>
            <w:left w:w="0" w:type="dxa"/>
            <w:bottom w:w="0" w:type="dxa"/>
            <w:right w:w="0" w:type="dxa"/>
          </w:tblCellMar>
        </w:tblPrEx>
        <w:trPr>
          <w:trHeight w:val="405" w:hRule="atLeast"/>
        </w:trPr>
        <w:tc>
          <w:tcPr>
            <w:tcW w:w="466"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重庆</w:t>
            </w:r>
          </w:p>
        </w:tc>
        <w:tc>
          <w:tcPr>
            <w:tcW w:w="723"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1.0391</w:t>
            </w:r>
          </w:p>
        </w:tc>
        <w:tc>
          <w:tcPr>
            <w:tcW w:w="86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1.0178</w:t>
            </w:r>
          </w:p>
        </w:tc>
        <w:tc>
          <w:tcPr>
            <w:tcW w:w="937"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1.0391</w:t>
            </w:r>
          </w:p>
        </w:tc>
        <w:tc>
          <w:tcPr>
            <w:tcW w:w="845"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1.0576</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陕西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青海</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1.0705</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1.0705</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上海</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内蒙古</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北京</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吉林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天津</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安徽</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1.0515</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1.0515</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0.9964</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1.0312</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0.9964</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1.0275</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江苏</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1.0398</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1.0398</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1.1239</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1.1239</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浙江</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1.0350</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1.0350</w:t>
            </w:r>
          </w:p>
        </w:tc>
      </w:tr>
      <w:tr>
        <w:tblPrEx>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辽宁</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0.9970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0.9970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黑龙江</w:t>
            </w:r>
          </w:p>
        </w:tc>
        <w:tc>
          <w:tcPr>
            <w:tcW w:w="723"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bl>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5-6为2020年至2021年Malmquist指数结果表。由表可以看出，2020至2021年，我国各个省份技术效率基本保持稳定，部分省份仍有小幅度增长，仅辽宁省和江西省有极小幅度的减少。技术进步方面则参差不齐，大部分省市有小幅进步，但宁夏有明显的衰退。纯技术效率整体与技术效率相同，规模效率则全国各个省市都达到了1.0000。全国大部分省市的全要素生产率有所提升，提升幅度最大的为河北省，但是仍有少部分省份有所衰退，其中宁夏衰退最为明显。</w:t>
      </w:r>
    </w:p>
    <w:p>
      <w:pPr>
        <w:rPr>
          <w:rFonts w:hint="eastAsia" w:ascii="宋体" w:hAnsi="宋体" w:eastAsia="宋体" w:cs="宋体"/>
          <w:b w:val="0"/>
          <w:bCs w:val="0"/>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outlineLvl w:val="0"/>
        <w:rPr>
          <w:rFonts w:hint="eastAsia" w:ascii="黑体" w:hAnsi="黑体" w:eastAsia="黑体" w:cs="黑体"/>
          <w:b/>
          <w:bCs/>
          <w:color w:val="000000"/>
          <w:kern w:val="0"/>
          <w:sz w:val="30"/>
          <w:szCs w:val="30"/>
          <w:lang w:val="en-US" w:eastAsia="zh-CN" w:bidi="ar"/>
        </w:rPr>
      </w:pPr>
      <w:bookmarkStart w:id="79" w:name="_Toc27849"/>
      <w:bookmarkStart w:id="80" w:name="_Toc20360"/>
      <w:r>
        <w:rPr>
          <w:rFonts w:hint="eastAsia" w:ascii="黑体" w:hAnsi="黑体" w:eastAsia="黑体" w:cs="黑体"/>
          <w:b/>
          <w:bCs/>
          <w:color w:val="000000"/>
          <w:kern w:val="0"/>
          <w:sz w:val="30"/>
          <w:szCs w:val="30"/>
          <w:lang w:val="en-US" w:eastAsia="zh-CN" w:bidi="ar"/>
        </w:rPr>
        <w:t>第六章 研究结论与对策建议</w:t>
      </w:r>
      <w:bookmarkEnd w:id="79"/>
      <w:bookmarkEnd w:id="80"/>
    </w:p>
    <w:p>
      <w:pPr>
        <w:outlineLvl w:val="1"/>
        <w:rPr>
          <w:rFonts w:hint="eastAsia" w:ascii="楷体" w:hAnsi="楷体" w:eastAsia="楷体" w:cs="楷体"/>
          <w:color w:val="000000"/>
          <w:kern w:val="0"/>
          <w:sz w:val="28"/>
          <w:szCs w:val="28"/>
          <w:lang w:val="en-US" w:eastAsia="zh-CN" w:bidi="ar"/>
        </w:rPr>
      </w:pPr>
      <w:bookmarkStart w:id="81" w:name="_Toc29644"/>
      <w:bookmarkStart w:id="82" w:name="_Toc25579"/>
      <w:r>
        <w:rPr>
          <w:rFonts w:hint="eastAsia" w:ascii="楷体" w:hAnsi="楷体" w:eastAsia="楷体" w:cs="楷体"/>
          <w:color w:val="000000"/>
          <w:kern w:val="0"/>
          <w:sz w:val="28"/>
          <w:szCs w:val="28"/>
          <w:lang w:val="en-US" w:eastAsia="zh-CN" w:bidi="ar"/>
        </w:rPr>
        <w:t>6.1研究结论</w:t>
      </w:r>
      <w:bookmarkEnd w:id="81"/>
      <w:bookmarkEnd w:id="82"/>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一，通过对近几年中职教育效率有效性分析，可得出近几年由于中国式现代化进程的加快，我国职业高中教育投入产出效率得到了很大的提升。在2018年前，中职教育的投入产出效率都没有达到最好，尤其是在教育事业费支出方面，并没有达到使用效率最大化。其次就到科研仪器的投入方面，分析得出来的结果是当时科研仪器设备资产值方面严重溢出。</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到了2018年以后，中国加快实现现代化的过程中，逐渐重视中职教育，优化中职教育领域的财政分配，加强中职教育的管理，让中职教育投入产出效率得到了提高。</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二，通过分析近几年的规模报酬可以知道，与效率有效性同步。我国的中职教育规模收益效率在稳定提升，终于在2018年及以后达到了最优形态，无需通过扩大或减小规模来增加收益。不过我们国家不同省份之间还存在着差异，通过分析可以知道中西部一些省份的中职教育正在逐步完善，并且已经趋于最优形态。其中在2013-2015年期间，规模报酬系数增长最快，这是由于中国式现代化进程突然加快，国家政策的导向更加重视中职教育，使得中职教育的教育系统优化，效率有效性的提高。</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三，综合上面两种分析结果，再使用malmquist指数模型进行评估，最终从全国来看，我国各个省份的技术效率基本保持稳定增长。但是技术进步速率则有差距，也就是说不同省份达到最优形态，实现效率有效性最优，规模报酬最大化的速率不一样。从malmquist指数就可以知道，因为malmquist指数就是反映综合生产率的，通过对malmquist的查看可以得出全国大部分省市的全要素生产率有所提升，中职教育的规模报酬增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四，总的来说，近年来中国的中职教育配套措施逐渐完善，各种资源都得到了有效利用，规模报酬达到了最优状态，这都离不开中国式现代化的各种措施。近年来强调的重视中职教育，随着各种政策落地，各种方案的实行，使得中职教育系统相较于以前有了很大的进步。通过使用DEA-CCR，DEA-BCC，malmquist等模型的分析，可以得出近年来中职教育的快速发展，离不开中国式现代化的影响。</w:t>
      </w:r>
    </w:p>
    <w:p>
      <w:pPr>
        <w:outlineLvl w:val="1"/>
        <w:rPr>
          <w:rFonts w:hint="default" w:ascii="楷体" w:hAnsi="楷体" w:eastAsia="楷体" w:cs="楷体"/>
          <w:color w:val="000000"/>
          <w:kern w:val="0"/>
          <w:sz w:val="28"/>
          <w:szCs w:val="28"/>
          <w:lang w:val="en-US" w:eastAsia="zh-CN" w:bidi="ar"/>
        </w:rPr>
      </w:pPr>
      <w:bookmarkStart w:id="83" w:name="_Toc7766"/>
      <w:bookmarkStart w:id="84" w:name="_Toc6628"/>
      <w:r>
        <w:rPr>
          <w:rFonts w:hint="eastAsia" w:ascii="楷体" w:hAnsi="楷体" w:eastAsia="楷体" w:cs="楷体"/>
          <w:color w:val="000000"/>
          <w:kern w:val="0"/>
          <w:sz w:val="28"/>
          <w:szCs w:val="28"/>
          <w:lang w:val="en-US" w:eastAsia="zh-CN" w:bidi="ar"/>
        </w:rPr>
        <w:t xml:space="preserve">6.2 </w:t>
      </w:r>
      <w:bookmarkEnd w:id="83"/>
      <w:r>
        <w:rPr>
          <w:rFonts w:hint="eastAsia" w:ascii="楷体" w:hAnsi="楷体" w:eastAsia="楷体" w:cs="楷体"/>
          <w:color w:val="000000"/>
          <w:kern w:val="0"/>
          <w:sz w:val="28"/>
          <w:szCs w:val="28"/>
          <w:lang w:val="en-US" w:eastAsia="zh-CN" w:bidi="ar"/>
        </w:rPr>
        <w:t>未来展望</w:t>
      </w:r>
      <w:bookmarkEnd w:id="84"/>
    </w:p>
    <w:p>
      <w:pPr>
        <w:outlineLvl w:val="2"/>
        <w:rPr>
          <w:rFonts w:hint="default" w:ascii="宋体" w:hAnsi="宋体" w:eastAsia="宋体" w:cs="宋体"/>
          <w:b/>
          <w:bCs/>
          <w:color w:val="000000"/>
          <w:kern w:val="0"/>
          <w:sz w:val="24"/>
          <w:szCs w:val="24"/>
          <w:lang w:val="en-US" w:eastAsia="zh-CN" w:bidi="ar"/>
        </w:rPr>
      </w:pPr>
      <w:bookmarkStart w:id="85" w:name="_Toc9059"/>
      <w:bookmarkStart w:id="86" w:name="_Toc21074"/>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.2.1完善中职教育资金投入政策</w:t>
      </w:r>
      <w:bookmarkEnd w:id="85"/>
      <w:bookmarkEnd w:id="86"/>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将资金花在重点上，每一笔资金要落到实处。加大对中职教育资源方面的资金投入还有科研仪器方面的资金投入，提高教学条件和教学质量，加快构建中国式现代化中职教育体系，培养更多的拥有高素质高技术类型的人才。实行学生激励计划，增加奖学金的金额，鼓励中职学生努力学习。引进优质教育资源，利用资金引进国内外优质的教育资源，如先进的教学方法、教材和教师培训项目，提高教育教学水平。</w:t>
      </w:r>
    </w:p>
    <w:p>
      <w:pPr>
        <w:rPr>
          <w:rFonts w:hint="default" w:ascii="宋体" w:hAnsi="宋体" w:eastAsia="宋体" w:cs="宋体"/>
          <w:color w:val="000000"/>
          <w:kern w:val="0"/>
          <w:sz w:val="24"/>
          <w:szCs w:val="24"/>
          <w:lang w:val="en-US" w:eastAsia="zh-CN" w:bidi="ar"/>
        </w:rPr>
      </w:pPr>
    </w:p>
    <w:p>
      <w:pPr>
        <w:outlineLvl w:val="2"/>
        <w:rPr>
          <w:rFonts w:hint="default" w:ascii="宋体" w:hAnsi="宋体" w:eastAsia="宋体" w:cs="宋体"/>
          <w:b/>
          <w:bCs/>
          <w:color w:val="000000"/>
          <w:kern w:val="0"/>
          <w:sz w:val="24"/>
          <w:szCs w:val="24"/>
          <w:lang w:val="en-US" w:eastAsia="zh-CN" w:bidi="ar"/>
        </w:rPr>
      </w:pPr>
      <w:bookmarkStart w:id="87" w:name="_Toc13884"/>
      <w:bookmarkStart w:id="88" w:name="_Toc1173"/>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.2.2重视中职学生的教学内容和质量</w:t>
      </w:r>
      <w:bookmarkEnd w:id="87"/>
      <w:bookmarkEnd w:id="88"/>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跟随中国式现代化改变职业教育课程，根据行业需求和技术发展，及时更新职业教育课程，确保学生学习到最新的知识和技能。加强实践教学，增加实践教学的比重，开设更多的实训课程和实践项目，让学生能够在真实场景中运用所学知识。增加产业合作项目，与行业企业合作，开展产学合作项目，让学生参与真实的工作项目，提高他们的职业素养和实际操作能力，让学生真正地参与到中国式现代化的建设中来。</w:t>
      </w:r>
    </w:p>
    <w:p>
      <w:pPr>
        <w:outlineLvl w:val="2"/>
        <w:rPr>
          <w:rFonts w:hint="default" w:ascii="宋体" w:hAnsi="宋体" w:eastAsia="宋体" w:cs="宋体"/>
          <w:b/>
          <w:bCs/>
          <w:color w:val="000000"/>
          <w:kern w:val="0"/>
          <w:sz w:val="24"/>
          <w:szCs w:val="24"/>
          <w:lang w:val="en-US" w:eastAsia="zh-CN" w:bidi="ar"/>
        </w:rPr>
      </w:pPr>
      <w:bookmarkStart w:id="89" w:name="_Toc18339"/>
      <w:bookmarkStart w:id="90" w:name="_Toc23381"/>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.2.3保证中职教师的人才培养</w:t>
      </w:r>
      <w:bookmarkEnd w:id="89"/>
      <w:bookmarkEnd w:id="90"/>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建立特殊的技术师范大学，为中职学院源源不断地输送高素质师资。提供师范教育培训，为中职教师提供师范教育培训课程，提高他们的专业知识和教学能力，使其成为高素质的教育者。实施中职教师鼓励政策，鼓励人们成为中职教师，保障中职教师的福利。</w:t>
      </w:r>
    </w:p>
    <w:p>
      <w:pPr>
        <w:outlineLvl w:val="2"/>
        <w:rPr>
          <w:rFonts w:hint="default" w:ascii="宋体" w:hAnsi="宋体" w:eastAsia="宋体" w:cs="宋体"/>
          <w:color w:val="000000"/>
          <w:kern w:val="0"/>
          <w:sz w:val="24"/>
          <w:szCs w:val="24"/>
          <w:lang w:val="en-US" w:eastAsia="zh-CN" w:bidi="ar"/>
        </w:rPr>
      </w:pPr>
      <w:bookmarkStart w:id="91" w:name="_Toc17902"/>
      <w:bookmarkStart w:id="92" w:name="_Toc28108"/>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.2.4推动产学研结合</w:t>
      </w:r>
      <w:bookmarkEnd w:id="91"/>
      <w:bookmarkEnd w:id="92"/>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建立产学研合作平台，搭建产学研合作的平台，促进中职学校、高等学校、企业之间的交流与合作。实施联合培养计划，开展联合培养计划，将学生培养与实际工作需求相结合，提高学生的就业能力和竞争力。鼓励创新研究项目，鼓励教师和学生参与产学研合作的创新研究项目，推动职业教育的创新发展。</w:t>
      </w:r>
    </w:p>
    <w:p>
      <w:pPr>
        <w:outlineLvl w:val="2"/>
        <w:rPr>
          <w:rFonts w:hint="default" w:ascii="宋体" w:hAnsi="宋体" w:eastAsia="宋体" w:cs="宋体"/>
          <w:color w:val="000000"/>
          <w:kern w:val="0"/>
          <w:sz w:val="24"/>
          <w:szCs w:val="24"/>
          <w:lang w:val="en-US" w:eastAsia="zh-CN" w:bidi="ar"/>
        </w:rPr>
      </w:pPr>
      <w:bookmarkStart w:id="93" w:name="_Toc932"/>
      <w:bookmarkStart w:id="94" w:name="_Toc21316"/>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.2.5重视学生的职业规划</w:t>
      </w:r>
      <w:bookmarkEnd w:id="93"/>
      <w:bookmarkEnd w:id="94"/>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开展学生创新创业系列课程，引导学生做好自己的职业规划。建立职业规划辅导机构，为中职学生提供职业规划辅导服务，帮助他们更好地了解自己，找到自己合适的岗位。除了职业技能之外，创新能力、沟通能力、团队合作能力等综合素质也是属于学生的职业规划范畴，所以还要拓宽学生的综合素质培养，让学生能够提前适应工作环境。</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b w:val="0"/>
          <w:bCs w:val="0"/>
          <w:color w:val="000000"/>
          <w:kern w:val="0"/>
          <w:sz w:val="24"/>
          <w:szCs w:val="24"/>
          <w:lang w:val="en-US" w:eastAsia="zh-CN" w:bidi="ar"/>
        </w:rPr>
      </w:pPr>
    </w:p>
    <w:p>
      <w:pPr>
        <w:numPr>
          <w:ilvl w:val="0"/>
          <w:numId w:val="0"/>
        </w:numPr>
        <w:outlineLvl w:val="0"/>
        <w:rPr>
          <w:rFonts w:hint="eastAsia" w:ascii="黑体" w:hAnsi="黑体" w:eastAsia="黑体" w:cs="黑体"/>
          <w:b/>
          <w:bCs/>
          <w:color w:val="000000"/>
          <w:kern w:val="0"/>
          <w:sz w:val="30"/>
          <w:szCs w:val="30"/>
          <w:lang w:val="en-US" w:eastAsia="zh-CN" w:bidi="ar"/>
        </w:rPr>
      </w:pPr>
      <w:bookmarkStart w:id="95" w:name="_Toc8915"/>
      <w:bookmarkStart w:id="96" w:name="_Toc14032"/>
      <w:r>
        <w:rPr>
          <w:rFonts w:hint="eastAsia" w:ascii="黑体" w:hAnsi="黑体" w:eastAsia="黑体" w:cs="黑体"/>
          <w:b/>
          <w:bCs/>
          <w:color w:val="000000"/>
          <w:kern w:val="0"/>
          <w:sz w:val="30"/>
          <w:szCs w:val="30"/>
          <w:lang w:val="en-US" w:eastAsia="zh-CN" w:bidi="ar"/>
        </w:rPr>
        <w:t>第七章 模型的不足与改进</w:t>
      </w:r>
      <w:bookmarkEnd w:id="95"/>
      <w:bookmarkEnd w:id="96"/>
    </w:p>
    <w:p>
      <w:pPr>
        <w:numPr>
          <w:ilvl w:val="0"/>
          <w:numId w:val="0"/>
        </w:numPr>
        <w:outlineLvl w:val="1"/>
        <w:rPr>
          <w:rFonts w:hint="eastAsia" w:ascii="楷体" w:hAnsi="楷体" w:eastAsia="楷体" w:cs="楷体"/>
          <w:b w:val="0"/>
          <w:bCs w:val="0"/>
          <w:color w:val="000000"/>
          <w:kern w:val="0"/>
          <w:sz w:val="28"/>
          <w:szCs w:val="28"/>
          <w:lang w:val="en-US" w:eastAsia="zh-CN" w:bidi="ar"/>
        </w:rPr>
      </w:pPr>
      <w:bookmarkStart w:id="97" w:name="_Toc20652"/>
      <w:bookmarkStart w:id="98" w:name="_Toc30223"/>
      <w:r>
        <w:rPr>
          <w:rFonts w:hint="eastAsia" w:ascii="楷体" w:hAnsi="楷体" w:eastAsia="楷体" w:cs="楷体"/>
          <w:b w:val="0"/>
          <w:bCs w:val="0"/>
          <w:color w:val="000000"/>
          <w:kern w:val="0"/>
          <w:sz w:val="28"/>
          <w:szCs w:val="28"/>
          <w:lang w:val="en-US" w:eastAsia="zh-CN" w:bidi="ar"/>
        </w:rPr>
        <w:t>7.1不足点</w:t>
      </w:r>
      <w:bookmarkEnd w:id="97"/>
      <w:bookmarkEnd w:id="98"/>
    </w:p>
    <w:p>
      <w:pPr>
        <w:outlineLvl w:val="2"/>
        <w:rPr>
          <w:rFonts w:hint="default" w:ascii="宋体" w:hAnsi="宋体" w:eastAsia="宋体" w:cs="宋体"/>
          <w:b/>
          <w:bCs/>
          <w:color w:val="000000"/>
          <w:kern w:val="0"/>
          <w:sz w:val="24"/>
          <w:szCs w:val="24"/>
          <w:lang w:val="en-US" w:eastAsia="zh-CN" w:bidi="ar"/>
        </w:rPr>
      </w:pPr>
      <w:bookmarkStart w:id="99" w:name="_Toc12594"/>
      <w:bookmarkStart w:id="100" w:name="_Toc16393"/>
      <w:r>
        <w:rPr>
          <w:rFonts w:hint="eastAsia" w:ascii="宋体" w:hAnsi="宋体" w:eastAsia="宋体" w:cs="宋体"/>
          <w:b/>
          <w:bCs/>
          <w:color w:val="000000"/>
          <w:kern w:val="0"/>
          <w:sz w:val="24"/>
          <w:szCs w:val="24"/>
          <w:lang w:val="en-US" w:eastAsia="zh-CN" w:bidi="ar"/>
        </w:rPr>
        <w:t>7</w:t>
      </w:r>
      <w:r>
        <w:rPr>
          <w:rFonts w:hint="default" w:ascii="宋体" w:hAnsi="宋体" w:eastAsia="宋体" w:cs="宋体"/>
          <w:b/>
          <w:bCs/>
          <w:color w:val="000000"/>
          <w:kern w:val="0"/>
          <w:sz w:val="24"/>
          <w:szCs w:val="24"/>
          <w:lang w:val="en-US" w:eastAsia="zh-CN" w:bidi="ar"/>
        </w:rPr>
        <w:t>.1.1数据库选取单一问题</w:t>
      </w:r>
      <w:bookmarkEnd w:id="99"/>
      <w:bookmarkEnd w:id="100"/>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的数据选取均来自国家教育局官网，虽说确保了数据权威可信，但是数据库选取过于单一。国家统计局个别数据有差错导致数据选取时难以取舍，以及可能因为统计标准变化导致各数据出入较为明显且个别数据缺失导致可能影响结果。</w:t>
      </w:r>
    </w:p>
    <w:p>
      <w:pPr>
        <w:numPr>
          <w:ilvl w:val="0"/>
          <w:numId w:val="0"/>
        </w:numPr>
        <w:outlineLvl w:val="2"/>
        <w:rPr>
          <w:rFonts w:hint="default" w:ascii="宋体" w:hAnsi="宋体" w:eastAsia="宋体" w:cs="宋体"/>
          <w:b w:val="0"/>
          <w:bCs w:val="0"/>
          <w:color w:val="000000"/>
          <w:kern w:val="0"/>
          <w:sz w:val="24"/>
          <w:szCs w:val="24"/>
          <w:lang w:val="en-US" w:eastAsia="zh-CN" w:bidi="ar"/>
        </w:rPr>
      </w:pPr>
      <w:bookmarkStart w:id="101" w:name="_Toc19377"/>
      <w:bookmarkStart w:id="102" w:name="_Toc23505"/>
      <w:r>
        <w:rPr>
          <w:rFonts w:hint="eastAsia" w:ascii="宋体" w:hAnsi="宋体" w:eastAsia="宋体" w:cs="宋体"/>
          <w:b/>
          <w:bCs/>
          <w:color w:val="000000"/>
          <w:kern w:val="0"/>
          <w:sz w:val="24"/>
          <w:szCs w:val="24"/>
          <w:lang w:val="en-US" w:eastAsia="zh-CN" w:bidi="ar"/>
        </w:rPr>
        <w:t>7</w:t>
      </w:r>
      <w:r>
        <w:rPr>
          <w:rFonts w:hint="default" w:ascii="宋体" w:hAnsi="宋体" w:eastAsia="宋体" w:cs="宋体"/>
          <w:b/>
          <w:bCs/>
          <w:color w:val="000000"/>
          <w:kern w:val="0"/>
          <w:sz w:val="24"/>
          <w:szCs w:val="24"/>
          <w:lang w:val="en-US" w:eastAsia="zh-CN" w:bidi="ar"/>
        </w:rPr>
        <w:t>.1.2 投入产出指标选取较少问题</w:t>
      </w:r>
      <w:bookmarkEnd w:id="101"/>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为了便于计算，本文选取了较为少的投入产出指标，特别是产出指标仅选择了两个，测度结果可能存在一定的偏差，如若想进行更深一步的研究，可以多选取几个指标特别是产出指标再次进行DEA模型计算。</w:t>
      </w:r>
    </w:p>
    <w:p>
      <w:pPr>
        <w:numPr>
          <w:ilvl w:val="0"/>
          <w:numId w:val="0"/>
        </w:numPr>
        <w:outlineLvl w:val="1"/>
        <w:rPr>
          <w:rFonts w:hint="eastAsia" w:ascii="楷体" w:hAnsi="楷体" w:eastAsia="楷体" w:cs="楷体"/>
          <w:b w:val="0"/>
          <w:bCs w:val="0"/>
          <w:color w:val="000000"/>
          <w:kern w:val="0"/>
          <w:sz w:val="28"/>
          <w:szCs w:val="28"/>
          <w:lang w:val="en-US" w:eastAsia="zh-CN" w:bidi="ar"/>
        </w:rPr>
      </w:pPr>
      <w:bookmarkStart w:id="103" w:name="_Toc6443"/>
      <w:bookmarkStart w:id="104" w:name="_Toc10446"/>
      <w:r>
        <w:rPr>
          <w:rFonts w:hint="eastAsia" w:ascii="楷体" w:hAnsi="楷体" w:eastAsia="楷体" w:cs="楷体"/>
          <w:b w:val="0"/>
          <w:bCs w:val="0"/>
          <w:color w:val="000000"/>
          <w:kern w:val="0"/>
          <w:sz w:val="28"/>
          <w:szCs w:val="28"/>
          <w:lang w:val="en-US" w:eastAsia="zh-CN" w:bidi="ar"/>
        </w:rPr>
        <w:t>7.2 模型的改进</w:t>
      </w:r>
      <w:bookmarkEnd w:id="103"/>
      <w:bookmarkEnd w:id="104"/>
    </w:p>
    <w:p>
      <w:pPr>
        <w:numPr>
          <w:ilvl w:val="0"/>
          <w:numId w:val="0"/>
        </w:numPr>
        <w:outlineLvl w:val="2"/>
        <w:rPr>
          <w:rFonts w:hint="default" w:ascii="宋体" w:hAnsi="宋体" w:eastAsia="宋体" w:cs="宋体"/>
          <w:b w:val="0"/>
          <w:bCs w:val="0"/>
          <w:color w:val="000000"/>
          <w:kern w:val="0"/>
          <w:sz w:val="24"/>
          <w:szCs w:val="24"/>
          <w:lang w:val="en-US" w:eastAsia="zh-CN" w:bidi="ar"/>
        </w:rPr>
      </w:pPr>
      <w:bookmarkStart w:id="105" w:name="_Toc1803"/>
      <w:bookmarkStart w:id="106" w:name="_Toc6089"/>
      <w:r>
        <w:rPr>
          <w:rFonts w:hint="eastAsia" w:ascii="宋体" w:hAnsi="宋体" w:eastAsia="宋体" w:cs="宋体"/>
          <w:b/>
          <w:bCs/>
          <w:color w:val="000000"/>
          <w:kern w:val="0"/>
          <w:sz w:val="24"/>
          <w:szCs w:val="24"/>
          <w:lang w:val="en-US" w:eastAsia="zh-CN" w:bidi="ar"/>
        </w:rPr>
        <w:t>7</w:t>
      </w:r>
      <w:r>
        <w:rPr>
          <w:rFonts w:hint="default" w:ascii="宋体" w:hAnsi="宋体" w:eastAsia="宋体" w:cs="宋体"/>
          <w:b/>
          <w:bCs/>
          <w:color w:val="000000"/>
          <w:kern w:val="0"/>
          <w:sz w:val="24"/>
          <w:szCs w:val="24"/>
          <w:lang w:val="en-US" w:eastAsia="zh-CN" w:bidi="ar"/>
        </w:rPr>
        <w:t>.2.1 对决策单元间无法排序的改进</w:t>
      </w:r>
      <w:bookmarkEnd w:id="105"/>
      <w:bookmarkEnd w:id="10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textAlignment w:val="auto"/>
        <w:rPr>
          <w:rFonts w:hint="eastAsia"/>
          <w:lang w:val="en-US" w:eastAsia="zh-CN"/>
        </w:rPr>
      </w:pPr>
      <w:r>
        <w:rPr>
          <w:rFonts w:hint="eastAsia" w:ascii="宋体" w:hAnsi="宋体" w:eastAsia="宋体" w:cs="宋体"/>
          <w:b w:val="0"/>
          <w:bCs w:val="0"/>
          <w:color w:val="000000"/>
          <w:kern w:val="0"/>
          <w:sz w:val="24"/>
          <w:szCs w:val="24"/>
          <w:lang w:val="en-US" w:eastAsia="zh-CN" w:bidi="ar"/>
        </w:rPr>
        <w:t>普通DEA模型无法实现决策单元间的排序，故无法知晓决策元间的重要性，同时无法实现无效决策元的统一。因此可以改用超效率DEA模型，该模型能够在评价某个决策单元时将其排除在决策单元集合外，能够保证决策单元的相对有效。该模型还可以实现各决策单元的比较和排序，计算得出的效率值也可超过1。</w:t>
      </w:r>
      <w:bookmarkStart w:id="107" w:name="_Toc27174"/>
    </w:p>
    <w:bookmarkEnd w:id="107"/>
    <w:p>
      <w:pPr>
        <w:jc w:val="both"/>
        <w:rPr>
          <w:rFonts w:hint="eastAsia" w:ascii="宋体" w:hAnsi="宋体" w:eastAsia="宋体" w:cs="宋体"/>
          <w:b w:val="0"/>
          <w:bCs w:val="0"/>
          <w:sz w:val="24"/>
          <w:szCs w:val="32"/>
          <w:lang w:val="en-US" w:eastAsia="zh-CN"/>
        </w:rPr>
      </w:pPr>
    </w:p>
    <w:p>
      <w:pPr>
        <w:jc w:val="both"/>
        <w:rPr>
          <w:rFonts w:hint="eastAsia" w:ascii="宋体" w:hAnsi="宋体" w:eastAsia="宋体" w:cs="宋体"/>
          <w:b w:val="0"/>
          <w:bCs w:val="0"/>
          <w:sz w:val="24"/>
          <w:szCs w:val="32"/>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br w:type="page"/>
      </w:r>
    </w:p>
    <w:p>
      <w:pPr>
        <w:tabs>
          <w:tab w:val="left" w:pos="1015"/>
          <w:tab w:val="center" w:pos="4216"/>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[1]陈丹辉.中等职业教育内涵初探[J].北京成人教育,2001(11):6-8.</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[2]姜大源.现代职业教育体系构建的理性追问[J].教育研究,2011,32(11):70-75.</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[3]陶蕾,杨欣.我国中等职业教育资源配置效率评价及分析——基于DEA-Malmquist指数模型[J].教育科学,2015,31(04):26-31.</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[4]石伟平,徐国庆.以就业为导向的中等职业教育教学改革理论探索[J].中国职业技术教育,2008(11):18-22.</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[5]孙琳.中等职业教育财政支出效率研究——基于省级面板数据的DEA分析[J].地方财政研究,2018(04):66-70+86.</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[6]刘春妤. 我国职业高中教育投入产出效率测度及影响因素研究[D].河北大学,2021.DOI:10.27103/d.cnki.ghebu.2021.000885.</w:t>
      </w:r>
    </w:p>
    <w:p>
      <w:pPr>
        <w:jc w:val="left"/>
        <w:rPr>
          <w:rFonts w:hint="eastAsia" w:asciiTheme="majorEastAsia" w:hAnsiTheme="majorEastAsia" w:eastAsiaTheme="majorEastAsia" w:cstheme="majorEastAsia"/>
          <w:b w:val="0"/>
          <w:bCs w:val="0"/>
          <w:color w:val="auto"/>
          <w:sz w:val="24"/>
          <w:szCs w:val="24"/>
          <w:lang w:val="en-US" w:eastAsia="zh-CN"/>
        </w:rPr>
      </w:pPr>
      <w:r>
        <w:rPr>
          <w:rFonts w:hint="eastAsia" w:ascii="宋体" w:hAnsi="宋体" w:eastAsia="宋体" w:cs="宋体"/>
          <w:b w:val="0"/>
          <w:bCs w:val="0"/>
          <w:color w:val="auto"/>
          <w:sz w:val="24"/>
          <w:szCs w:val="24"/>
          <w:lang w:val="en-US" w:eastAsia="zh-CN"/>
        </w:rPr>
        <w:t>[7</w:t>
      </w:r>
      <w:r>
        <w:rPr>
          <w:rFonts w:hint="eastAsia" w:asciiTheme="majorEastAsia" w:hAnsiTheme="majorEastAsia" w:eastAsiaTheme="majorEastAsia" w:cstheme="majorEastAsia"/>
          <w:b w:val="0"/>
          <w:bCs w:val="0"/>
          <w:color w:val="auto"/>
          <w:sz w:val="24"/>
          <w:szCs w:val="24"/>
          <w:lang w:val="en-US" w:eastAsia="zh-CN"/>
        </w:rPr>
        <w:t>]</w:t>
      </w:r>
      <w:r>
        <w:rPr>
          <w:rFonts w:hint="eastAsia" w:asciiTheme="majorEastAsia" w:hAnsiTheme="majorEastAsia" w:eastAsiaTheme="majorEastAsia" w:cstheme="majorEastAsia"/>
          <w:b w:val="0"/>
          <w:bCs w:val="0"/>
          <w:i w:val="0"/>
          <w:iCs w:val="0"/>
          <w:caps w:val="0"/>
          <w:color w:val="auto"/>
          <w:spacing w:val="0"/>
          <w:sz w:val="24"/>
          <w:szCs w:val="24"/>
          <w:shd w:val="clear" w:fill="FFFFFF"/>
        </w:rPr>
        <w:t>沈中彦.中国式职业教育现代化的演进逻辑、基本经验与时代特征[J].职业技术教育,2023,44(01):14-20.</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lang w:val="en-US" w:eastAsia="zh-CN"/>
        </w:rPr>
        <w:t>8</w:t>
      </w:r>
      <w:r>
        <w:rPr>
          <w:rFonts w:hint="eastAsia" w:ascii="宋体" w:hAnsi="宋体" w:eastAsia="宋体" w:cs="宋体"/>
          <w:i w:val="0"/>
          <w:iCs w:val="0"/>
          <w:caps w:val="0"/>
          <w:color w:val="auto"/>
          <w:spacing w:val="0"/>
          <w:sz w:val="24"/>
          <w:szCs w:val="24"/>
          <w:shd w:val="clear" w:fill="FFFFFF"/>
        </w:rPr>
        <w:t>]徐慧芳. 基于DEA的汽车制造企业经营效率评价与改进[D].天津商业大学,2022.DOI:10.27362/d.cnki.gtsxy.2022.000344.</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lang w:val="en-US" w:eastAsia="zh-CN"/>
        </w:rPr>
        <w:t>9</w:t>
      </w:r>
      <w:r>
        <w:rPr>
          <w:rFonts w:hint="eastAsia" w:ascii="宋体" w:hAnsi="宋体" w:eastAsia="宋体" w:cs="宋体"/>
          <w:i w:val="0"/>
          <w:iCs w:val="0"/>
          <w:caps w:val="0"/>
          <w:color w:val="auto"/>
          <w:spacing w:val="0"/>
          <w:sz w:val="24"/>
          <w:szCs w:val="24"/>
          <w:shd w:val="clear" w:fill="FFFFFF"/>
        </w:rPr>
        <w:t>]翟桂龙.推动职业教育创新发展 打造新时代职教齐鲁标杆[J].中国商人,2022(07):110-111.</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0</w:t>
      </w:r>
      <w:r>
        <w:rPr>
          <w:rFonts w:hint="eastAsia" w:ascii="宋体" w:hAnsi="宋体" w:eastAsia="宋体" w:cs="宋体"/>
          <w:i w:val="0"/>
          <w:iCs w:val="0"/>
          <w:caps w:val="0"/>
          <w:color w:val="auto"/>
          <w:spacing w:val="0"/>
          <w:sz w:val="24"/>
          <w:szCs w:val="24"/>
          <w:shd w:val="clear" w:fill="FFFFFF"/>
        </w:rPr>
        <w:t>]董平.粤港澳大湾区职业教育科教融汇发展研究[J].中国多媒体与网络教学学报(中旬刊),2023(01):209-212.</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lang w:val="en-US" w:eastAsia="zh-CN"/>
        </w:rPr>
        <w:t>1</w:t>
      </w:r>
      <w:r>
        <w:rPr>
          <w:rFonts w:hint="eastAsia" w:ascii="宋体" w:hAnsi="宋体" w:eastAsia="宋体" w:cs="宋体"/>
          <w:i w:val="0"/>
          <w:iCs w:val="0"/>
          <w:caps w:val="0"/>
          <w:color w:val="auto"/>
          <w:spacing w:val="0"/>
          <w:sz w:val="24"/>
          <w:szCs w:val="24"/>
          <w:shd w:val="clear" w:fill="FFFFFF"/>
        </w:rPr>
        <w:t>1]佘一鸣. 湖南省对贫困县金融精准扶贫效率及影响因素研究[D].湖南大学,2020.DOI:10.27135/d.cnki.ghudu.2020.002808.</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2</w:t>
      </w:r>
      <w:r>
        <w:rPr>
          <w:rFonts w:hint="eastAsia" w:ascii="宋体" w:hAnsi="宋体" w:eastAsia="宋体" w:cs="宋体"/>
          <w:i w:val="0"/>
          <w:iCs w:val="0"/>
          <w:caps w:val="0"/>
          <w:color w:val="auto"/>
          <w:spacing w:val="0"/>
          <w:sz w:val="24"/>
          <w:szCs w:val="24"/>
          <w:shd w:val="clear" w:fill="FFFFFF"/>
        </w:rPr>
        <w:t>]蔡文伯,翟柳淅.我国中等职业教育经费投入效率及影响因素分析——基于DEA-Malmquist指数模型与空间面板计量模型[J].职业技术教育,2018,39(01):55-59.</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3</w:t>
      </w:r>
      <w:r>
        <w:rPr>
          <w:rFonts w:hint="eastAsia" w:ascii="宋体" w:hAnsi="宋体" w:eastAsia="宋体" w:cs="宋体"/>
          <w:i w:val="0"/>
          <w:iCs w:val="0"/>
          <w:caps w:val="0"/>
          <w:color w:val="auto"/>
          <w:spacing w:val="0"/>
          <w:sz w:val="24"/>
          <w:szCs w:val="24"/>
          <w:shd w:val="clear" w:fill="FFFFFF"/>
        </w:rPr>
        <w:t>]杨广俊.基于DEA的中等职业教育投入与产出相对有效性评价[J].职业技术教育,2011,32(25):60-63.</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4</w:t>
      </w:r>
      <w:r>
        <w:rPr>
          <w:rFonts w:hint="eastAsia" w:ascii="宋体" w:hAnsi="宋体" w:eastAsia="宋体" w:cs="宋体"/>
          <w:i w:val="0"/>
          <w:iCs w:val="0"/>
          <w:caps w:val="0"/>
          <w:color w:val="auto"/>
          <w:spacing w:val="0"/>
          <w:sz w:val="24"/>
          <w:szCs w:val="24"/>
          <w:shd w:val="clear" w:fill="FFFFFF"/>
        </w:rPr>
        <w:t>]魏权龄.数据包络分析(DEA)[J].科学通报,2000(17):1793-1808.</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5</w:t>
      </w:r>
      <w:r>
        <w:rPr>
          <w:rFonts w:hint="eastAsia" w:ascii="宋体" w:hAnsi="宋体" w:eastAsia="宋体" w:cs="宋体"/>
          <w:i w:val="0"/>
          <w:iCs w:val="0"/>
          <w:caps w:val="0"/>
          <w:color w:val="auto"/>
          <w:spacing w:val="0"/>
          <w:sz w:val="24"/>
          <w:szCs w:val="24"/>
          <w:shd w:val="clear" w:fill="FFFFFF"/>
        </w:rPr>
        <w:t>]郭昌鹏,吴国献.中职生生涯规划存在的问题及对策探讨[J].黑龙江科技信息,2011(31):193.</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6</w:t>
      </w:r>
      <w:r>
        <w:rPr>
          <w:rFonts w:hint="eastAsia" w:ascii="宋体" w:hAnsi="宋体" w:eastAsia="宋体" w:cs="宋体"/>
          <w:i w:val="0"/>
          <w:iCs w:val="0"/>
          <w:caps w:val="0"/>
          <w:color w:val="auto"/>
          <w:spacing w:val="0"/>
          <w:sz w:val="24"/>
          <w:szCs w:val="24"/>
          <w:shd w:val="clear" w:fill="FFFFFF"/>
        </w:rPr>
        <w:t>].2021年全国教育事业发展统计公报[J].中国地质教育,2022,31(03):109-112.DOI:10.16244/j.cnki.1006-9372.2022.03.014.</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7</w:t>
      </w:r>
      <w:r>
        <w:rPr>
          <w:rFonts w:hint="eastAsia" w:ascii="宋体" w:hAnsi="宋体" w:eastAsia="宋体" w:cs="宋体"/>
          <w:i w:val="0"/>
          <w:iCs w:val="0"/>
          <w:caps w:val="0"/>
          <w:color w:val="auto"/>
          <w:spacing w:val="0"/>
          <w:sz w:val="24"/>
          <w:szCs w:val="24"/>
          <w:shd w:val="clear" w:fill="FFFFFF"/>
        </w:rPr>
        <w:t>]郝佩瑜. 学校教育技术装备绩效评价研究[D].河北师范大学,2022.DOI:10.27110/d.cnki.ghsfu.2022.000353.</w:t>
      </w: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pStyle w:val="2"/>
        <w:ind w:left="0" w:leftChars="0" w:firstLine="0" w:firstLineChars="0"/>
        <w:rPr>
          <w:rFonts w:hint="eastAsia" w:ascii="微软雅黑" w:hAnsi="微软雅黑" w:eastAsia="微软雅黑" w:cs="微软雅黑"/>
          <w:b w:val="0"/>
          <w:bCs w:val="0"/>
          <w:sz w:val="24"/>
          <w:szCs w:val="32"/>
          <w:lang w:val="en-US" w:eastAsia="zh-CN"/>
        </w:rPr>
      </w:pPr>
    </w:p>
    <w:p>
      <w:pPr>
        <w:pStyle w:val="3"/>
        <w:bidi w:val="0"/>
        <w:jc w:val="center"/>
        <w:outlineLvl w:val="0"/>
        <w:rPr>
          <w:rFonts w:hint="eastAsia"/>
          <w:lang w:val="en-US" w:eastAsia="zh-CN"/>
        </w:rPr>
      </w:pPr>
      <w:bookmarkStart w:id="108" w:name="_Toc7951"/>
      <w:bookmarkStart w:id="109" w:name="_Toc10160"/>
      <w:r>
        <w:rPr>
          <w:rFonts w:hint="eastAsia"/>
          <w:lang w:val="en-US" w:eastAsia="zh-CN"/>
        </w:rPr>
        <w:t>附录</w:t>
      </w:r>
      <w:bookmarkEnd w:id="108"/>
      <w:bookmarkEnd w:id="109"/>
    </w:p>
    <w:p>
      <w:pPr>
        <w:pStyle w:val="2"/>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除本文应用到的模型与指标外，研究小组还借助了spssau（网址：</w:t>
      </w:r>
      <w:r>
        <w:rPr>
          <w:rStyle w:val="20"/>
          <w:rFonts w:hint="eastAsia" w:ascii="宋体" w:hAnsi="宋体" w:eastAsia="宋体" w:cs="宋体"/>
          <w:sz w:val="24"/>
          <w:szCs w:val="24"/>
          <w:lang w:val="en-US" w:eastAsia="zh-CN"/>
        </w:rPr>
        <w:fldChar w:fldCharType="begin"/>
      </w:r>
      <w:r>
        <w:rPr>
          <w:rStyle w:val="20"/>
          <w:rFonts w:hint="eastAsia" w:ascii="宋体" w:hAnsi="宋体" w:eastAsia="宋体" w:cs="宋体"/>
          <w:sz w:val="24"/>
          <w:szCs w:val="24"/>
          <w:lang w:val="en-US" w:eastAsia="zh-CN"/>
        </w:rPr>
        <w:instrText xml:space="preserve"> HYPERLINK "https://spssau.com/indexs.html）进行数据预分析，建模过程中所获得的原始统计数据" </w:instrText>
      </w:r>
      <w:r>
        <w:rPr>
          <w:rStyle w:val="20"/>
          <w:rFonts w:hint="eastAsia" w:ascii="宋体" w:hAnsi="宋体" w:eastAsia="宋体" w:cs="宋体"/>
          <w:sz w:val="24"/>
          <w:szCs w:val="24"/>
          <w:lang w:val="en-US" w:eastAsia="zh-CN"/>
        </w:rPr>
        <w:fldChar w:fldCharType="separate"/>
      </w:r>
      <w:r>
        <w:rPr>
          <w:rStyle w:val="20"/>
          <w:rFonts w:hint="eastAsia" w:ascii="宋体" w:hAnsi="宋体" w:eastAsia="宋体" w:cs="宋体"/>
          <w:sz w:val="24"/>
          <w:szCs w:val="24"/>
          <w:lang w:val="en-US" w:eastAsia="zh-CN"/>
        </w:rPr>
        <w:t>https://spssau.com/indexs.html）进行数据预分析，本次建模中所用到的统计数据</w:t>
      </w:r>
      <w:r>
        <w:rPr>
          <w:rStyle w:val="20"/>
          <w:rFonts w:hint="eastAsia" w:ascii="宋体" w:hAnsi="宋体" w:eastAsia="宋体" w:cs="宋体"/>
          <w:sz w:val="24"/>
          <w:szCs w:val="24"/>
          <w:lang w:val="en-US" w:eastAsia="zh-CN"/>
        </w:rPr>
        <w:fldChar w:fldCharType="end"/>
      </w:r>
      <w:r>
        <w:rPr>
          <w:rFonts w:hint="eastAsia" w:ascii="宋体" w:hAnsi="宋体" w:eastAsia="宋体" w:cs="宋体"/>
          <w:color w:val="000000"/>
          <w:kern w:val="0"/>
          <w:sz w:val="24"/>
          <w:szCs w:val="24"/>
          <w:lang w:val="en-US" w:eastAsia="zh-CN" w:bidi="ar"/>
        </w:rPr>
        <w:t>表如下所示：</w:t>
      </w:r>
    </w:p>
    <w:p>
      <w:pPr>
        <w:pStyle w:val="2"/>
        <w:spacing w:line="240" w:lineRule="auto"/>
        <w:jc w:val="both"/>
        <w:rPr>
          <w:rFonts w:hint="eastAsia" w:ascii="宋体" w:hAnsi="宋体" w:eastAsia="宋体" w:cs="宋体"/>
          <w:color w:val="000000"/>
          <w:kern w:val="0"/>
          <w:sz w:val="24"/>
          <w:szCs w:val="24"/>
          <w:lang w:val="en-US" w:eastAsia="zh-CN" w:bidi="ar"/>
        </w:rPr>
      </w:pPr>
    </w:p>
    <w:p>
      <w:pPr>
        <w:pStyle w:val="2"/>
        <w:spacing w:line="240" w:lineRule="auto"/>
        <w:ind w:left="0" w:leftChars="0" w:firstLine="0" w:firstLineChars="0"/>
        <w:jc w:val="center"/>
        <w:rPr>
          <w:rFonts w:hint="eastAsia" w:ascii="宋体" w:hAnsi="宋体" w:eastAsia="宋体" w:cs="宋体"/>
          <w:color w:val="000000"/>
          <w:kern w:val="0"/>
          <w:sz w:val="24"/>
          <w:szCs w:val="24"/>
          <w:lang w:val="en-US" w:eastAsia="zh-CN" w:bidi="ar"/>
        </w:rPr>
      </w:pPr>
    </w:p>
    <w:p>
      <w:pPr>
        <w:pStyle w:val="2"/>
        <w:spacing w:line="240" w:lineRule="auto"/>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表1 2013-2021年全国中职教育指标数据</w:t>
      </w:r>
    </w:p>
    <w:p>
      <w:pPr>
        <w:pStyle w:val="2"/>
        <w:spacing w:line="240" w:lineRule="auto"/>
        <w:jc w:val="both"/>
        <w:rPr>
          <w:rFonts w:hint="default" w:ascii="宋体" w:hAnsi="宋体" w:eastAsia="宋体" w:cs="宋体"/>
          <w:color w:val="000000"/>
          <w:kern w:val="0"/>
          <w:sz w:val="24"/>
          <w:szCs w:val="24"/>
          <w:lang w:val="en-US" w:eastAsia="zh-CN" w:bidi="ar"/>
        </w:rPr>
      </w:pPr>
    </w:p>
    <w:tbl>
      <w:tblPr>
        <w:tblStyle w:val="14"/>
        <w:tblpPr w:leftFromText="180" w:rightFromText="180" w:vertAnchor="text" w:horzAnchor="page" w:tblpX="873" w:tblpY="602"/>
        <w:tblOverlap w:val="never"/>
        <w:tblW w:w="10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68"/>
        <w:gridCol w:w="984"/>
        <w:gridCol w:w="1728"/>
        <w:gridCol w:w="1548"/>
        <w:gridCol w:w="1572"/>
        <w:gridCol w:w="1248"/>
        <w:gridCol w:w="1188"/>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76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年份</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教职工总数</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生师比</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科研仪器</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校舍建筑面积</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教育事业费支出</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在校生数</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职业资格证数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827727</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15.84839687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10274061.06</w:t>
            </w:r>
          </w:p>
        </w:tc>
        <w:tc>
          <w:tcPr>
            <w:tcW w:w="1572" w:type="dxa"/>
            <w:tcBorders>
              <w:tl2br w:val="nil"/>
              <w:tr2bl w:val="nil"/>
            </w:tcBorders>
            <w:shd w:val="clear" w:color="auto" w:fill="FFFFFF"/>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218262740.2</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17095.26</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13118146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1934190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803752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15.77399372</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9669683.78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212978547</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17446.93</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12678379</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2579124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801482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15.17396897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9021418.88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210523864.3</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17282.42</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12161663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2839511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799593</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15.17807184</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8443552.5</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210782395.9</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16446.71</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12136280</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2997739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811147</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15.46315649</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7797421.54</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212069097.3</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13272.66</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12542893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3218321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2016</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821047</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15.53943197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7094397.43</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212502660.1</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12227.7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12758604</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3547673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2015</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841495</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15.8674906</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6528462.28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213114059.5</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10961.07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13352414</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3813336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2014</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866905</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16.33757678</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6074550.07</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215500935</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9128.83</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14163127</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4032975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883959</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17.38071788</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5558781.52</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214011336</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8784.64</w:t>
            </w:r>
          </w:p>
        </w:tc>
        <w:tc>
          <w:tcPr>
            <w:tcW w:w="1188" w:type="dxa"/>
            <w:tcBorders>
              <w:tl2br w:val="nil"/>
              <w:tr2bl w:val="nil"/>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15363842</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4336937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平均值</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828567.4444</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15.84031168</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7829147.673</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213305070.6</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13627.35778</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13141705.33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3255534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0392" w:type="dxa"/>
            <w:gridSpan w:val="8"/>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数据处理结果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年份</w:t>
            </w:r>
          </w:p>
        </w:tc>
        <w:tc>
          <w:tcPr>
            <w:tcW w:w="984"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教职工总数</w:t>
            </w:r>
          </w:p>
        </w:tc>
        <w:tc>
          <w:tcPr>
            <w:tcW w:w="172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生师比</w:t>
            </w:r>
          </w:p>
        </w:tc>
        <w:tc>
          <w:tcPr>
            <w:tcW w:w="154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科研仪器</w:t>
            </w:r>
          </w:p>
        </w:tc>
        <w:tc>
          <w:tcPr>
            <w:tcW w:w="1572"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校舍建筑面积</w:t>
            </w:r>
          </w:p>
        </w:tc>
        <w:tc>
          <w:tcPr>
            <w:tcW w:w="124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教育事业费支出</w:t>
            </w:r>
          </w:p>
        </w:tc>
        <w:tc>
          <w:tcPr>
            <w:tcW w:w="118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在校生数</w:t>
            </w:r>
          </w:p>
        </w:tc>
        <w:tc>
          <w:tcPr>
            <w:tcW w:w="1356"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职业资格证数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1.001015364</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0.999489842</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0.762030479</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0.977285772</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0.79714247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1.001795935</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1.683151087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1.030874504</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1.004204259</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0.809659121</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1.001533129</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0.781074824</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1.036544603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1.262263466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1.033794202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1.043913541</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0.867839946</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1.013210884</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0.788509814</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1.080584566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1.146512199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1.036236491</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1.043631355</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0.927233848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1.011968147</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0.828576522</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1.082844606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1.085996479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1.02147631</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1.024390569</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1.004068798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1.005828163</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1.026723941</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1.047741166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1.011562862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2016</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1.009159578</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1.019362337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1.103567674</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1.003776002</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1.114466153</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1.030026901</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0.917653346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2015</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0.984637395</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0.998287132</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1.199233041</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1.000896286</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1.243250684</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0.984219433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0.853723354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2014</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0.95577652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0.969563106</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1.288844043</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0.989810418</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1.492782512</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0.927881628</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0.807228907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0.937336963</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0.911372694</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1.408428744</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0.996699869</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1.551271057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0.855365821</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0.750652822</w:t>
            </w:r>
          </w:p>
        </w:tc>
      </w:tr>
    </w:tbl>
    <w:p>
      <w:pPr>
        <w:pStyle w:val="2"/>
        <w:ind w:left="0" w:leftChars="0" w:firstLine="0" w:firstLineChars="0"/>
        <w:jc w:val="center"/>
        <w:rPr>
          <w:rFonts w:hint="eastAsia" w:ascii="宋体" w:hAnsi="宋体" w:eastAsia="宋体" w:cs="宋体"/>
          <w:color w:val="000000"/>
          <w:kern w:val="0"/>
          <w:sz w:val="24"/>
          <w:szCs w:val="24"/>
          <w:lang w:val="en-US" w:eastAsia="zh-CN" w:bidi="ar"/>
        </w:rPr>
      </w:pPr>
    </w:p>
    <w:p>
      <w:pPr>
        <w:pStyle w:val="2"/>
        <w:ind w:left="0" w:leftChars="0" w:firstLine="0" w:firstLineChars="0"/>
        <w:jc w:val="center"/>
        <w:rPr>
          <w:rFonts w:hint="eastAsia" w:ascii="宋体" w:hAnsi="宋体" w:eastAsia="宋体" w:cs="宋体"/>
          <w:color w:val="000000"/>
          <w:kern w:val="0"/>
          <w:sz w:val="24"/>
          <w:szCs w:val="24"/>
          <w:lang w:val="en-US" w:eastAsia="zh-CN" w:bidi="ar"/>
        </w:rPr>
      </w:pPr>
    </w:p>
    <w:p>
      <w:pPr>
        <w:pStyle w:val="2"/>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表2 2017-2021各省</w:t>
      </w:r>
      <w:bookmarkStart w:id="110" w:name="_GoBack"/>
      <w:bookmarkEnd w:id="110"/>
      <w:r>
        <w:rPr>
          <w:rFonts w:hint="eastAsia" w:ascii="宋体" w:hAnsi="宋体" w:eastAsia="宋体" w:cs="宋体"/>
          <w:color w:val="000000"/>
          <w:kern w:val="0"/>
          <w:sz w:val="24"/>
          <w:szCs w:val="24"/>
          <w:lang w:val="en-US" w:eastAsia="zh-CN" w:bidi="ar"/>
        </w:rPr>
        <w:t>中职教育指标数据</w:t>
      </w:r>
    </w:p>
    <w:p>
      <w:pPr>
        <w:pStyle w:val="2"/>
        <w:tabs>
          <w:tab w:val="left" w:pos="4678"/>
        </w:tabs>
        <w:ind w:left="0" w:leftChars="0" w:firstLine="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b/>
      </w:r>
    </w:p>
    <w:p>
      <w:pPr>
        <w:pStyle w:val="2"/>
        <w:tabs>
          <w:tab w:val="left" w:pos="4678"/>
        </w:tabs>
        <w:ind w:left="0" w:leftChars="0" w:firstLine="0" w:firstLineChars="0"/>
        <w:jc w:val="both"/>
        <w:rPr>
          <w:rFonts w:hint="default" w:ascii="宋体" w:hAnsi="宋体" w:eastAsia="宋体" w:cs="宋体"/>
          <w:color w:val="000000"/>
          <w:kern w:val="0"/>
          <w:sz w:val="24"/>
          <w:szCs w:val="24"/>
          <w:lang w:val="en-US" w:eastAsia="zh-CN" w:bidi="ar"/>
        </w:rPr>
      </w:pPr>
    </w:p>
    <w:tbl>
      <w:tblPr>
        <w:tblStyle w:val="14"/>
        <w:tblW w:w="10404" w:type="dxa"/>
        <w:tblInd w:w="-93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8"/>
        <w:gridCol w:w="892"/>
        <w:gridCol w:w="1644"/>
        <w:gridCol w:w="1380"/>
        <w:gridCol w:w="1620"/>
        <w:gridCol w:w="1356"/>
        <w:gridCol w:w="1164"/>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Style w:val="21"/>
                <w:rFonts w:hint="eastAsia" w:ascii="宋体" w:hAnsi="宋体" w:eastAsia="宋体" w:cs="宋体"/>
                <w:sz w:val="24"/>
                <w:szCs w:val="24"/>
                <w:lang w:val="en-US" w:eastAsia="zh-CN" w:bidi="ar"/>
              </w:rPr>
              <w:t xml:space="preserve">        </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教职工总数</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生师比</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科研仪器</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校舍建筑面积</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教育事业费支出</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在校生数</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职业资格证数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北京</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8621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5.571047442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340114.03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2215643.3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72116.02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48028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8928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5.194444444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336446.31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2348971.06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68451.66</w:t>
            </w:r>
          </w:p>
        </w:tc>
        <w:tc>
          <w:tcPr>
            <w:tcW w:w="116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46376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9322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5.29457198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329546.55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2364298.69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69775.68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49356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9507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6.552960976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318991.49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2374730.69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57992.24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62299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7.584588762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311461.62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2486314.39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57664.85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74511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天津</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7366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10.87659517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134773.27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1396063.68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25075.91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80117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10.39517305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134519.87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1435606.94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23422.83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78390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7972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10.1532865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131089.12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1519622.18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26011.87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80942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8077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11.22520738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113528.84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1590068.28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25528.26</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90666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8421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11.68685429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98306.05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1731191.95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25193.25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98415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河北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65294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13.94841793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419091.94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12204784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16220.53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910748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62927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13.31471387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134519.87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11350080.92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15616.98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837855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60704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12.76075712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338404.26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10875940.24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18861.9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774629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59202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12.23407993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321789.7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10335936.54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17388.05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724282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58789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12.01188998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307811.72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10567612.35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16036.44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706167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30348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10.61328588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257918.84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7164894.59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16989.29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322092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29490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10.21380129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228349.15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6996344.49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17802.56</w:t>
            </w:r>
          </w:p>
        </w:tc>
        <w:tc>
          <w:tcPr>
            <w:tcW w:w="116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301205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29157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10.1750523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220293.42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6833955.77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18460.89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296674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91546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29445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10.26004415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215294.52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7093922.74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17959.65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302107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96798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31852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10.33815773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199910.94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7271496.63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15625.24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329291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内蒙古</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10.14928425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213369.84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3607118.93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23563.15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178668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9.779053564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200580.9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3540773.08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21021.61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175446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9.262764496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177671.75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3607336.39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21666.25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168536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18192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9.976253298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166816.45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3556609.32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20117.85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181488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18480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10.42316017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164125.68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3594374.85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18516.88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192620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辽宁</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25364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10.55188456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271949.64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4479487.87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16081.64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267638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25157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10.19553206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264385.11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4598157.57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15479.02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256489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25604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10.35342134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261016.04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4857599.48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17407.16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265089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26514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10.79033718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242295.94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5016468.26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15069.25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286095</w:t>
            </w:r>
          </w:p>
        </w:tc>
        <w:tc>
          <w:tcPr>
            <w:tcW w:w="1620"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27464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11.4471672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224815.2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5192948.35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13677.29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314385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吉林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17483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7.497511869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166994.35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2122709.89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22036.45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131079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17673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6.728625587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157909.02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2228608.47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23239.53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118915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18289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6.444474821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148900.24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2312626.7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27264.52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117863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17583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6.875789114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130581.45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2147885.26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27971.28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120897</w:t>
            </w:r>
          </w:p>
        </w:tc>
        <w:tc>
          <w:tcPr>
            <w:tcW w:w="1620"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7.434777703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118110.38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2530802.28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27871.91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131774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黑龙江</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16496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10.7132032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153008.14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2691207.26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21307.44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176725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16798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9.73639719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147428.79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2636289.49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20020.73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163552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17054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9.832766506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137227.83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2589991.39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20333.28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167688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18480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9.761904762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131668.01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2806371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18431.05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180400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19349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10.53429118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122315.92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2952586.02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17549.85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203828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11667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9.334619011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547144.73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2759620.46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62202.8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108907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9.230837004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516669.14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2838512.36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37337.85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104770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11722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8.529175909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481841.6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2873748.8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60507.94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99979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11947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8.585837449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432641.6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2862808.6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56146.03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102575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12289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8.634551225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388977.39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2862165.74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52278.17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106110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江苏</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52823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12.13834883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849965.15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16323937.16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21102.88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641184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50639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12.33168112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785241.51</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16017464.95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19928.07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624464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172596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50609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12.28101721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720831.52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15892724.75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20131.46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621530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50137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12.48602828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667343.72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16006335.4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19034.09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626012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50288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12.95466115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646147.06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16246247.58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17778.19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651464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196727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浙江</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41525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13.39046358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646846.96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11389449.87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27749.26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556039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130864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40539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14.0378401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638766.62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11728656.6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24204.22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569080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39836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13.60744051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581249.43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11193650.3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26260.31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542066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38628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13.6201719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538544.52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10895865.06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24879.67</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526120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38324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13.87929235</w:t>
            </w:r>
          </w:p>
        </w:tc>
        <w:tc>
          <w:tcPr>
            <w:tcW w:w="1380"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487955.05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10844414.5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22500.46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531910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安徽</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35082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21.43948464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464919.51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15896166.28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14888.45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752140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33762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23.43303122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412762.54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15656333.65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13173.47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791146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32768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22.90994263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366167.78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14644516.32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15609.7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750713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207708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32291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23.31330711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355644.61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14869867.59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14839.15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752810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33157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22.94152064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345751.21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15503768.11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13123.28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760672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247163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福建</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21036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17.84402928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336761.03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6312320.25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18592.13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375367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20094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17.82074251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316513.18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5784046.38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16741.55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358090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19928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16.80178643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301602.69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5423769.122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20530.16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334826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19629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17.10897142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283840.29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5296392.24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20718.53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335832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19813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17.43804573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255013.38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5259020.41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19620.65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345500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江西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23413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22.17409132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268346.95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7373675.13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14599.46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519162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20905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21.31035637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212954.82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6522977.03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14254.08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445493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34738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19701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19.56717933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185056.71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5782324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14683.26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385493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17758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19.99335511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174911.51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5537181.13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14376.94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355042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17235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19.97928634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153286.34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5327284.04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11522.2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344343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山东</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60026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13.97967547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695879.24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15996381.25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18924.71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839144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58824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13.21596627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664536.5</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15085877.56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16707.52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777416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58249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12.54036979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612357.2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14858231.92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19022.99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730464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164970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59304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12.64909618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587801.57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15601385.95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18182.65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750142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60408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13.13331016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531365.35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15989598.91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16787.36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793357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河南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57525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20.51356801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421418.53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14070559.98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9086.79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1180043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56209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20.45375296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386309.4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14172750.15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8827.44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1149685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58995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18.82595135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374784.62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14757118.86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10233.6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1110637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219728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60030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18.3508579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374059.02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15025525.15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10249.32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1101602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229460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62705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16.98797544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335481.73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14994596.79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9389.57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1065231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湖北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27024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16.3267466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302836.65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8021141.5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15802.69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441214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26002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16.16521806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279399.61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7716729.44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16193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420328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25951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15.10192285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255036.33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7833015.95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15489.44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391910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25937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14.24312758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232076.74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8002696.62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15992.25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369424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26595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13.95773642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202064.74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8078618.03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16551.53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371206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94647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湖南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43575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17.13257602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398019.82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11227590.4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14836.41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746552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40486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16.86881885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373011.17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10677652.34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12429.85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682951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39075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17.14630838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332787.75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10194564.56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13904.02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669992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36678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17.94593489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288760.27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9300033.02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12380.55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658221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34447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19.92820855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258311.38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8682743.35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11464.12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686467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广东</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57214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15.78370679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872452.68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12881834.65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20743.52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903049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55946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15.49406571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873480.47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13208754.88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18908.31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866831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56252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15.28244329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826466.47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13230560.09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19872.37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859668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56750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15.28200881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784719.29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13380558.41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17961.78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867254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58112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17.10231966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746391.93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13929598.1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15994.28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993850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广西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27724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24.92111528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469104.92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8118030.55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10918.91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690913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26867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26.05017307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450676.32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7849580.97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9817.15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699890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27023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25.17433298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431675.88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8020113.28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11446.29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680286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27407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24.7217864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398003.99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8470396.96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10672.02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677550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28095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24.44552411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356143.78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8074436.63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10656.33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686797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海南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24.01108911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98686.5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1406532.32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13253.86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121256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5653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21.81832655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103115.05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1587589.88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12977.33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123339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6034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19.44199536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110045.16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1705723.86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15436.3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117313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6293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18.94819641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103987.28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1723562.6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14623.72</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119241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6378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18.62950768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79460.8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1710153.02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13893.77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118819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重庆</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19738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18.45176816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243104.24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5525964.77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14784.31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364201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18573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18.43423249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227711.11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5831887.96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12879.8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342379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18190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17.43831776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213013.79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5999778.58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14036.62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317203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17979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16.68107236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204949.06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6601134.6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13268.34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299909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18156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16.97796872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199177.17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6651726.02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11611.95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308252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四川</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49987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17.45073719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480501.17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12299819.22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13660.75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872310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143691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47261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17.28975265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440005.05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11392978.63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13137.15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817131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236981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47098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16.90286212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408649.78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11344098.34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13759.41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796091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269076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48342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16.96371685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389344.36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11557732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820060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292927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48804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17.62177281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369460.51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11430597.16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11402.2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860013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329562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贵州</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20617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19.28093321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236053.89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7611151.39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8789.75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397515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20046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20.13234561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231236.5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7583640.22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7977.93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403573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20976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20.88677536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225557.19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7748363.92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8846.18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438121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94041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21003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22.48164548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222029.99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7587988.08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7635.91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472182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107925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21839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23.0375933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206353.62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7508004.34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7770.97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503118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云南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24347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2.384614121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252643.2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7333087.1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13268.8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550892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56876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24860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0.44118745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240031.48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6833843.01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12308.71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599212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23948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21.43110072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230823.45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6615303.13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12608.46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513232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20.26442404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210797.1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6262007.77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12670.68</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505415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26342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19.01962645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183751.04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6169565.54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11752.73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501015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西藏</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2645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12.55047259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28725.94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909657.94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41306.52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33196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2668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12.03898051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24490.31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868375.52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31006.09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13.3343832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23849.12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690486.43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48928.38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25402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12.20813269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22970.78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655448.94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53705.74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22817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11.83323115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21675.79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540863.75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58058.2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19300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陕西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20961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14.16893278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156916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4813487.67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14117.67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296995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14.17288891</w:t>
            </w: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147216.97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4869212.96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13498.43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279787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18900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13.62587302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142642.14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5132065.4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13764.53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257529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18590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12.55169446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138027.53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4910303.97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12861.45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233336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18671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14.03974077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142353.59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5200724.61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10967.92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262136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甘肃</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15817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12.78219637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157277.26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3774005.8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18217.16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202176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12.29783873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145159.78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3685001.2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16279.74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194601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16153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11.56026744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124925.98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3617114.54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18496.11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186733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16877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11.20139835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122217.7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3928051.35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18710.07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189046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50991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16659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11.63689297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97669.26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3575014.61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15354.08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193859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青海</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2778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32.07991361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113226.57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1094005.29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18585.13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89118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2827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30.39334984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105050.29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1128840.08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18391.65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85922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2920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27.95239726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82007.37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1144137.38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21444.76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81621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26.18333333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64194.13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1120486.77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15715.03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76979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24.67839526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58625.44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1102896.02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18758.85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75047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宁夏</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18.92202532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84487.72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1725781.78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15365.67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76339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3733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63.94160193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71062.87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1582450.16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15890.81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75524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3702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20.16207455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69533.91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1643370.45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15981.77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74640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20.19972261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61408.35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1619312.2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15938.47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72820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3482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21.46524986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53225.43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1504879.03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15229.52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74742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新疆</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14627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16.77302249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191522.33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5516629.94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17672.4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245339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14488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17.69871618</w:t>
            </w: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187929.04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5220559.04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14627.97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256419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16.74996721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176363.81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5217713.47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15908.35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255437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13658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18.57204569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144312.71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4645329.41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14707.26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253657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12773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18.68738746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131922.02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4554854.15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14758.08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238694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47649</w:t>
            </w:r>
          </w:p>
        </w:tc>
      </w:tr>
    </w:tbl>
    <w:p>
      <w:pPr>
        <w:pStyle w:val="2"/>
        <w:spacing w:line="240" w:lineRule="auto"/>
        <w:ind w:left="0" w:leftChars="0" w:firstLine="0" w:firstLineChars="0"/>
        <w:jc w:val="left"/>
        <w:rPr>
          <w:rFonts w:hint="default" w:ascii="宋体" w:hAnsi="宋体" w:eastAsia="宋体" w:cs="宋体"/>
          <w:color w:val="000000"/>
          <w:kern w:val="0"/>
          <w:sz w:val="24"/>
          <w:szCs w:val="24"/>
          <w:lang w:val="en-US" w:eastAsia="zh-CN" w:bidi="ar"/>
        </w:rPr>
      </w:pPr>
    </w:p>
    <w:sectPr>
      <w:headerReference r:id="rId3" w:type="default"/>
      <w:footerReference r:id="rId4" w:type="default"/>
      <w:pgSz w:w="11906" w:h="16838"/>
      <w:pgMar w:top="1440" w:right="1797" w:bottom="1440" w:left="1797" w:header="851" w:footer="992" w:gutter="0"/>
      <w:pgBorders>
        <w:top w:val="single" w:color="auto" w:sz="4" w:space="1"/>
        <w:left w:val="none" w:sz="0" w:space="0"/>
        <w:bottom w:val="single" w:color="auto" w:sz="4" w:space="1"/>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TdpA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DTdpA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xNDRkMzg4YzdjNDY4MDExZDMyNjBkNjAwODUzNzIifQ=="/>
  </w:docVars>
  <w:rsids>
    <w:rsidRoot w:val="3D3C62F1"/>
    <w:rsid w:val="00045ADB"/>
    <w:rsid w:val="006F128B"/>
    <w:rsid w:val="007A2020"/>
    <w:rsid w:val="00CD3536"/>
    <w:rsid w:val="00E90A6C"/>
    <w:rsid w:val="01BC48C3"/>
    <w:rsid w:val="027A5940"/>
    <w:rsid w:val="02987070"/>
    <w:rsid w:val="02E05800"/>
    <w:rsid w:val="03CC07A2"/>
    <w:rsid w:val="03FD27A4"/>
    <w:rsid w:val="040354C1"/>
    <w:rsid w:val="04051239"/>
    <w:rsid w:val="043F3EEC"/>
    <w:rsid w:val="04850756"/>
    <w:rsid w:val="04A0060D"/>
    <w:rsid w:val="053C3524"/>
    <w:rsid w:val="05697348"/>
    <w:rsid w:val="061500F8"/>
    <w:rsid w:val="067F1777"/>
    <w:rsid w:val="0882554E"/>
    <w:rsid w:val="08D833C0"/>
    <w:rsid w:val="08DD4532"/>
    <w:rsid w:val="09EF2671"/>
    <w:rsid w:val="0A69272D"/>
    <w:rsid w:val="0B304DED"/>
    <w:rsid w:val="0B5136FF"/>
    <w:rsid w:val="0B523F94"/>
    <w:rsid w:val="0B564AC6"/>
    <w:rsid w:val="0CB93942"/>
    <w:rsid w:val="0CD93263"/>
    <w:rsid w:val="0CEA0937"/>
    <w:rsid w:val="0DB846FD"/>
    <w:rsid w:val="0E04740F"/>
    <w:rsid w:val="0E3A0D47"/>
    <w:rsid w:val="0E3F3599"/>
    <w:rsid w:val="0E5A0711"/>
    <w:rsid w:val="0E89077F"/>
    <w:rsid w:val="0EE83E79"/>
    <w:rsid w:val="10CD30DE"/>
    <w:rsid w:val="11577B17"/>
    <w:rsid w:val="126006AE"/>
    <w:rsid w:val="13250FB0"/>
    <w:rsid w:val="13373D29"/>
    <w:rsid w:val="134E0103"/>
    <w:rsid w:val="135A630C"/>
    <w:rsid w:val="13C95DDF"/>
    <w:rsid w:val="1527393E"/>
    <w:rsid w:val="15877D00"/>
    <w:rsid w:val="15C50828"/>
    <w:rsid w:val="16DF42FA"/>
    <w:rsid w:val="17093BC9"/>
    <w:rsid w:val="17BD3A8B"/>
    <w:rsid w:val="17F829AF"/>
    <w:rsid w:val="183D4FEE"/>
    <w:rsid w:val="1A6A0EBB"/>
    <w:rsid w:val="1A7F3E24"/>
    <w:rsid w:val="1AC265D8"/>
    <w:rsid w:val="1B2D30F7"/>
    <w:rsid w:val="1B607D62"/>
    <w:rsid w:val="1C221494"/>
    <w:rsid w:val="1C735482"/>
    <w:rsid w:val="1D8F16F3"/>
    <w:rsid w:val="1E3C34E1"/>
    <w:rsid w:val="1E62130A"/>
    <w:rsid w:val="1F107771"/>
    <w:rsid w:val="205C2B53"/>
    <w:rsid w:val="209150AE"/>
    <w:rsid w:val="20C75D9C"/>
    <w:rsid w:val="20F34A91"/>
    <w:rsid w:val="21997739"/>
    <w:rsid w:val="22292C78"/>
    <w:rsid w:val="223E5468"/>
    <w:rsid w:val="236B568E"/>
    <w:rsid w:val="23A45F21"/>
    <w:rsid w:val="25A16BBC"/>
    <w:rsid w:val="26551754"/>
    <w:rsid w:val="268D5107"/>
    <w:rsid w:val="26BF775F"/>
    <w:rsid w:val="27767BD4"/>
    <w:rsid w:val="27F93E1B"/>
    <w:rsid w:val="28A10C81"/>
    <w:rsid w:val="28B60BD0"/>
    <w:rsid w:val="290708FB"/>
    <w:rsid w:val="29627907"/>
    <w:rsid w:val="29BB6F90"/>
    <w:rsid w:val="2A39180B"/>
    <w:rsid w:val="2A4A0F51"/>
    <w:rsid w:val="2B3D7387"/>
    <w:rsid w:val="2C9B7ADD"/>
    <w:rsid w:val="2D3E43D9"/>
    <w:rsid w:val="2D692A9D"/>
    <w:rsid w:val="2E3A2D78"/>
    <w:rsid w:val="2E474078"/>
    <w:rsid w:val="2E4C5B33"/>
    <w:rsid w:val="2E6A7D67"/>
    <w:rsid w:val="2E76670C"/>
    <w:rsid w:val="2F670DFE"/>
    <w:rsid w:val="2FEC3129"/>
    <w:rsid w:val="309335A5"/>
    <w:rsid w:val="30A17F98"/>
    <w:rsid w:val="31102E48"/>
    <w:rsid w:val="31BB1005"/>
    <w:rsid w:val="320F4299"/>
    <w:rsid w:val="32230959"/>
    <w:rsid w:val="32943604"/>
    <w:rsid w:val="33925D96"/>
    <w:rsid w:val="34264730"/>
    <w:rsid w:val="343D48CA"/>
    <w:rsid w:val="34CC7014"/>
    <w:rsid w:val="35225BD7"/>
    <w:rsid w:val="35466E38"/>
    <w:rsid w:val="35B04BF9"/>
    <w:rsid w:val="35F30A6F"/>
    <w:rsid w:val="35F9034E"/>
    <w:rsid w:val="36BF3346"/>
    <w:rsid w:val="36FF3742"/>
    <w:rsid w:val="39FE4837"/>
    <w:rsid w:val="3ABF4072"/>
    <w:rsid w:val="3B242F1F"/>
    <w:rsid w:val="3BC92571"/>
    <w:rsid w:val="3C15060C"/>
    <w:rsid w:val="3C683B38"/>
    <w:rsid w:val="3C683C2C"/>
    <w:rsid w:val="3C830972"/>
    <w:rsid w:val="3CD45671"/>
    <w:rsid w:val="3D3C62F1"/>
    <w:rsid w:val="3D632551"/>
    <w:rsid w:val="3D6764E5"/>
    <w:rsid w:val="3E2E5A79"/>
    <w:rsid w:val="3E3127CE"/>
    <w:rsid w:val="3F1F1178"/>
    <w:rsid w:val="40073668"/>
    <w:rsid w:val="40207CD9"/>
    <w:rsid w:val="4041301D"/>
    <w:rsid w:val="404F181C"/>
    <w:rsid w:val="40667C89"/>
    <w:rsid w:val="408E3D89"/>
    <w:rsid w:val="41970A1B"/>
    <w:rsid w:val="427A6B3A"/>
    <w:rsid w:val="42BA6B2B"/>
    <w:rsid w:val="43197030"/>
    <w:rsid w:val="44B244EA"/>
    <w:rsid w:val="4614088C"/>
    <w:rsid w:val="46991C9B"/>
    <w:rsid w:val="46A16C6C"/>
    <w:rsid w:val="4721575D"/>
    <w:rsid w:val="47215957"/>
    <w:rsid w:val="47395D01"/>
    <w:rsid w:val="48D07D3F"/>
    <w:rsid w:val="48EB08C3"/>
    <w:rsid w:val="496D6134"/>
    <w:rsid w:val="49BA7540"/>
    <w:rsid w:val="49D51101"/>
    <w:rsid w:val="49F6359B"/>
    <w:rsid w:val="4A062BE2"/>
    <w:rsid w:val="4A253068"/>
    <w:rsid w:val="4CBE6125"/>
    <w:rsid w:val="4CD82614"/>
    <w:rsid w:val="4E366A62"/>
    <w:rsid w:val="4E3A4E87"/>
    <w:rsid w:val="4EA74993"/>
    <w:rsid w:val="4FB01B8D"/>
    <w:rsid w:val="4FCD042A"/>
    <w:rsid w:val="502C20BC"/>
    <w:rsid w:val="51AC48EC"/>
    <w:rsid w:val="52B256B5"/>
    <w:rsid w:val="52D32EF5"/>
    <w:rsid w:val="53A019B1"/>
    <w:rsid w:val="53E2021C"/>
    <w:rsid w:val="5420040B"/>
    <w:rsid w:val="54756E52"/>
    <w:rsid w:val="566B44F9"/>
    <w:rsid w:val="57541431"/>
    <w:rsid w:val="57A26B81"/>
    <w:rsid w:val="57B840D4"/>
    <w:rsid w:val="589D0FF8"/>
    <w:rsid w:val="591043AD"/>
    <w:rsid w:val="5A31112E"/>
    <w:rsid w:val="5A7D0C9E"/>
    <w:rsid w:val="5BD1630F"/>
    <w:rsid w:val="5BE60685"/>
    <w:rsid w:val="5BF907F8"/>
    <w:rsid w:val="5C340679"/>
    <w:rsid w:val="5C405C0D"/>
    <w:rsid w:val="5CF07506"/>
    <w:rsid w:val="5D015BB7"/>
    <w:rsid w:val="5D825EEF"/>
    <w:rsid w:val="5DE6548E"/>
    <w:rsid w:val="5F443B39"/>
    <w:rsid w:val="5FCF78A6"/>
    <w:rsid w:val="6035022A"/>
    <w:rsid w:val="607629D0"/>
    <w:rsid w:val="60981382"/>
    <w:rsid w:val="60BD51CB"/>
    <w:rsid w:val="615139B3"/>
    <w:rsid w:val="61996579"/>
    <w:rsid w:val="61B37CD9"/>
    <w:rsid w:val="61E1636B"/>
    <w:rsid w:val="62901C5C"/>
    <w:rsid w:val="62985977"/>
    <w:rsid w:val="63506A17"/>
    <w:rsid w:val="64813139"/>
    <w:rsid w:val="64957EB7"/>
    <w:rsid w:val="6759214B"/>
    <w:rsid w:val="67955879"/>
    <w:rsid w:val="67B74A0C"/>
    <w:rsid w:val="682B3AE8"/>
    <w:rsid w:val="69513A22"/>
    <w:rsid w:val="69C064B2"/>
    <w:rsid w:val="6A21367E"/>
    <w:rsid w:val="6AA10091"/>
    <w:rsid w:val="6AF503DD"/>
    <w:rsid w:val="6AF8564F"/>
    <w:rsid w:val="6B776465"/>
    <w:rsid w:val="6BAD3293"/>
    <w:rsid w:val="6C835017"/>
    <w:rsid w:val="6C8F4E2F"/>
    <w:rsid w:val="6C9B1D8D"/>
    <w:rsid w:val="6D605FE2"/>
    <w:rsid w:val="6DB14A8F"/>
    <w:rsid w:val="6E6659AE"/>
    <w:rsid w:val="6E7C5C89"/>
    <w:rsid w:val="6ECB7DD2"/>
    <w:rsid w:val="6F0B6B39"/>
    <w:rsid w:val="70153C4F"/>
    <w:rsid w:val="70455D70"/>
    <w:rsid w:val="70BB79D3"/>
    <w:rsid w:val="70E64A50"/>
    <w:rsid w:val="7122497D"/>
    <w:rsid w:val="722E4F10"/>
    <w:rsid w:val="725641A6"/>
    <w:rsid w:val="730168F4"/>
    <w:rsid w:val="733C1EAE"/>
    <w:rsid w:val="733C4DFB"/>
    <w:rsid w:val="73BB6668"/>
    <w:rsid w:val="74AB05FB"/>
    <w:rsid w:val="752913AF"/>
    <w:rsid w:val="753B6681"/>
    <w:rsid w:val="757F36C5"/>
    <w:rsid w:val="75AF52D0"/>
    <w:rsid w:val="761756AB"/>
    <w:rsid w:val="76962A74"/>
    <w:rsid w:val="771148DC"/>
    <w:rsid w:val="77D73344"/>
    <w:rsid w:val="77E93077"/>
    <w:rsid w:val="7859644F"/>
    <w:rsid w:val="789E3E62"/>
    <w:rsid w:val="78D87422"/>
    <w:rsid w:val="7A293BFF"/>
    <w:rsid w:val="7A3C4FFA"/>
    <w:rsid w:val="7ABB1283"/>
    <w:rsid w:val="7BEE3352"/>
    <w:rsid w:val="7BEE6EAE"/>
    <w:rsid w:val="7BFA1CF7"/>
    <w:rsid w:val="7C773348"/>
    <w:rsid w:val="7CCC3693"/>
    <w:rsid w:val="7CF0542C"/>
    <w:rsid w:val="7DA63EE4"/>
    <w:rsid w:val="7E621231"/>
    <w:rsid w:val="7E8F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customStyle="1" w:styleId="2">
    <w:name w:val="公文正文"/>
    <w:basedOn w:val="1"/>
    <w:link w:val="20"/>
    <w:qFormat/>
    <w:uiPriority w:val="0"/>
    <w:pPr>
      <w:spacing w:line="600" w:lineRule="exact"/>
      <w:ind w:firstLine="640" w:firstLineChars="200"/>
    </w:pPr>
    <w:rPr>
      <w:rFonts w:ascii="仿宋_GB2312" w:hAnsi="仿宋_GB2312" w:eastAsia="仿宋_GB2312"/>
      <w:sz w:val="32"/>
    </w:r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ind w:left="420" w:leftChars="200"/>
    </w:pPr>
  </w:style>
  <w:style w:type="paragraph" w:styleId="1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 w:type="character" w:customStyle="1" w:styleId="20">
    <w:name w:val="公文正文 Char"/>
    <w:link w:val="2"/>
    <w:qFormat/>
    <w:uiPriority w:val="0"/>
    <w:rPr>
      <w:rFonts w:ascii="仿宋_GB2312" w:hAnsi="仿宋_GB2312" w:eastAsia="仿宋_GB2312"/>
      <w:sz w:val="32"/>
    </w:rPr>
  </w:style>
  <w:style w:type="character" w:customStyle="1" w:styleId="21">
    <w:name w:val="font01"/>
    <w:basedOn w:val="15"/>
    <w:qFormat/>
    <w:uiPriority w:val="0"/>
    <w:rPr>
      <w:rFonts w:hint="eastAsia" w:ascii="宋体" w:hAnsi="宋体" w:eastAsia="宋体" w:cs="宋体"/>
      <w:color w:val="000000"/>
      <w:sz w:val="32"/>
      <w:szCs w:val="32"/>
      <w:u w:val="none"/>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14317</Words>
  <Characters>27165</Characters>
  <Lines>0</Lines>
  <Paragraphs>0</Paragraphs>
  <TotalTime>0</TotalTime>
  <ScaleCrop>false</ScaleCrop>
  <LinksUpToDate>false</LinksUpToDate>
  <CharactersWithSpaces>27494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2023-05-25T19:00:00Z</dcterms:created>
  <dc:creator>杨昊林</dc:creator>
  <cp:lastModifiedBy>蒋卓然</cp:lastModifiedBy>
  <dcterms:modified xsi:type="dcterms:W3CDTF">2023-05-30T17:26:42Z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C4A7385AB238489BB6FAF1BE20518FB4_13</vt:lpwstr>
  </property>
</Properties>
</file>