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600" w:lineRule="exact"/>
        <w:ind w:left="0" w:right="-94"/>
        <w:jc w:val="both"/>
        <w:rPr>
          <w:rFonts w:hint="default" w:ascii="隶书" w:hAnsi="宋体" w:eastAsia="隶书" w:cs="隶书"/>
          <w:color w:val="FF0000"/>
          <w:sz w:val="24"/>
          <w:szCs w:val="24"/>
          <w:lang w:val="en-US"/>
        </w:rPr>
      </w:pPr>
      <w:r>
        <w:rPr>
          <w:rFonts w:hint="eastAsia" w:ascii="黑体" w:hAnsi="宋体" w:eastAsia="黑体" w:cs="黑体"/>
          <w:color w:val="FF0000"/>
          <w:kern w:val="2"/>
          <w:sz w:val="32"/>
          <w:szCs w:val="32"/>
          <w:lang w:val="en-US" w:eastAsia="zh-CN" w:bidi="ar"/>
        </w:rPr>
        <w:t>参赛队号：3630</w:t>
      </w:r>
    </w:p>
    <w:p>
      <w:pPr>
        <w:keepNext w:val="0"/>
        <w:keepLines w:val="0"/>
        <w:widowControl w:val="0"/>
        <w:suppressLineNumbers w:val="0"/>
        <w:spacing w:before="0" w:beforeAutospacing="0" w:after="0" w:afterAutospacing="0" w:line="20" w:lineRule="atLeast"/>
        <w:ind w:left="0" w:right="0" w:firstLine="5400" w:firstLineChars="2250"/>
        <w:jc w:val="both"/>
        <w:rPr>
          <w:rFonts w:hint="eastAsia" w:ascii="隶书" w:hAnsi="宋体" w:eastAsia="隶书" w:cs="隶书"/>
          <w:sz w:val="24"/>
          <w:szCs w:val="24"/>
          <w:lang w:val="en-US"/>
        </w:rPr>
      </w:pPr>
    </w:p>
    <w:p>
      <w:pPr>
        <w:keepNext w:val="0"/>
        <w:keepLines w:val="0"/>
        <w:widowControl w:val="0"/>
        <w:suppressLineNumbers w:val="0"/>
        <w:spacing w:before="0" w:beforeAutospacing="0" w:after="0" w:afterAutospacing="0" w:line="20" w:lineRule="atLeast"/>
        <w:ind w:left="0" w:right="0" w:firstLine="5400" w:firstLineChars="2250"/>
        <w:jc w:val="both"/>
        <w:rPr>
          <w:rFonts w:hint="eastAsia" w:ascii="隶书" w:hAnsi="宋体" w:eastAsia="隶书" w:cs="隶书"/>
          <w:sz w:val="24"/>
          <w:szCs w:val="24"/>
          <w:lang w:val="en-US"/>
        </w:rPr>
      </w:pPr>
    </w:p>
    <w:p>
      <w:pPr>
        <w:keepNext w:val="0"/>
        <w:keepLines w:val="0"/>
        <w:widowControl w:val="0"/>
        <w:suppressLineNumbers w:val="0"/>
        <w:spacing w:before="0" w:beforeAutospacing="0" w:after="0" w:afterAutospacing="0" w:line="20" w:lineRule="atLeast"/>
        <w:ind w:left="0" w:right="0" w:firstLine="5400" w:firstLineChars="2250"/>
        <w:jc w:val="both"/>
        <w:rPr>
          <w:rFonts w:hint="eastAsia" w:ascii="隶书" w:hAnsi="宋体" w:eastAsia="隶书" w:cs="隶书"/>
          <w:sz w:val="24"/>
          <w:szCs w:val="24"/>
          <w:lang w:val="en-US"/>
        </w:rPr>
      </w:pPr>
    </w:p>
    <w:p>
      <w:pPr>
        <w:keepNext w:val="0"/>
        <w:keepLines w:val="0"/>
        <w:widowControl w:val="0"/>
        <w:suppressLineNumbers w:val="0"/>
        <w:spacing w:before="0" w:beforeAutospacing="0" w:after="0" w:afterAutospacing="0" w:line="600" w:lineRule="auto"/>
        <w:ind w:left="0" w:right="0"/>
        <w:jc w:val="center"/>
        <w:rPr>
          <w:rFonts w:hint="eastAsia" w:ascii="方正小标宋_GBK" w:hAnsi="等线" w:eastAsia="方正小标宋_GBK" w:cs="方正小标宋_GBK"/>
          <w:sz w:val="44"/>
          <w:szCs w:val="44"/>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900" w:lineRule="exact"/>
        <w:ind w:left="0" w:right="0"/>
        <w:jc w:val="center"/>
        <w:textAlignment w:val="center"/>
        <w:rPr>
          <w:rFonts w:hint="eastAsia" w:ascii="方正小标宋_GBK" w:hAnsi="等线" w:eastAsia="方正小标宋_GBK" w:cs="方正小标宋_GBK"/>
          <w:sz w:val="52"/>
          <w:szCs w:val="52"/>
          <w:lang w:val="en-US"/>
        </w:rPr>
      </w:pPr>
      <w:r>
        <w:rPr>
          <w:rFonts w:hint="eastAsia" w:ascii="方正小标宋_GBK" w:hAnsi="等线" w:eastAsia="方正小标宋_GBK" w:cs="方正小标宋_GBK"/>
          <w:kern w:val="2"/>
          <w:sz w:val="44"/>
          <w:szCs w:val="44"/>
          <w:lang w:val="en-US" w:eastAsia="zh-CN" w:bidi="ar"/>
        </w:rPr>
        <w:t>2023年(第九届)全国大学生统计建模大赛</w:t>
      </w:r>
      <w:r>
        <w:rPr>
          <w:rFonts w:hint="eastAsia" w:ascii="方正小标宋_GBK" w:hAnsi="等线" w:eastAsia="方正小标宋_GBK" w:cs="方正小标宋_GBK"/>
          <w:kern w:val="2"/>
          <w:sz w:val="52"/>
          <w:szCs w:val="52"/>
          <w:lang w:val="en-US" w:eastAsia="zh-CN" w:bidi="ar"/>
        </w:rPr>
        <w:t>参 赛 作 品</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line="20" w:lineRule="atLeast"/>
        <w:ind w:left="0" w:right="0"/>
        <w:jc w:val="both"/>
        <w:rPr>
          <w:sz w:val="32"/>
          <w:szCs w:val="28"/>
          <w:lang w:val="en-US"/>
        </w:rPr>
      </w:pPr>
    </w:p>
    <w:p>
      <w:pPr>
        <w:keepNext w:val="0"/>
        <w:keepLines w:val="0"/>
        <w:widowControl w:val="0"/>
        <w:suppressLineNumbers w:val="0"/>
        <w:spacing w:before="0" w:beforeAutospacing="0" w:after="0" w:afterAutospacing="0" w:line="20" w:lineRule="atLeast"/>
        <w:ind w:left="0" w:right="0"/>
        <w:jc w:val="both"/>
        <w:rPr>
          <w:sz w:val="32"/>
          <w:szCs w:val="28"/>
          <w:lang w:val="en-US"/>
        </w:rPr>
      </w:pPr>
    </w:p>
    <w:p>
      <w:pPr>
        <w:pStyle w:val="13"/>
        <w:keepNext w:val="0"/>
        <w:keepLines w:val="0"/>
        <w:widowControl w:val="0"/>
        <w:suppressLineNumbers w:val="0"/>
        <w:spacing w:before="0" w:beforeAutospacing="0" w:after="0" w:afterAutospacing="0" w:line="600" w:lineRule="exact"/>
        <w:ind w:left="0" w:right="0" w:firstLine="480" w:firstLineChars="200"/>
        <w:jc w:val="both"/>
        <w:rPr>
          <w:lang w:val="en-US"/>
        </w:rPr>
      </w:pPr>
    </w:p>
    <w:p>
      <w:pPr>
        <w:keepNext w:val="0"/>
        <w:keepLines w:val="0"/>
        <w:widowControl w:val="0"/>
        <w:suppressLineNumbers w:val="0"/>
        <w:spacing w:before="0" w:beforeAutospacing="0" w:after="0" w:afterAutospacing="0" w:line="20" w:lineRule="atLeast"/>
        <w:ind w:left="0" w:right="0"/>
        <w:jc w:val="both"/>
        <w:rPr>
          <w:sz w:val="32"/>
          <w:szCs w:val="28"/>
          <w:lang w:val="en-US"/>
        </w:rPr>
      </w:pPr>
    </w:p>
    <w:tbl>
      <w:tblPr>
        <w:tblStyle w:val="14"/>
        <w:tblW w:w="842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106"/>
        <w:gridCol w:w="6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9" w:hRule="atLeast"/>
          <w:jc w:val="center"/>
        </w:trPr>
        <w:tc>
          <w:tcPr>
            <w:tcW w:w="2106" w:type="dxa"/>
            <w:shd w:val="clear" w:color="auto" w:fill="auto"/>
            <w:vAlign w:val="center"/>
          </w:tcPr>
          <w:p>
            <w:pPr>
              <w:keepNext w:val="0"/>
              <w:keepLines w:val="0"/>
              <w:widowControl w:val="0"/>
              <w:suppressLineNumbers w:val="0"/>
              <w:spacing w:before="0" w:beforeAutospacing="0" w:after="0" w:afterAutospacing="0" w:line="20" w:lineRule="atLeast"/>
              <w:ind w:left="0" w:right="0"/>
              <w:jc w:val="left"/>
              <w:rPr>
                <w:rFonts w:hint="eastAsia" w:ascii="仿宋_GB2312" w:hAnsi="仿宋_GB2312" w:eastAsia="仿宋_GB2312" w:cs="仿宋_GB2312"/>
                <w:bCs/>
                <w:sz w:val="36"/>
                <w:szCs w:val="36"/>
                <w:lang w:val="en-US"/>
              </w:rPr>
            </w:pPr>
            <w:r>
              <w:rPr>
                <w:rFonts w:hint="eastAsia" w:ascii="仿宋_GB2312" w:hAnsi="仿宋_GB2312" w:eastAsia="仿宋_GB2312" w:cs="仿宋_GB2312"/>
                <w:bCs/>
                <w:kern w:val="2"/>
                <w:sz w:val="36"/>
                <w:szCs w:val="36"/>
                <w:lang w:val="en-US" w:eastAsia="zh-CN" w:bidi="ar"/>
              </w:rPr>
              <w:t>参赛学校：</w:t>
            </w:r>
          </w:p>
        </w:tc>
        <w:tc>
          <w:tcPr>
            <w:tcW w:w="6315" w:type="dxa"/>
            <w:tcBorders>
              <w:top w:val="nil"/>
              <w:left w:val="nil"/>
              <w:bottom w:val="single" w:color="auto" w:sz="12" w:space="0"/>
              <w:right w:val="nil"/>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center"/>
              <w:rPr>
                <w:rFonts w:hint="eastAsia" w:ascii="方正小标宋_GBK" w:hAnsi="方正小标宋_GBK" w:eastAsia="方正小标宋_GBK" w:cs="方正小标宋_GBK"/>
                <w:bCs/>
                <w:sz w:val="36"/>
                <w:szCs w:val="36"/>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center"/>
              <w:rPr>
                <w:rFonts w:hint="eastAsia" w:ascii="方正小标宋_GBK" w:hAnsi="方正小标宋_GBK" w:eastAsia="方正小标宋_GBK" w:cs="方正小标宋_GBK"/>
                <w:bCs/>
                <w:sz w:val="36"/>
                <w:szCs w:val="36"/>
                <w:lang w:val="en-US"/>
              </w:rPr>
            </w:pPr>
            <w:r>
              <w:rPr>
                <w:rFonts w:hint="eastAsia" w:ascii="仿宋_GB2312" w:hAnsi="仿宋_GB2312" w:eastAsia="仿宋_GB2312" w:cs="仿宋_GB2312"/>
                <w:bCs/>
                <w:sz w:val="36"/>
                <w:szCs w:val="36"/>
                <w:lang w:val="en-US" w:eastAsia="zh-CN"/>
              </w:rPr>
              <w:t>广东工业大学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35" w:hRule="atLeast"/>
          <w:jc w:val="center"/>
        </w:trPr>
        <w:tc>
          <w:tcPr>
            <w:tcW w:w="2106" w:type="dxa"/>
            <w:shd w:val="clear" w:color="auto" w:fill="auto"/>
            <w:vAlign w:val="center"/>
          </w:tcPr>
          <w:p>
            <w:pPr>
              <w:keepNext w:val="0"/>
              <w:keepLines w:val="0"/>
              <w:widowControl w:val="0"/>
              <w:suppressLineNumbers w:val="0"/>
              <w:spacing w:before="0" w:beforeAutospacing="0" w:after="0" w:afterAutospacing="0" w:line="20" w:lineRule="atLeast"/>
              <w:ind w:left="0" w:right="0"/>
              <w:jc w:val="left"/>
              <w:rPr>
                <w:rFonts w:hint="eastAsia" w:ascii="仿宋_GB2312" w:hAnsi="仿宋_GB2312" w:eastAsia="仿宋_GB2312" w:cs="仿宋_GB2312"/>
                <w:bCs/>
                <w:sz w:val="36"/>
                <w:szCs w:val="36"/>
                <w:lang w:val="en-US"/>
              </w:rPr>
            </w:pPr>
            <w:r>
              <w:rPr>
                <w:rFonts w:hint="eastAsia" w:ascii="仿宋_GB2312" w:hAnsi="仿宋_GB2312" w:eastAsia="仿宋_GB2312" w:cs="仿宋_GB2312"/>
                <w:bCs/>
                <w:kern w:val="2"/>
                <w:sz w:val="36"/>
                <w:szCs w:val="36"/>
                <w:lang w:val="en-US" w:eastAsia="zh-CN" w:bidi="ar"/>
              </w:rPr>
              <w:t>论文题目：</w:t>
            </w:r>
          </w:p>
        </w:tc>
        <w:tc>
          <w:tcPr>
            <w:tcW w:w="6315" w:type="dxa"/>
            <w:tcBorders>
              <w:top w:val="single" w:color="auto" w:sz="12" w:space="0"/>
              <w:left w:val="nil"/>
              <w:bottom w:val="single" w:color="auto" w:sz="12" w:space="0"/>
              <w:right w:val="nil"/>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center"/>
              <w:rPr>
                <w:rFonts w:hint="eastAsia" w:ascii="方正小标宋_GBK" w:hAnsi="方正小标宋_GBK" w:eastAsia="方正小标宋_GBK" w:cs="方正小标宋_GBK"/>
                <w:bCs/>
                <w:sz w:val="36"/>
                <w:szCs w:val="36"/>
                <w:lang w:val="en-US"/>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center"/>
              <w:rPr>
                <w:rFonts w:hint="eastAsia" w:ascii="仿宋_GB2312" w:hAnsi="仿宋_GB2312" w:eastAsia="仿宋_GB2312" w:cs="仿宋_GB2312"/>
                <w:bCs/>
                <w:sz w:val="36"/>
                <w:szCs w:val="36"/>
                <w:lang w:val="en-US" w:eastAsia="zh-CN"/>
              </w:rPr>
            </w:pPr>
            <w:r>
              <w:rPr>
                <w:rFonts w:hint="eastAsia" w:ascii="仿宋_GB2312" w:hAnsi="仿宋_GB2312" w:eastAsia="仿宋_GB2312" w:cs="仿宋_GB2312"/>
                <w:bCs/>
                <w:sz w:val="36"/>
                <w:szCs w:val="36"/>
                <w:lang w:val="en-US" w:eastAsia="zh-CN"/>
              </w:rPr>
              <w:t>人人皆可成才，人人尽展其才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center"/>
              <w:rPr>
                <w:rFonts w:hint="default" w:ascii="方正小标宋_GBK" w:hAnsi="方正小标宋_GBK" w:eastAsia="仿宋_GB2312" w:cs="方正小标宋_GBK"/>
                <w:bCs/>
                <w:sz w:val="36"/>
                <w:szCs w:val="36"/>
                <w:lang w:val="en-US" w:eastAsia="zh-CN"/>
              </w:rPr>
            </w:pPr>
            <w:r>
              <w:rPr>
                <w:rFonts w:hint="eastAsia" w:ascii="仿宋_GB2312" w:hAnsi="仿宋_GB2312" w:eastAsia="仿宋_GB2312" w:cs="仿宋_GB2312"/>
                <w:bCs/>
                <w:sz w:val="36"/>
                <w:szCs w:val="36"/>
                <w:lang w:val="en-US" w:eastAsia="zh-CN"/>
              </w:rPr>
              <w:t>——中国式现代化背景下中职教育效率的统计度量与未来期望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5" w:hRule="atLeast"/>
          <w:jc w:val="center"/>
        </w:trPr>
        <w:tc>
          <w:tcPr>
            <w:tcW w:w="2106" w:type="dxa"/>
            <w:shd w:val="clear" w:color="auto" w:fill="auto"/>
            <w:vAlign w:val="center"/>
          </w:tcPr>
          <w:p>
            <w:pPr>
              <w:keepNext w:val="0"/>
              <w:keepLines w:val="0"/>
              <w:widowControl w:val="0"/>
              <w:suppressLineNumbers w:val="0"/>
              <w:spacing w:before="0" w:beforeAutospacing="0" w:after="0" w:afterAutospacing="0" w:line="20" w:lineRule="atLeast"/>
              <w:ind w:left="0" w:right="0"/>
              <w:jc w:val="left"/>
              <w:rPr>
                <w:rFonts w:hint="eastAsia" w:ascii="仿宋_GB2312" w:hAnsi="仿宋_GB2312" w:eastAsia="仿宋_GB2312" w:cs="仿宋_GB2312"/>
                <w:bCs/>
                <w:sz w:val="36"/>
                <w:szCs w:val="36"/>
                <w:lang w:val="en-US"/>
              </w:rPr>
            </w:pPr>
            <w:r>
              <w:rPr>
                <w:rFonts w:hint="eastAsia" w:ascii="仿宋_GB2312" w:hAnsi="仿宋_GB2312" w:eastAsia="仿宋_GB2312" w:cs="仿宋_GB2312"/>
                <w:bCs/>
                <w:kern w:val="2"/>
                <w:sz w:val="36"/>
                <w:szCs w:val="36"/>
                <w:lang w:val="en-US" w:eastAsia="zh-CN" w:bidi="ar"/>
              </w:rPr>
              <w:t>参赛队员：</w:t>
            </w:r>
          </w:p>
        </w:tc>
        <w:tc>
          <w:tcPr>
            <w:tcW w:w="6315" w:type="dxa"/>
            <w:tcBorders>
              <w:top w:val="single" w:color="auto" w:sz="12" w:space="0"/>
              <w:left w:val="nil"/>
              <w:bottom w:val="single" w:color="auto" w:sz="12" w:space="0"/>
              <w:right w:val="nil"/>
            </w:tcBorders>
            <w:shd w:val="clear" w:color="auto" w:fill="auto"/>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center"/>
              <w:rPr>
                <w:rFonts w:hint="default" w:ascii="宋体" w:hAnsi="宋体" w:eastAsia="宋体" w:cs="宋体"/>
                <w:bCs/>
                <w:sz w:val="36"/>
                <w:szCs w:val="36"/>
                <w:lang w:val="en-US"/>
              </w:rPr>
            </w:pPr>
            <w:r>
              <w:rPr>
                <w:rFonts w:hint="eastAsia" w:ascii="宋体" w:hAnsi="宋体" w:cs="宋体"/>
                <w:b w:val="0"/>
                <w:bCs w:val="0"/>
                <w:sz w:val="36"/>
                <w:szCs w:val="36"/>
                <w:lang w:val="en-US" w:eastAsia="zh-CN"/>
              </w:rPr>
              <w:t>蒋卓然</w:t>
            </w:r>
            <w:r>
              <w:rPr>
                <w:rFonts w:hint="eastAsia" w:ascii="宋体" w:hAnsi="宋体" w:eastAsia="宋体" w:cs="宋体"/>
                <w:b w:val="0"/>
                <w:bCs w:val="0"/>
                <w:sz w:val="36"/>
                <w:szCs w:val="36"/>
                <w:lang w:val="en-US" w:eastAsia="zh-CN"/>
              </w:rPr>
              <w:t xml:space="preserve"> </w:t>
            </w:r>
            <w:r>
              <w:rPr>
                <w:rFonts w:hint="eastAsia" w:ascii="宋体" w:hAnsi="宋体" w:cs="宋体"/>
                <w:b w:val="0"/>
                <w:bCs w:val="0"/>
                <w:sz w:val="36"/>
                <w:szCs w:val="36"/>
                <w:lang w:val="en-US" w:eastAsia="zh-CN"/>
              </w:rPr>
              <w:t>杨昊林</w:t>
            </w:r>
            <w:r>
              <w:rPr>
                <w:rFonts w:hint="eastAsia" w:ascii="宋体" w:hAnsi="宋体" w:eastAsia="宋体" w:cs="宋体"/>
                <w:b w:val="0"/>
                <w:bCs w:val="0"/>
                <w:sz w:val="36"/>
                <w:szCs w:val="36"/>
                <w:lang w:val="en-US" w:eastAsia="zh-CN"/>
              </w:rPr>
              <w:t xml:space="preserve"> </w:t>
            </w:r>
            <w:r>
              <w:rPr>
                <w:rFonts w:hint="eastAsia" w:ascii="宋体" w:hAnsi="宋体" w:cs="宋体"/>
                <w:b w:val="0"/>
                <w:bCs w:val="0"/>
                <w:sz w:val="36"/>
                <w:szCs w:val="36"/>
                <w:lang w:val="en-US" w:eastAsia="zh-CN"/>
              </w:rPr>
              <w:t>梁列升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5" w:hRule="atLeast"/>
          <w:jc w:val="center"/>
        </w:trPr>
        <w:tc>
          <w:tcPr>
            <w:tcW w:w="2106" w:type="dxa"/>
            <w:shd w:val="clear" w:color="auto" w:fill="auto"/>
            <w:vAlign w:val="center"/>
          </w:tcPr>
          <w:p>
            <w:pPr>
              <w:keepNext w:val="0"/>
              <w:keepLines w:val="0"/>
              <w:widowControl w:val="0"/>
              <w:suppressLineNumbers w:val="0"/>
              <w:spacing w:before="0" w:beforeAutospacing="0" w:after="0" w:afterAutospacing="0" w:line="20" w:lineRule="atLeast"/>
              <w:ind w:left="0" w:right="0"/>
              <w:jc w:val="left"/>
              <w:rPr>
                <w:rFonts w:hint="eastAsia" w:ascii="仿宋_GB2312" w:hAnsi="仿宋_GB2312" w:eastAsia="仿宋_GB2312" w:cs="仿宋_GB2312"/>
                <w:bCs/>
                <w:sz w:val="36"/>
                <w:szCs w:val="36"/>
                <w:lang w:val="en-US"/>
              </w:rPr>
            </w:pPr>
            <w:r>
              <w:rPr>
                <w:rFonts w:hint="eastAsia" w:ascii="仿宋_GB2312" w:hAnsi="仿宋_GB2312" w:eastAsia="仿宋_GB2312" w:cs="仿宋_GB2312"/>
                <w:bCs/>
                <w:kern w:val="2"/>
                <w:sz w:val="36"/>
                <w:szCs w:val="36"/>
                <w:lang w:val="en-US" w:eastAsia="zh-CN" w:bidi="ar"/>
              </w:rPr>
              <w:t>指导老师：</w:t>
            </w:r>
          </w:p>
        </w:tc>
        <w:tc>
          <w:tcPr>
            <w:tcW w:w="6315" w:type="dxa"/>
            <w:tcBorders>
              <w:top w:val="single" w:color="auto" w:sz="12" w:space="0"/>
              <w:left w:val="nil"/>
              <w:bottom w:val="single" w:color="auto" w:sz="12" w:space="0"/>
              <w:right w:val="nil"/>
            </w:tcBorders>
            <w:shd w:val="clear" w:color="auto" w:fill="auto"/>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center"/>
              <w:rPr>
                <w:rFonts w:hint="default" w:ascii="宋体" w:hAnsi="宋体" w:eastAsia="宋体" w:cs="宋体"/>
                <w:bCs/>
                <w:sz w:val="36"/>
                <w:szCs w:val="36"/>
                <w:lang w:val="en-US" w:eastAsia="zh-CN"/>
              </w:rPr>
            </w:pPr>
            <w:r>
              <w:rPr>
                <w:rFonts w:hint="eastAsia" w:ascii="宋体" w:hAnsi="宋体" w:cs="宋体"/>
                <w:bCs/>
                <w:sz w:val="36"/>
                <w:szCs w:val="36"/>
                <w:lang w:val="en-US" w:eastAsia="zh-CN"/>
              </w:rPr>
              <w:t>徐圣兵</w:t>
            </w:r>
          </w:p>
        </w:tc>
      </w:tr>
    </w:tbl>
    <w:p>
      <w:pPr>
        <w:rPr>
          <w:rFonts w:hint="eastAsia" w:ascii="Times New Roman" w:hAnsi="Times New Roman" w:eastAsia="方正小标宋简体" w:cs="方正小标宋简体"/>
          <w:b/>
          <w:bCs/>
          <w:sz w:val="36"/>
          <w:szCs w:val="36"/>
        </w:rPr>
      </w:pPr>
    </w:p>
    <w:p>
      <w:pPr>
        <w:pStyle w:val="2"/>
        <w:rPr>
          <w:rFonts w:hint="eastAsia"/>
        </w:rPr>
        <w:sectPr>
          <w:headerReference r:id="rId3" w:type="default"/>
          <w:footerReference r:id="rId4" w:type="default"/>
          <w:footnotePr>
            <w:numFmt w:val="decimalEnclosedCircleChinese"/>
            <w:numRestart w:val="eachPage"/>
          </w:footnotePr>
          <w:pgSz w:w="11906" w:h="16838"/>
          <w:pgMar w:top="1440" w:right="1797" w:bottom="1440" w:left="1797" w:header="851" w:footer="992" w:gutter="0"/>
          <w:pgBorders>
            <w:top w:val="single" w:color="auto" w:sz="4" w:space="1"/>
            <w:left w:val="none" w:sz="0" w:space="0"/>
            <w:bottom w:val="single" w:color="auto" w:sz="4" w:space="1"/>
            <w:right w:val="none" w:sz="0" w:space="0"/>
          </w:pgBorders>
          <w:pgNumType w:fmt="decimal" w:start="1"/>
          <w:cols w:space="425" w:num="1"/>
          <w:docGrid w:linePitch="312" w:charSpace="0"/>
        </w:sectPr>
      </w:pPr>
    </w:p>
    <w:p>
      <w:pPr>
        <w:pStyle w:val="3"/>
        <w:keepNext/>
        <w:keepLines/>
        <w:pageBreakBefore w:val="0"/>
        <w:widowControl w:val="0"/>
        <w:kinsoku/>
        <w:wordWrap/>
        <w:overflowPunct/>
        <w:topLinePunct w:val="0"/>
        <w:autoSpaceDE/>
        <w:autoSpaceDN/>
        <w:bidi w:val="0"/>
        <w:adjustRightInd/>
        <w:snapToGrid/>
        <w:spacing w:before="480" w:after="480" w:line="413" w:lineRule="auto"/>
        <w:jc w:val="center"/>
        <w:textAlignment w:val="auto"/>
        <w:outlineLvl w:val="0"/>
        <w:rPr>
          <w:rFonts w:hint="eastAsia" w:ascii="宋体" w:hAnsi="宋体" w:eastAsia="宋体" w:cs="宋体"/>
          <w:sz w:val="32"/>
          <w:szCs w:val="32"/>
          <w:lang w:val="en-US" w:eastAsia="zh-CN"/>
        </w:rPr>
      </w:pPr>
      <w:bookmarkStart w:id="0" w:name="_Toc23970"/>
      <w:bookmarkStart w:id="1" w:name="_Toc7060"/>
      <w:r>
        <w:rPr>
          <w:rFonts w:hint="eastAsia" w:ascii="宋体" w:hAnsi="宋体" w:eastAsia="宋体" w:cs="宋体"/>
          <w:sz w:val="32"/>
          <w:szCs w:val="32"/>
          <w:lang w:val="en-US" w:eastAsia="zh-CN"/>
        </w:rPr>
        <w:t>人人皆可成才，人人尽展其才</w:t>
      </w:r>
      <w:bookmarkEnd w:id="0"/>
    </w:p>
    <w:p>
      <w:pPr>
        <w:pStyle w:val="3"/>
        <w:keepNext/>
        <w:keepLines/>
        <w:pageBreakBefore w:val="0"/>
        <w:widowControl w:val="0"/>
        <w:kinsoku/>
        <w:wordWrap/>
        <w:overflowPunct/>
        <w:topLinePunct w:val="0"/>
        <w:autoSpaceDE/>
        <w:autoSpaceDN/>
        <w:bidi w:val="0"/>
        <w:adjustRightInd/>
        <w:snapToGrid/>
        <w:spacing w:before="480" w:after="480" w:line="413" w:lineRule="auto"/>
        <w:jc w:val="center"/>
        <w:textAlignment w:val="auto"/>
        <w:outlineLvl w:val="0"/>
        <w:rPr>
          <w:rFonts w:hint="eastAsia" w:ascii="宋体" w:hAnsi="宋体" w:eastAsia="宋体" w:cs="宋体"/>
          <w:sz w:val="32"/>
          <w:szCs w:val="32"/>
          <w:lang w:val="en-US" w:eastAsia="zh-CN"/>
        </w:rPr>
      </w:pPr>
      <w:bookmarkStart w:id="2" w:name="_Toc20998"/>
      <w:r>
        <w:rPr>
          <w:rFonts w:hint="eastAsia" w:ascii="宋体" w:hAnsi="宋体" w:eastAsia="宋体" w:cs="宋体"/>
          <w:sz w:val="32"/>
          <w:szCs w:val="32"/>
          <w:lang w:val="en-US" w:eastAsia="zh-CN"/>
        </w:rPr>
        <w:t>——中国式现代化背景下中职教育效率的统计度量与未来期望</w:t>
      </w:r>
      <w:bookmarkEnd w:id="2"/>
    </w:p>
    <w:p>
      <w:pPr>
        <w:pStyle w:val="3"/>
        <w:keepNext/>
        <w:keepLines/>
        <w:pageBreakBefore w:val="0"/>
        <w:widowControl w:val="0"/>
        <w:kinsoku/>
        <w:wordWrap/>
        <w:overflowPunct/>
        <w:topLinePunct w:val="0"/>
        <w:autoSpaceDE/>
        <w:autoSpaceDN/>
        <w:bidi w:val="0"/>
        <w:adjustRightInd/>
        <w:snapToGrid/>
        <w:spacing w:before="480" w:after="480" w:line="413" w:lineRule="auto"/>
        <w:jc w:val="center"/>
        <w:textAlignment w:val="auto"/>
        <w:outlineLvl w:val="0"/>
        <w:rPr>
          <w:rFonts w:hint="eastAsia" w:ascii="微软雅黑" w:hAnsi="微软雅黑" w:eastAsia="微软雅黑" w:cs="微软雅黑"/>
          <w:b/>
          <w:bCs/>
          <w:sz w:val="28"/>
          <w:szCs w:val="28"/>
          <w:lang w:val="en-US" w:eastAsia="zh-CN"/>
        </w:rPr>
      </w:pPr>
      <w:bookmarkStart w:id="3" w:name="_Toc6768"/>
      <w:r>
        <w:rPr>
          <w:rFonts w:hint="eastAsia"/>
          <w:sz w:val="28"/>
          <w:szCs w:val="28"/>
          <w:lang w:val="en-US" w:eastAsia="zh-CN"/>
        </w:rPr>
        <w:t>摘  要</w:t>
      </w:r>
      <w:bookmarkEnd w:id="1"/>
      <w:bookmarkEnd w:id="3"/>
    </w:p>
    <w:p>
      <w:pPr>
        <w:keepNext w:val="0"/>
        <w:keepLines w:val="0"/>
        <w:pageBreakBefore w:val="0"/>
        <w:widowControl w:val="0"/>
        <w:kinsoku/>
        <w:wordWrap/>
        <w:overflowPunct/>
        <w:topLinePunct w:val="0"/>
        <w:autoSpaceDE/>
        <w:autoSpaceDN/>
        <w:bidi w:val="0"/>
        <w:adjustRightInd/>
        <w:snapToGrid/>
        <w:spacing w:before="480" w:after="480"/>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国式现代化是中国共产党领导的社会主义现代化。既有各国现代化的共同特征，更有基于自己国情的中国特色。中国式现代化离不开中国式职业教育现代化，中国式职业教育现代化的进程不是一蹴而就的，多年来，中国政府多次颁布相关政策法规，强调大力发展职业教育。因为不同地区的资源分配不均，测度职业教育的投入产出效率便是一个非常有效的测度方法。作为我国职业教育体系中的重要组成部分，本文选择职业教育中职业高级中学作为研究主体，科学测度教育投入产出效率，对于推进职业高级中学发展具有很强的现实意义。</w:t>
      </w:r>
    </w:p>
    <w:p>
      <w:pPr>
        <w:keepNext w:val="0"/>
        <w:keepLines w:val="0"/>
        <w:pageBreakBefore w:val="0"/>
        <w:widowControl w:val="0"/>
        <w:kinsoku/>
        <w:wordWrap/>
        <w:overflowPunct/>
        <w:topLinePunct w:val="0"/>
        <w:autoSpaceDE/>
        <w:autoSpaceDN/>
        <w:bidi w:val="0"/>
        <w:adjustRightInd/>
        <w:snapToGrid/>
        <w:spacing w:before="480" w:after="480"/>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阅读大量关于研究职业教育、职业教育测度标准等文献进行分析比较，本文以教职工总数和生师比作为人力投入指标，教学科研仪器设备资产值和校舍建筑面积作为物力投入指标，一般公共预算教育事业费支出作为财力投入指标，在校生数量作为数量产出，毕业生中获得职业资格证书人数作为质量产出，建立了职业高中教育投入产出指标体系。通过搜集整理中华人民共和国教育部的教育统计数据以及教育经费执行公告，运用了DEA模型以及Malmquist模型，对2013- 2021 年职业高中教育投入产出效率进行了核算并进行了有效性分析，规模报酬分析以及Malmquist指数分析最终根据结果对未来的职业教育发展做出了建议以及展望。</w:t>
      </w:r>
    </w:p>
    <w:p>
      <w:pPr>
        <w:keepNext w:val="0"/>
        <w:keepLines w:val="0"/>
        <w:pageBreakBefore w:val="0"/>
        <w:widowControl w:val="0"/>
        <w:kinsoku/>
        <w:wordWrap/>
        <w:overflowPunct/>
        <w:topLinePunct w:val="0"/>
        <w:autoSpaceDE/>
        <w:autoSpaceDN/>
        <w:bidi w:val="0"/>
        <w:adjustRightInd/>
        <w:snapToGrid/>
        <w:spacing w:before="480" w:after="480"/>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研究结果表明：到了2018年以后，中国加快实现现代化的过程中，逐渐重视中职教育，优化中职教育领域的财政分配，加强中职教育的管理，让中职教育投入产出效率得到了提高，但我们国家不同省份之间还存在着差异，通过分析可以知道中西部一些省份的中职教育正在逐步完善，并且已经趋于最优形态。其中在2013-2015年期间，规模报酬系数增长最快，这是由于中国式现代化进程突然加快，国家政策的导向更加重视中职教育，使得中职教育的教育系统优化，效率有效性的提高。最终从全国来看，我国各个省份的技术效率基本保持稳定增长。但是技术进步速率则有差距，也就是说不同省份达到最优形态，实现效率有效性最优，规模报酬最大化的速率不一样。通过对Malmquist指数的查看可以得出全国大部分省市的全要素生产率有所提升，中职教育的规模报酬增大。总的来说，近年来中国的中职教育配套措施逐渐完善，各种资源都得到了有效利用，规模报酬达到了最优状态，这都离不开中国式现代化的各种措施。基于以上结论，论文提出了完善中职教育资金投入政策，重视中职学生的教学内容和质量 ，保证中职教师的人才培养，推动产学研结合，重视学生的职业规划等对未来的期望。</w:t>
      </w:r>
    </w:p>
    <w:p>
      <w:pPr>
        <w:keepNext w:val="0"/>
        <w:keepLines w:val="0"/>
        <w:pageBreakBefore w:val="0"/>
        <w:widowControl w:val="0"/>
        <w:kinsoku/>
        <w:wordWrap/>
        <w:overflowPunct/>
        <w:topLinePunct w:val="0"/>
        <w:autoSpaceDE/>
        <w:autoSpaceDN/>
        <w:bidi w:val="0"/>
        <w:adjustRightInd/>
        <w:snapToGrid/>
        <w:spacing w:before="480" w:after="48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关键词</w:t>
      </w:r>
      <w:r>
        <w:rPr>
          <w:rFonts w:hint="eastAsia" w:ascii="宋体" w:hAnsi="宋体" w:eastAsia="宋体" w:cs="宋体"/>
          <w:b w:val="0"/>
          <w:bCs w:val="0"/>
          <w:sz w:val="24"/>
          <w:szCs w:val="24"/>
          <w:lang w:val="en-US" w:eastAsia="zh-CN"/>
        </w:rPr>
        <w:t xml:space="preserve">：中国式现代化 中职教育 DEA模型 Malmquist指数模型 投入产出指标体系 </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br w:type="page"/>
      </w:r>
    </w:p>
    <w:sdt>
      <w:sdtPr>
        <w:rPr>
          <w:rFonts w:ascii="宋体" w:hAnsi="宋体" w:eastAsia="宋体" w:cstheme="minorBidi"/>
          <w:kern w:val="2"/>
          <w:sz w:val="21"/>
          <w:szCs w:val="24"/>
          <w:lang w:val="en-US" w:eastAsia="zh-CN" w:bidi="ar-SA"/>
        </w:rPr>
        <w:id w:val="147458560"/>
        <w15:color w:val="DBDBDB"/>
        <w:docPartObj>
          <w:docPartGallery w:val="Table of Contents"/>
          <w:docPartUnique/>
        </w:docPartObj>
      </w:sdtPr>
      <w:sdtEndPr>
        <w:rPr>
          <w:rFonts w:hint="eastAsia" w:ascii="微软雅黑" w:hAnsi="微软雅黑" w:eastAsia="微软雅黑" w:cs="宋体"/>
          <w:bCs w:val="0"/>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12"/>
            </w:tabs>
            <w:rPr>
              <w:rFonts w:cs="宋体"/>
              <w:szCs w:val="24"/>
            </w:rPr>
          </w:pPr>
          <w:r>
            <w:rPr>
              <w:rFonts w:hint="eastAsia" w:ascii="微软雅黑" w:hAnsi="微软雅黑" w:eastAsia="微软雅黑" w:cs="宋体"/>
              <w:b w:val="0"/>
              <w:bCs w:val="0"/>
              <w:sz w:val="24"/>
              <w:szCs w:val="24"/>
              <w:lang w:val="en-US" w:eastAsia="zh-CN"/>
            </w:rPr>
            <w:fldChar w:fldCharType="begin"/>
          </w:r>
          <w:r>
            <w:rPr>
              <w:rFonts w:hint="eastAsia" w:ascii="微软雅黑" w:hAnsi="微软雅黑" w:eastAsia="微软雅黑" w:cs="宋体"/>
              <w:b w:val="0"/>
              <w:bCs w:val="0"/>
              <w:sz w:val="24"/>
              <w:szCs w:val="24"/>
              <w:lang w:val="en-US" w:eastAsia="zh-CN"/>
            </w:rPr>
            <w:instrText xml:space="preserve">TOC \o "1-3" \h \u </w:instrText>
          </w:r>
          <w:r>
            <w:rPr>
              <w:rFonts w:hint="eastAsia" w:ascii="微软雅黑" w:hAnsi="微软雅黑" w:eastAsia="微软雅黑" w:cs="宋体"/>
              <w:b w:val="0"/>
              <w:bCs w:val="0"/>
              <w:sz w:val="24"/>
              <w:szCs w:val="24"/>
              <w:lang w:val="en-US" w:eastAsia="zh-CN"/>
            </w:rPr>
            <w:fldChar w:fldCharType="separate"/>
          </w: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_Toc23970 </w:instrText>
          </w:r>
          <w:r>
            <w:rPr>
              <w:rFonts w:hint="eastAsia" w:ascii="微软雅黑" w:hAnsi="微软雅黑" w:eastAsia="微软雅黑" w:cs="宋体"/>
              <w:bCs w:val="0"/>
              <w:szCs w:val="24"/>
              <w:lang w:val="en-US" w:eastAsia="zh-CN"/>
            </w:rPr>
            <w:fldChar w:fldCharType="separate"/>
          </w:r>
          <w:r>
            <w:rPr>
              <w:rFonts w:hint="eastAsia" w:ascii="微软雅黑" w:hAnsi="微软雅黑" w:eastAsia="微软雅黑" w:cs="宋体"/>
              <w:bCs w:val="0"/>
              <w:szCs w:val="24"/>
              <w:lang w:val="en-US" w:eastAsia="zh-CN"/>
            </w:rPr>
            <w:t>封  面</w:t>
          </w:r>
          <w:r>
            <w:rPr>
              <w:rFonts w:cs="宋体"/>
              <w:szCs w:val="24"/>
            </w:rPr>
            <w:tab/>
          </w:r>
          <w:r>
            <w:rPr>
              <w:rFonts w:hint="eastAsia" w:cs="宋体"/>
              <w:szCs w:val="24"/>
              <w:lang w:val="en-US" w:eastAsia="zh-CN"/>
            </w:rPr>
            <w:t>1</w:t>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_Toc20998 </w:instrText>
          </w:r>
          <w:r>
            <w:rPr>
              <w:rFonts w:hint="eastAsia" w:ascii="微软雅黑" w:hAnsi="微软雅黑" w:eastAsia="微软雅黑" w:cs="宋体"/>
              <w:bCs w:val="0"/>
              <w:szCs w:val="24"/>
              <w:lang w:val="en-US" w:eastAsia="zh-CN"/>
            </w:rPr>
            <w:fldChar w:fldCharType="separate"/>
          </w:r>
          <w:r>
            <w:rPr>
              <w:rFonts w:hint="eastAsia" w:ascii="微软雅黑" w:hAnsi="微软雅黑" w:eastAsia="微软雅黑" w:cs="宋体"/>
              <w:bCs w:val="0"/>
              <w:szCs w:val="24"/>
              <w:lang w:val="en-US" w:eastAsia="zh-CN"/>
            </w:rPr>
            <w:t>标  题</w:t>
          </w:r>
          <w:r>
            <w:rPr>
              <w:rFonts w:cs="宋体"/>
              <w:szCs w:val="24"/>
            </w:rPr>
            <w:tab/>
          </w:r>
          <w:r>
            <w:rPr>
              <w:rFonts w:cs="宋体"/>
              <w:szCs w:val="24"/>
            </w:rPr>
            <w:fldChar w:fldCharType="begin"/>
          </w:r>
          <w:r>
            <w:rPr>
              <w:rFonts w:cs="宋体"/>
              <w:szCs w:val="24"/>
            </w:rPr>
            <w:instrText xml:space="preserve"> PAGEREF _Toc20998 \h </w:instrText>
          </w:r>
          <w:r>
            <w:rPr>
              <w:rFonts w:cs="宋体"/>
              <w:szCs w:val="24"/>
            </w:rPr>
            <w:fldChar w:fldCharType="separate"/>
          </w:r>
          <w:r>
            <w:rPr>
              <w:rFonts w:cs="宋体"/>
              <w:szCs w:val="24"/>
            </w:rPr>
            <w:t>2</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_Toc6768 </w:instrText>
          </w:r>
          <w:r>
            <w:rPr>
              <w:rFonts w:hint="eastAsia" w:ascii="微软雅黑" w:hAnsi="微软雅黑" w:eastAsia="微软雅黑" w:cs="宋体"/>
              <w:bCs w:val="0"/>
              <w:szCs w:val="24"/>
              <w:lang w:val="en-US" w:eastAsia="zh-CN"/>
            </w:rPr>
            <w:fldChar w:fldCharType="separate"/>
          </w:r>
          <w:r>
            <w:rPr>
              <w:rFonts w:hint="eastAsia" w:cs="宋体"/>
              <w:szCs w:val="24"/>
              <w:lang w:val="en-US" w:eastAsia="zh-CN"/>
            </w:rPr>
            <w:t>摘  要</w:t>
          </w:r>
          <w:r>
            <w:rPr>
              <w:rFonts w:cs="宋体"/>
              <w:szCs w:val="24"/>
            </w:rPr>
            <w:tab/>
          </w:r>
          <w:r>
            <w:rPr>
              <w:rFonts w:cs="宋体"/>
              <w:szCs w:val="24"/>
            </w:rPr>
            <w:fldChar w:fldCharType="begin"/>
          </w:r>
          <w:r>
            <w:rPr>
              <w:rFonts w:cs="宋体"/>
              <w:szCs w:val="24"/>
            </w:rPr>
            <w:instrText xml:space="preserve"> PAGEREF _Toc6768 \h </w:instrText>
          </w:r>
          <w:r>
            <w:rPr>
              <w:rFonts w:cs="宋体"/>
              <w:szCs w:val="24"/>
            </w:rPr>
            <w:fldChar w:fldCharType="separate"/>
          </w:r>
          <w:r>
            <w:rPr>
              <w:rFonts w:cs="宋体"/>
              <w:szCs w:val="24"/>
            </w:rPr>
            <w:t>2</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_Toc29089 </w:instrText>
          </w:r>
          <w:r>
            <w:rPr>
              <w:rFonts w:hint="eastAsia" w:ascii="微软雅黑" w:hAnsi="微软雅黑" w:eastAsia="微软雅黑" w:cs="宋体"/>
              <w:bCs w:val="0"/>
              <w:szCs w:val="24"/>
              <w:lang w:val="en-US" w:eastAsia="zh-CN"/>
            </w:rPr>
            <w:fldChar w:fldCharType="separate"/>
          </w:r>
          <w:r>
            <w:rPr>
              <w:rFonts w:hint="eastAsia" w:cs="宋体"/>
              <w:szCs w:val="24"/>
              <w:lang w:val="en-US" w:eastAsia="zh-CN"/>
            </w:rPr>
            <w:t>表格和插图清单</w:t>
          </w:r>
          <w:r>
            <w:rPr>
              <w:rFonts w:cs="宋体"/>
              <w:szCs w:val="24"/>
            </w:rPr>
            <w:tab/>
          </w:r>
          <w:r>
            <w:rPr>
              <w:rFonts w:cs="宋体"/>
              <w:szCs w:val="24"/>
            </w:rPr>
            <w:fldChar w:fldCharType="begin"/>
          </w:r>
          <w:r>
            <w:rPr>
              <w:rFonts w:cs="宋体"/>
              <w:szCs w:val="24"/>
            </w:rPr>
            <w:instrText xml:space="preserve"> PAGEREF _Toc29089 \h </w:instrText>
          </w:r>
          <w:r>
            <w:rPr>
              <w:rFonts w:cs="宋体"/>
              <w:szCs w:val="24"/>
            </w:rPr>
            <w:fldChar w:fldCharType="separate"/>
          </w:r>
          <w:r>
            <w:rPr>
              <w:rFonts w:cs="宋体"/>
              <w:szCs w:val="24"/>
            </w:rPr>
            <w:t>6</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_Toc10954 </w:instrText>
          </w:r>
          <w:r>
            <w:rPr>
              <w:rFonts w:hint="eastAsia" w:ascii="微软雅黑" w:hAnsi="微软雅黑" w:eastAsia="微软雅黑" w:cs="宋体"/>
              <w:bCs w:val="0"/>
              <w:szCs w:val="24"/>
              <w:lang w:val="en-US" w:eastAsia="zh-CN"/>
            </w:rPr>
            <w:fldChar w:fldCharType="separate"/>
          </w:r>
          <w:r>
            <w:rPr>
              <w:rFonts w:hint="eastAsia" w:ascii="Arial" w:hAnsi="Arial" w:eastAsia="黑体" w:cs="宋体"/>
              <w:kern w:val="2"/>
              <w:szCs w:val="24"/>
              <w:lang w:val="en-US" w:eastAsia="zh-CN" w:bidi="ar-SA"/>
            </w:rPr>
            <w:t>第一章</w:t>
          </w:r>
          <w:r>
            <w:rPr>
              <w:rFonts w:hint="eastAsia" w:cs="宋体"/>
              <w:kern w:val="2"/>
              <w:szCs w:val="24"/>
              <w:lang w:val="en-US" w:eastAsia="zh-CN" w:bidi="ar-SA"/>
            </w:rPr>
            <w:t xml:space="preserve"> </w:t>
          </w:r>
          <w:r>
            <w:rPr>
              <w:rFonts w:hint="eastAsia" w:cs="宋体"/>
              <w:szCs w:val="24"/>
              <w:lang w:val="en-US" w:eastAsia="zh-CN"/>
            </w:rPr>
            <w:t>绪论</w:t>
          </w:r>
          <w:r>
            <w:rPr>
              <w:rFonts w:cs="宋体"/>
              <w:szCs w:val="24"/>
            </w:rPr>
            <w:tab/>
          </w:r>
          <w:r>
            <w:rPr>
              <w:rFonts w:cs="宋体"/>
              <w:szCs w:val="24"/>
            </w:rPr>
            <w:fldChar w:fldCharType="begin"/>
          </w:r>
          <w:r>
            <w:rPr>
              <w:rFonts w:cs="宋体"/>
              <w:szCs w:val="24"/>
            </w:rPr>
            <w:instrText xml:space="preserve"> PAGEREF _Toc10954 \h </w:instrText>
          </w:r>
          <w:r>
            <w:rPr>
              <w:rFonts w:cs="宋体"/>
              <w:szCs w:val="24"/>
            </w:rPr>
            <w:fldChar w:fldCharType="separate"/>
          </w:r>
          <w:r>
            <w:rPr>
              <w:rFonts w:cs="宋体"/>
              <w:szCs w:val="24"/>
            </w:rPr>
            <w:t>7</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_Toc3158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1.1研究背景及意义</w:t>
          </w:r>
          <w:r>
            <w:rPr>
              <w:rFonts w:cs="宋体"/>
              <w:szCs w:val="24"/>
            </w:rPr>
            <w:tab/>
          </w:r>
          <w:r>
            <w:rPr>
              <w:rFonts w:cs="宋体"/>
              <w:szCs w:val="24"/>
            </w:rPr>
            <w:fldChar w:fldCharType="begin"/>
          </w:r>
          <w:r>
            <w:rPr>
              <w:rFonts w:cs="宋体"/>
              <w:szCs w:val="24"/>
            </w:rPr>
            <w:instrText xml:space="preserve"> PAGEREF _Toc3158 \h </w:instrText>
          </w:r>
          <w:r>
            <w:rPr>
              <w:rFonts w:cs="宋体"/>
              <w:szCs w:val="24"/>
            </w:rPr>
            <w:fldChar w:fldCharType="separate"/>
          </w:r>
          <w:r>
            <w:rPr>
              <w:rFonts w:cs="宋体"/>
              <w:szCs w:val="24"/>
            </w:rPr>
            <w:t>7</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_Toc11782 </w:instrText>
          </w:r>
          <w:r>
            <w:rPr>
              <w:rFonts w:hint="eastAsia" w:ascii="微软雅黑" w:hAnsi="微软雅黑" w:eastAsia="微软雅黑" w:cs="宋体"/>
              <w:bCs w:val="0"/>
              <w:szCs w:val="24"/>
              <w:lang w:val="en-US" w:eastAsia="zh-CN"/>
            </w:rPr>
            <w:fldChar w:fldCharType="separate"/>
          </w:r>
          <w:r>
            <w:rPr>
              <w:rFonts w:hint="eastAsia" w:ascii="Arial" w:hAnsi="Arial" w:eastAsia="黑体" w:cs="宋体"/>
              <w:kern w:val="2"/>
              <w:szCs w:val="24"/>
              <w:lang w:val="en-US" w:eastAsia="zh-CN" w:bidi="ar-SA"/>
            </w:rPr>
            <w:t>第二章</w:t>
          </w:r>
          <w:r>
            <w:rPr>
              <w:rFonts w:hint="eastAsia" w:cs="宋体"/>
              <w:kern w:val="2"/>
              <w:szCs w:val="24"/>
              <w:lang w:val="en-US" w:eastAsia="zh-CN" w:bidi="ar-SA"/>
            </w:rPr>
            <w:t xml:space="preserve"> </w:t>
          </w:r>
          <w:r>
            <w:rPr>
              <w:rFonts w:hint="eastAsia" w:cs="宋体"/>
              <w:szCs w:val="24"/>
              <w:lang w:val="en-US" w:eastAsia="zh-CN"/>
            </w:rPr>
            <w:t>相关概念的阐述</w:t>
          </w:r>
          <w:r>
            <w:rPr>
              <w:rFonts w:cs="宋体"/>
              <w:szCs w:val="24"/>
            </w:rPr>
            <w:tab/>
          </w:r>
          <w:r>
            <w:rPr>
              <w:rFonts w:cs="宋体"/>
              <w:szCs w:val="24"/>
            </w:rPr>
            <w:fldChar w:fldCharType="begin"/>
          </w:r>
          <w:r>
            <w:rPr>
              <w:rFonts w:cs="宋体"/>
              <w:szCs w:val="24"/>
            </w:rPr>
            <w:instrText xml:space="preserve"> PAGEREF _Toc11782 \h </w:instrText>
          </w:r>
          <w:r>
            <w:rPr>
              <w:rFonts w:cs="宋体"/>
              <w:szCs w:val="24"/>
            </w:rPr>
            <w:fldChar w:fldCharType="separate"/>
          </w:r>
          <w:r>
            <w:rPr>
              <w:rFonts w:cs="宋体"/>
              <w:szCs w:val="24"/>
            </w:rPr>
            <w:t>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_Toc30633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2.1中等职业教育</w:t>
          </w:r>
          <w:r>
            <w:rPr>
              <w:rFonts w:cs="宋体"/>
              <w:szCs w:val="24"/>
            </w:rPr>
            <w:tab/>
          </w:r>
          <w:r>
            <w:rPr>
              <w:rFonts w:cs="宋体"/>
              <w:szCs w:val="24"/>
            </w:rPr>
            <w:fldChar w:fldCharType="begin"/>
          </w:r>
          <w:r>
            <w:rPr>
              <w:rFonts w:cs="宋体"/>
              <w:szCs w:val="24"/>
            </w:rPr>
            <w:instrText xml:space="preserve"> PAGEREF _Toc30633 \h </w:instrText>
          </w:r>
          <w:r>
            <w:rPr>
              <w:rFonts w:cs="宋体"/>
              <w:szCs w:val="24"/>
            </w:rPr>
            <w:fldChar w:fldCharType="separate"/>
          </w:r>
          <w:r>
            <w:rPr>
              <w:rFonts w:cs="宋体"/>
              <w:szCs w:val="24"/>
            </w:rPr>
            <w:t>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_Toc18842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2.2教育效率</w:t>
          </w:r>
          <w:r>
            <w:rPr>
              <w:rFonts w:cs="宋体"/>
              <w:szCs w:val="24"/>
            </w:rPr>
            <w:tab/>
          </w:r>
          <w:r>
            <w:rPr>
              <w:rFonts w:cs="宋体"/>
              <w:szCs w:val="24"/>
            </w:rPr>
            <w:fldChar w:fldCharType="begin"/>
          </w:r>
          <w:r>
            <w:rPr>
              <w:rFonts w:cs="宋体"/>
              <w:szCs w:val="24"/>
            </w:rPr>
            <w:instrText xml:space="preserve"> PAGEREF _Toc18842 \h </w:instrText>
          </w:r>
          <w:r>
            <w:rPr>
              <w:rFonts w:cs="宋体"/>
              <w:szCs w:val="24"/>
            </w:rPr>
            <w:fldChar w:fldCharType="separate"/>
          </w:r>
          <w:r>
            <w:rPr>
              <w:rFonts w:cs="宋体"/>
              <w:szCs w:val="24"/>
            </w:rPr>
            <w:t>9</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_Toc22121 </w:instrText>
          </w:r>
          <w:r>
            <w:rPr>
              <w:rFonts w:hint="eastAsia" w:ascii="微软雅黑" w:hAnsi="微软雅黑" w:eastAsia="微软雅黑" w:cs="宋体"/>
              <w:bCs w:val="0"/>
              <w:szCs w:val="24"/>
              <w:lang w:val="en-US" w:eastAsia="zh-CN"/>
            </w:rPr>
            <w:fldChar w:fldCharType="separate"/>
          </w:r>
          <w:r>
            <w:rPr>
              <w:rFonts w:hint="eastAsia" w:ascii="Arial" w:hAnsi="Arial" w:eastAsia="黑体" w:cs="宋体"/>
              <w:bCs/>
              <w:kern w:val="2"/>
              <w:szCs w:val="24"/>
              <w:lang w:val="en-US" w:eastAsia="zh-CN" w:bidi="ar-SA"/>
            </w:rPr>
            <w:t>第</w:t>
          </w:r>
          <w:r>
            <w:rPr>
              <w:rFonts w:hint="eastAsia" w:cs="宋体"/>
              <w:bCs/>
              <w:kern w:val="2"/>
              <w:szCs w:val="24"/>
              <w:lang w:val="en-US" w:eastAsia="zh-CN" w:bidi="ar-SA"/>
            </w:rPr>
            <w:t>三</w:t>
          </w:r>
          <w:r>
            <w:rPr>
              <w:rFonts w:hint="eastAsia" w:ascii="Arial" w:hAnsi="Arial" w:eastAsia="黑体" w:cs="宋体"/>
              <w:bCs/>
              <w:kern w:val="2"/>
              <w:szCs w:val="24"/>
              <w:lang w:val="en-US" w:eastAsia="zh-CN" w:bidi="ar-SA"/>
            </w:rPr>
            <w:t>章</w:t>
          </w:r>
          <w:r>
            <w:rPr>
              <w:rFonts w:hint="eastAsia" w:cs="宋体"/>
              <w:bCs/>
              <w:kern w:val="2"/>
              <w:szCs w:val="24"/>
              <w:lang w:val="en-US" w:eastAsia="zh-CN" w:bidi="ar-SA"/>
            </w:rPr>
            <w:t xml:space="preserve"> 教育评价指标</w:t>
          </w:r>
          <w:r>
            <w:rPr>
              <w:rFonts w:hint="eastAsia" w:cs="宋体"/>
              <w:bCs/>
              <w:szCs w:val="24"/>
              <w:lang w:val="en-US" w:eastAsia="zh-CN"/>
            </w:rPr>
            <w:t>构成及影响因素</w:t>
          </w:r>
          <w:r>
            <w:rPr>
              <w:rFonts w:cs="宋体"/>
              <w:szCs w:val="24"/>
            </w:rPr>
            <w:tab/>
          </w:r>
          <w:r>
            <w:rPr>
              <w:rFonts w:cs="宋体"/>
              <w:szCs w:val="24"/>
            </w:rPr>
            <w:fldChar w:fldCharType="begin"/>
          </w:r>
          <w:r>
            <w:rPr>
              <w:rFonts w:cs="宋体"/>
              <w:szCs w:val="24"/>
            </w:rPr>
            <w:instrText xml:space="preserve"> PAGEREF _Toc22121 \h </w:instrText>
          </w:r>
          <w:r>
            <w:rPr>
              <w:rFonts w:cs="宋体"/>
              <w:szCs w:val="24"/>
            </w:rPr>
            <w:fldChar w:fldCharType="separate"/>
          </w:r>
          <w:r>
            <w:rPr>
              <w:rFonts w:cs="宋体"/>
              <w:szCs w:val="24"/>
            </w:rPr>
            <w:t>9</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_Toc14984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3.1教育评价指标的构成</w:t>
          </w:r>
          <w:r>
            <w:rPr>
              <w:rFonts w:cs="宋体"/>
              <w:szCs w:val="24"/>
            </w:rPr>
            <w:tab/>
          </w:r>
          <w:r>
            <w:rPr>
              <w:rFonts w:cs="宋体"/>
              <w:szCs w:val="24"/>
            </w:rPr>
            <w:fldChar w:fldCharType="begin"/>
          </w:r>
          <w:r>
            <w:rPr>
              <w:rFonts w:cs="宋体"/>
              <w:szCs w:val="24"/>
            </w:rPr>
            <w:instrText xml:space="preserve"> PAGEREF _Toc14984 \h </w:instrText>
          </w:r>
          <w:r>
            <w:rPr>
              <w:rFonts w:cs="宋体"/>
              <w:szCs w:val="24"/>
            </w:rPr>
            <w:fldChar w:fldCharType="separate"/>
          </w:r>
          <w:r>
            <w:rPr>
              <w:rFonts w:cs="宋体"/>
              <w:szCs w:val="24"/>
            </w:rPr>
            <w:t>9</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_Toc30523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3.2教育评价指标的影响因素</w:t>
          </w:r>
          <w:r>
            <w:rPr>
              <w:rFonts w:cs="宋体"/>
              <w:szCs w:val="24"/>
            </w:rPr>
            <w:tab/>
          </w:r>
          <w:r>
            <w:rPr>
              <w:rFonts w:cs="宋体"/>
              <w:szCs w:val="24"/>
            </w:rPr>
            <w:fldChar w:fldCharType="begin"/>
          </w:r>
          <w:r>
            <w:rPr>
              <w:rFonts w:cs="宋体"/>
              <w:szCs w:val="24"/>
            </w:rPr>
            <w:instrText xml:space="preserve"> PAGEREF _Toc30523 \h </w:instrText>
          </w:r>
          <w:r>
            <w:rPr>
              <w:rFonts w:cs="宋体"/>
              <w:szCs w:val="24"/>
            </w:rPr>
            <w:fldChar w:fldCharType="separate"/>
          </w:r>
          <w:r>
            <w:rPr>
              <w:rFonts w:cs="宋体"/>
              <w:szCs w:val="24"/>
            </w:rPr>
            <w:t>10</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_Toc11231 </w:instrText>
          </w:r>
          <w:r>
            <w:rPr>
              <w:rFonts w:hint="eastAsia" w:ascii="微软雅黑" w:hAnsi="微软雅黑" w:eastAsia="微软雅黑" w:cs="宋体"/>
              <w:bCs w:val="0"/>
              <w:szCs w:val="24"/>
              <w:lang w:val="en-US" w:eastAsia="zh-CN"/>
            </w:rPr>
            <w:fldChar w:fldCharType="separate"/>
          </w:r>
          <w:r>
            <w:rPr>
              <w:rFonts w:hint="eastAsia" w:ascii="Arial" w:hAnsi="Arial" w:eastAsia="黑体" w:cs="宋体"/>
              <w:kern w:val="2"/>
              <w:szCs w:val="24"/>
              <w:lang w:val="en-US" w:eastAsia="zh-CN" w:bidi="ar-SA"/>
            </w:rPr>
            <w:t>第</w:t>
          </w:r>
          <w:r>
            <w:rPr>
              <w:rFonts w:hint="eastAsia" w:cs="宋体"/>
              <w:kern w:val="2"/>
              <w:szCs w:val="24"/>
              <w:lang w:val="en-US" w:eastAsia="zh-CN" w:bidi="ar-SA"/>
            </w:rPr>
            <w:t>四</w:t>
          </w:r>
          <w:r>
            <w:rPr>
              <w:rFonts w:hint="eastAsia" w:ascii="Arial" w:hAnsi="Arial" w:eastAsia="黑体" w:cs="宋体"/>
              <w:kern w:val="2"/>
              <w:szCs w:val="24"/>
              <w:lang w:val="en-US" w:eastAsia="zh-CN" w:bidi="ar-SA"/>
            </w:rPr>
            <w:t>章</w:t>
          </w:r>
          <w:r>
            <w:rPr>
              <w:rFonts w:hint="eastAsia" w:cs="宋体"/>
              <w:kern w:val="2"/>
              <w:szCs w:val="24"/>
              <w:lang w:val="en-US" w:eastAsia="zh-CN" w:bidi="ar-SA"/>
            </w:rPr>
            <w:t xml:space="preserve"> </w:t>
          </w:r>
          <w:r>
            <w:rPr>
              <w:rFonts w:hint="eastAsia" w:cs="宋体"/>
              <w:szCs w:val="24"/>
              <w:lang w:val="en-US" w:eastAsia="zh-CN"/>
            </w:rPr>
            <w:t>职业高中的教育现状分析</w:t>
          </w:r>
          <w:r>
            <w:rPr>
              <w:rFonts w:cs="宋体"/>
              <w:szCs w:val="24"/>
            </w:rPr>
            <w:tab/>
          </w:r>
          <w:r>
            <w:rPr>
              <w:rFonts w:cs="宋体"/>
              <w:szCs w:val="24"/>
            </w:rPr>
            <w:fldChar w:fldCharType="begin"/>
          </w:r>
          <w:r>
            <w:rPr>
              <w:rFonts w:cs="宋体"/>
              <w:szCs w:val="24"/>
            </w:rPr>
            <w:instrText xml:space="preserve"> PAGEREF _Toc11231 \h </w:instrText>
          </w:r>
          <w:r>
            <w:rPr>
              <w:rFonts w:cs="宋体"/>
              <w:szCs w:val="24"/>
            </w:rPr>
            <w:fldChar w:fldCharType="separate"/>
          </w:r>
          <w:r>
            <w:rPr>
              <w:rFonts w:cs="宋体"/>
              <w:szCs w:val="24"/>
            </w:rPr>
            <w:t>10</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_Toc7145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4.1职业高中教育投入现状</w:t>
          </w:r>
          <w:r>
            <w:rPr>
              <w:rFonts w:cs="宋体"/>
              <w:szCs w:val="24"/>
            </w:rPr>
            <w:tab/>
          </w:r>
          <w:r>
            <w:rPr>
              <w:rFonts w:cs="宋体"/>
              <w:szCs w:val="24"/>
            </w:rPr>
            <w:fldChar w:fldCharType="begin"/>
          </w:r>
          <w:r>
            <w:rPr>
              <w:rFonts w:cs="宋体"/>
              <w:szCs w:val="24"/>
            </w:rPr>
            <w:instrText xml:space="preserve"> PAGEREF _Toc7145 \h </w:instrText>
          </w:r>
          <w:r>
            <w:rPr>
              <w:rFonts w:cs="宋体"/>
              <w:szCs w:val="24"/>
            </w:rPr>
            <w:fldChar w:fldCharType="separate"/>
          </w:r>
          <w:r>
            <w:rPr>
              <w:rFonts w:cs="宋体"/>
              <w:szCs w:val="24"/>
            </w:rPr>
            <w:t>11</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_Toc30553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4.2职业高中教育产出现状</w:t>
          </w:r>
          <w:r>
            <w:rPr>
              <w:rFonts w:cs="宋体"/>
              <w:szCs w:val="24"/>
            </w:rPr>
            <w:tab/>
          </w:r>
          <w:r>
            <w:rPr>
              <w:rFonts w:cs="宋体"/>
              <w:szCs w:val="24"/>
            </w:rPr>
            <w:fldChar w:fldCharType="begin"/>
          </w:r>
          <w:r>
            <w:rPr>
              <w:rFonts w:cs="宋体"/>
              <w:szCs w:val="24"/>
            </w:rPr>
            <w:instrText xml:space="preserve"> PAGEREF _Toc30553 \h </w:instrText>
          </w:r>
          <w:r>
            <w:rPr>
              <w:rFonts w:cs="宋体"/>
              <w:szCs w:val="24"/>
            </w:rPr>
            <w:fldChar w:fldCharType="separate"/>
          </w:r>
          <w:r>
            <w:rPr>
              <w:rFonts w:cs="宋体"/>
              <w:szCs w:val="24"/>
            </w:rPr>
            <w:t>12</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_Toc8723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4.3职业高中教育投入产出现状综合分析</w:t>
          </w:r>
          <w:r>
            <w:rPr>
              <w:rFonts w:cs="宋体"/>
              <w:szCs w:val="24"/>
            </w:rPr>
            <w:tab/>
          </w:r>
          <w:r>
            <w:rPr>
              <w:rFonts w:cs="宋体"/>
              <w:szCs w:val="24"/>
            </w:rPr>
            <w:fldChar w:fldCharType="begin"/>
          </w:r>
          <w:r>
            <w:rPr>
              <w:rFonts w:cs="宋体"/>
              <w:szCs w:val="24"/>
            </w:rPr>
            <w:instrText xml:space="preserve"> PAGEREF _Toc8723 \h </w:instrText>
          </w:r>
          <w:r>
            <w:rPr>
              <w:rFonts w:cs="宋体"/>
              <w:szCs w:val="24"/>
            </w:rPr>
            <w:fldChar w:fldCharType="separate"/>
          </w:r>
          <w:r>
            <w:rPr>
              <w:rFonts w:cs="宋体"/>
              <w:szCs w:val="24"/>
            </w:rPr>
            <w:t>12</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_Toc27570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4.4各省中职教育近三年的关键评价指标统计</w:t>
          </w:r>
          <w:r>
            <w:rPr>
              <w:rFonts w:cs="宋体"/>
              <w:szCs w:val="24"/>
            </w:rPr>
            <w:tab/>
          </w:r>
          <w:r>
            <w:rPr>
              <w:rFonts w:cs="宋体"/>
              <w:szCs w:val="24"/>
            </w:rPr>
            <w:fldChar w:fldCharType="begin"/>
          </w:r>
          <w:r>
            <w:rPr>
              <w:rFonts w:cs="宋体"/>
              <w:szCs w:val="24"/>
            </w:rPr>
            <w:instrText xml:space="preserve"> PAGEREF _Toc27570 \h </w:instrText>
          </w:r>
          <w:r>
            <w:rPr>
              <w:rFonts w:cs="宋体"/>
              <w:szCs w:val="24"/>
            </w:rPr>
            <w:fldChar w:fldCharType="separate"/>
          </w:r>
          <w:r>
            <w:rPr>
              <w:rFonts w:cs="宋体"/>
              <w:szCs w:val="24"/>
            </w:rPr>
            <w:t>14</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0"/>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_Toc28316 </w:instrText>
          </w:r>
          <w:r>
            <w:rPr>
              <w:rFonts w:hint="eastAsia" w:ascii="微软雅黑" w:hAnsi="微软雅黑" w:eastAsia="微软雅黑" w:cs="宋体"/>
              <w:bCs w:val="0"/>
              <w:szCs w:val="24"/>
              <w:lang w:val="en-US" w:eastAsia="zh-CN"/>
            </w:rPr>
            <w:fldChar w:fldCharType="separate"/>
          </w:r>
          <w:r>
            <w:rPr>
              <w:rFonts w:hint="eastAsia" w:ascii="黑体" w:hAnsi="黑体" w:eastAsia="黑体" w:cs="宋体"/>
              <w:bCs/>
              <w:kern w:val="0"/>
              <w:szCs w:val="24"/>
              <w:lang w:val="en-US" w:eastAsia="zh-CN" w:bidi="ar"/>
            </w:rPr>
            <w:t>第五章 职业高中教育投入产出效率测度与分析</w:t>
          </w:r>
          <w:r>
            <w:rPr>
              <w:rFonts w:cs="宋体"/>
              <w:szCs w:val="24"/>
            </w:rPr>
            <w:tab/>
          </w:r>
          <w:r>
            <w:rPr>
              <w:rFonts w:cs="宋体"/>
              <w:szCs w:val="24"/>
            </w:rPr>
            <w:fldChar w:fldCharType="begin"/>
          </w:r>
          <w:r>
            <w:rPr>
              <w:rFonts w:cs="宋体"/>
              <w:szCs w:val="24"/>
            </w:rPr>
            <w:instrText xml:space="preserve"> PAGEREF _Toc28316 \h </w:instrText>
          </w:r>
          <w:r>
            <w:rPr>
              <w:rFonts w:cs="宋体"/>
              <w:szCs w:val="24"/>
            </w:rPr>
            <w:fldChar w:fldCharType="separate"/>
          </w:r>
          <w:r>
            <w:rPr>
              <w:rFonts w:cs="宋体"/>
              <w:szCs w:val="24"/>
            </w:rPr>
            <w:t>16</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_Toc20217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bCs w:val="0"/>
              <w:kern w:val="0"/>
              <w:szCs w:val="24"/>
              <w:lang w:val="en-US" w:eastAsia="zh-CN" w:bidi="ar"/>
            </w:rPr>
            <w:t>5.1 职业高中教育投入产出效率模型的建立</w:t>
          </w:r>
          <w:r>
            <w:rPr>
              <w:rFonts w:cs="宋体"/>
              <w:szCs w:val="24"/>
            </w:rPr>
            <w:tab/>
          </w:r>
          <w:r>
            <w:rPr>
              <w:rFonts w:cs="宋体"/>
              <w:szCs w:val="24"/>
            </w:rPr>
            <w:fldChar w:fldCharType="begin"/>
          </w:r>
          <w:r>
            <w:rPr>
              <w:rFonts w:cs="宋体"/>
              <w:szCs w:val="24"/>
            </w:rPr>
            <w:instrText xml:space="preserve"> PAGEREF _Toc20217 \h </w:instrText>
          </w:r>
          <w:r>
            <w:rPr>
              <w:rFonts w:cs="宋体"/>
              <w:szCs w:val="24"/>
            </w:rPr>
            <w:fldChar w:fldCharType="separate"/>
          </w:r>
          <w:r>
            <w:rPr>
              <w:rFonts w:cs="宋体"/>
              <w:szCs w:val="24"/>
            </w:rPr>
            <w:t>16</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_Toc6469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5.1.1 DEA模型</w:t>
          </w:r>
          <w:r>
            <w:rPr>
              <w:rFonts w:cs="宋体"/>
              <w:szCs w:val="24"/>
            </w:rPr>
            <w:tab/>
          </w:r>
          <w:r>
            <w:rPr>
              <w:rFonts w:cs="宋体"/>
              <w:szCs w:val="24"/>
            </w:rPr>
            <w:fldChar w:fldCharType="begin"/>
          </w:r>
          <w:r>
            <w:rPr>
              <w:rFonts w:cs="宋体"/>
              <w:szCs w:val="24"/>
            </w:rPr>
            <w:instrText xml:space="preserve"> PAGEREF _Toc6469 \h </w:instrText>
          </w:r>
          <w:r>
            <w:rPr>
              <w:rFonts w:cs="宋体"/>
              <w:szCs w:val="24"/>
            </w:rPr>
            <w:fldChar w:fldCharType="separate"/>
          </w:r>
          <w:r>
            <w:rPr>
              <w:rFonts w:cs="宋体"/>
              <w:szCs w:val="24"/>
            </w:rPr>
            <w:t>16</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_Toc17449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5.1.2 Malmquist指数模型</w:t>
          </w:r>
          <w:r>
            <w:rPr>
              <w:rFonts w:cs="宋体"/>
              <w:szCs w:val="24"/>
            </w:rPr>
            <w:tab/>
          </w:r>
          <w:r>
            <w:rPr>
              <w:rFonts w:cs="宋体"/>
              <w:szCs w:val="24"/>
            </w:rPr>
            <w:fldChar w:fldCharType="begin"/>
          </w:r>
          <w:r>
            <w:rPr>
              <w:rFonts w:cs="宋体"/>
              <w:szCs w:val="24"/>
            </w:rPr>
            <w:instrText xml:space="preserve"> PAGEREF _Toc17449 \h </w:instrText>
          </w:r>
          <w:r>
            <w:rPr>
              <w:rFonts w:cs="宋体"/>
              <w:szCs w:val="24"/>
            </w:rPr>
            <w:fldChar w:fldCharType="separate"/>
          </w:r>
          <w:r>
            <w:rPr>
              <w:rFonts w:cs="宋体"/>
              <w:szCs w:val="24"/>
            </w:rPr>
            <w:t>17</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_Toc593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5.1.3模型选取原因</w:t>
          </w:r>
          <w:r>
            <w:rPr>
              <w:rFonts w:cs="宋体"/>
              <w:szCs w:val="24"/>
            </w:rPr>
            <w:tab/>
          </w:r>
          <w:r>
            <w:rPr>
              <w:rFonts w:cs="宋体"/>
              <w:szCs w:val="24"/>
            </w:rPr>
            <w:fldChar w:fldCharType="begin"/>
          </w:r>
          <w:r>
            <w:rPr>
              <w:rFonts w:cs="宋体"/>
              <w:szCs w:val="24"/>
            </w:rPr>
            <w:instrText xml:space="preserve"> PAGEREF _Toc593 \h </w:instrText>
          </w:r>
          <w:r>
            <w:rPr>
              <w:rFonts w:cs="宋体"/>
              <w:szCs w:val="24"/>
            </w:rPr>
            <w:fldChar w:fldCharType="separate"/>
          </w:r>
          <w:r>
            <w:rPr>
              <w:rFonts w:cs="宋体"/>
              <w:szCs w:val="24"/>
            </w:rPr>
            <w:t>18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_Toc14029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bCs w:val="0"/>
              <w:kern w:val="0"/>
              <w:szCs w:val="24"/>
              <w:lang w:val="en-US" w:eastAsia="zh-CN" w:bidi="ar"/>
            </w:rPr>
            <w:t>5.2 职业高中教育效率测度指标体系设计</w:t>
          </w:r>
          <w:r>
            <w:rPr>
              <w:rFonts w:cs="宋体"/>
              <w:szCs w:val="24"/>
            </w:rPr>
            <w:tab/>
          </w:r>
          <w:r>
            <w:rPr>
              <w:rFonts w:cs="宋体"/>
              <w:szCs w:val="24"/>
            </w:rPr>
            <w:fldChar w:fldCharType="begin"/>
          </w:r>
          <w:r>
            <w:rPr>
              <w:rFonts w:cs="宋体"/>
              <w:szCs w:val="24"/>
            </w:rPr>
            <w:instrText xml:space="preserve"> PAGEREF _Toc14029 \h </w:instrText>
          </w:r>
          <w:r>
            <w:rPr>
              <w:rFonts w:cs="宋体"/>
              <w:szCs w:val="24"/>
            </w:rPr>
            <w:fldChar w:fldCharType="separate"/>
          </w:r>
          <w:r>
            <w:rPr>
              <w:rFonts w:cs="宋体"/>
              <w:szCs w:val="24"/>
            </w:rPr>
            <w:t>18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_Toc2606 </w:instrText>
          </w:r>
          <w:r>
            <w:rPr>
              <w:rFonts w:hint="eastAsia" w:ascii="微软雅黑" w:hAnsi="微软雅黑" w:eastAsia="微软雅黑" w:cs="宋体"/>
              <w:bCs w:val="0"/>
              <w:szCs w:val="24"/>
              <w:lang w:val="en-US" w:eastAsia="zh-CN"/>
            </w:rPr>
            <w:fldChar w:fldCharType="separate"/>
          </w:r>
          <w:r>
            <w:rPr>
              <w:rFonts w:hint="eastAsia" w:cs="宋体" w:asciiTheme="minorEastAsia" w:hAnsiTheme="minorEastAsia"/>
              <w:bCs/>
              <w:kern w:val="0"/>
              <w:szCs w:val="24"/>
              <w:lang w:val="en-US" w:eastAsia="zh-CN" w:bidi="ar"/>
            </w:rPr>
            <w:t>5</w:t>
          </w:r>
          <w:r>
            <w:rPr>
              <w:rFonts w:hint="eastAsia" w:cs="宋体" w:asciiTheme="minorEastAsia" w:hAnsiTheme="minorEastAsia" w:eastAsiaTheme="minorEastAsia"/>
              <w:bCs/>
              <w:kern w:val="0"/>
              <w:szCs w:val="24"/>
              <w:lang w:val="en-US" w:eastAsia="zh-CN" w:bidi="ar"/>
            </w:rPr>
            <w:t>.2.1指标体系设计的目标：</w:t>
          </w:r>
          <w:r>
            <w:rPr>
              <w:rFonts w:cs="宋体"/>
              <w:szCs w:val="24"/>
            </w:rPr>
            <w:tab/>
          </w:r>
          <w:r>
            <w:rPr>
              <w:rFonts w:cs="宋体"/>
              <w:szCs w:val="24"/>
            </w:rPr>
            <w:fldChar w:fldCharType="begin"/>
          </w:r>
          <w:r>
            <w:rPr>
              <w:rFonts w:cs="宋体"/>
              <w:szCs w:val="24"/>
            </w:rPr>
            <w:instrText xml:space="preserve"> PAGEREF _Toc2606 \h </w:instrText>
          </w:r>
          <w:r>
            <w:rPr>
              <w:rFonts w:cs="宋体"/>
              <w:szCs w:val="24"/>
            </w:rPr>
            <w:fldChar w:fldCharType="separate"/>
          </w:r>
          <w:r>
            <w:rPr>
              <w:rFonts w:cs="宋体"/>
              <w:szCs w:val="24"/>
            </w:rPr>
            <w:t>18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_Toc17531 </w:instrText>
          </w:r>
          <w:r>
            <w:rPr>
              <w:rFonts w:hint="eastAsia" w:ascii="微软雅黑" w:hAnsi="微软雅黑" w:eastAsia="微软雅黑" w:cs="宋体"/>
              <w:bCs w:val="0"/>
              <w:szCs w:val="24"/>
              <w:lang w:val="en-US" w:eastAsia="zh-CN"/>
            </w:rPr>
            <w:fldChar w:fldCharType="separate"/>
          </w:r>
          <w:r>
            <w:rPr>
              <w:rFonts w:hint="eastAsia" w:cs="宋体" w:asciiTheme="minorEastAsia" w:hAnsiTheme="minorEastAsia"/>
              <w:bCs/>
              <w:kern w:val="0"/>
              <w:szCs w:val="24"/>
              <w:lang w:val="en-US" w:eastAsia="zh-CN" w:bidi="ar"/>
            </w:rPr>
            <w:t>5</w:t>
          </w:r>
          <w:r>
            <w:rPr>
              <w:rFonts w:hint="eastAsia" w:cs="宋体" w:asciiTheme="minorEastAsia" w:hAnsiTheme="minorEastAsia" w:eastAsiaTheme="minorEastAsia"/>
              <w:bCs/>
              <w:kern w:val="0"/>
              <w:szCs w:val="24"/>
              <w:lang w:val="en-US" w:eastAsia="zh-CN" w:bidi="ar"/>
            </w:rPr>
            <w:t>.2.2指标体系设计的原则：</w:t>
          </w:r>
          <w:r>
            <w:rPr>
              <w:rFonts w:cs="宋体"/>
              <w:szCs w:val="24"/>
            </w:rPr>
            <w:tab/>
          </w:r>
          <w:r>
            <w:rPr>
              <w:rFonts w:cs="宋体"/>
              <w:szCs w:val="24"/>
            </w:rPr>
            <w:fldChar w:fldCharType="begin"/>
          </w:r>
          <w:r>
            <w:rPr>
              <w:rFonts w:cs="宋体"/>
              <w:szCs w:val="24"/>
            </w:rPr>
            <w:instrText xml:space="preserve"> PAGEREF _Toc17531 \h </w:instrText>
          </w:r>
          <w:r>
            <w:rPr>
              <w:rFonts w:cs="宋体"/>
              <w:szCs w:val="24"/>
            </w:rPr>
            <w:fldChar w:fldCharType="separate"/>
          </w:r>
          <w:r>
            <w:rPr>
              <w:rFonts w:cs="宋体"/>
              <w:szCs w:val="24"/>
            </w:rPr>
            <w:t>19</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_Toc9074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5.2.3 评价指标体系的构成：</w:t>
          </w:r>
          <w:r>
            <w:rPr>
              <w:rFonts w:cs="宋体"/>
              <w:szCs w:val="24"/>
            </w:rPr>
            <w:tab/>
          </w:r>
          <w:r>
            <w:rPr>
              <w:rFonts w:cs="宋体"/>
              <w:szCs w:val="24"/>
            </w:rPr>
            <w:fldChar w:fldCharType="begin"/>
          </w:r>
          <w:r>
            <w:rPr>
              <w:rFonts w:cs="宋体"/>
              <w:szCs w:val="24"/>
            </w:rPr>
            <w:instrText xml:space="preserve"> PAGEREF _Toc9074 \h </w:instrText>
          </w:r>
          <w:r>
            <w:rPr>
              <w:rFonts w:cs="宋体"/>
              <w:szCs w:val="24"/>
            </w:rPr>
            <w:fldChar w:fldCharType="separate"/>
          </w:r>
          <w:r>
            <w:rPr>
              <w:rFonts w:cs="宋体"/>
              <w:szCs w:val="24"/>
            </w:rPr>
            <w:t>19</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_Toc7015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szCs w:val="24"/>
              <w:lang w:val="en-US" w:eastAsia="zh-CN"/>
            </w:rPr>
            <w:t>5.3  职业高中教育投入产出效率模型的结果及分析</w:t>
          </w:r>
          <w:r>
            <w:rPr>
              <w:rFonts w:cs="宋体"/>
              <w:szCs w:val="24"/>
            </w:rPr>
            <w:tab/>
          </w:r>
          <w:r>
            <w:rPr>
              <w:rFonts w:cs="宋体"/>
              <w:szCs w:val="24"/>
            </w:rPr>
            <w:fldChar w:fldCharType="begin"/>
          </w:r>
          <w:r>
            <w:rPr>
              <w:rFonts w:cs="宋体"/>
              <w:szCs w:val="24"/>
            </w:rPr>
            <w:instrText xml:space="preserve"> PAGEREF _Toc7015 \h </w:instrText>
          </w:r>
          <w:r>
            <w:rPr>
              <w:rFonts w:cs="宋体"/>
              <w:szCs w:val="24"/>
            </w:rPr>
            <w:fldChar w:fldCharType="separate"/>
          </w:r>
          <w:r>
            <w:rPr>
              <w:rFonts w:cs="宋体"/>
              <w:szCs w:val="24"/>
            </w:rPr>
            <w:t>20</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_Toc31147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szCs w:val="24"/>
              <w:lang w:val="en-US" w:eastAsia="zh-CN"/>
            </w:rPr>
            <w:t>5.3.1 数据来源及处理</w:t>
          </w:r>
          <w:r>
            <w:rPr>
              <w:rFonts w:cs="宋体"/>
              <w:szCs w:val="24"/>
            </w:rPr>
            <w:tab/>
          </w:r>
          <w:r>
            <w:rPr>
              <w:rFonts w:cs="宋体"/>
              <w:szCs w:val="24"/>
            </w:rPr>
            <w:fldChar w:fldCharType="begin"/>
          </w:r>
          <w:r>
            <w:rPr>
              <w:rFonts w:cs="宋体"/>
              <w:szCs w:val="24"/>
            </w:rPr>
            <w:instrText xml:space="preserve"> PAGEREF _Toc31147 \h </w:instrText>
          </w:r>
          <w:r>
            <w:rPr>
              <w:rFonts w:cs="宋体"/>
              <w:szCs w:val="24"/>
            </w:rPr>
            <w:fldChar w:fldCharType="separate"/>
          </w:r>
          <w:r>
            <w:rPr>
              <w:rFonts w:cs="宋体"/>
              <w:szCs w:val="24"/>
            </w:rPr>
            <w:t>20</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_Toc15973 </w:instrText>
          </w:r>
          <w:r>
            <w:rPr>
              <w:rFonts w:hint="eastAsia" w:ascii="微软雅黑" w:hAnsi="微软雅黑" w:eastAsia="微软雅黑" w:cs="宋体"/>
              <w:bCs w:val="0"/>
              <w:szCs w:val="24"/>
              <w:lang w:val="en-US" w:eastAsia="zh-CN"/>
            </w:rPr>
            <w:fldChar w:fldCharType="separate"/>
          </w:r>
          <w:r>
            <w:rPr>
              <w:rFonts w:hint="eastAsia" w:cs="宋体" w:asciiTheme="minorEastAsia" w:hAnsiTheme="minorEastAsia"/>
              <w:bCs/>
              <w:szCs w:val="24"/>
              <w:lang w:val="en-US" w:eastAsia="zh-CN"/>
            </w:rPr>
            <w:t>5</w:t>
          </w:r>
          <w:r>
            <w:rPr>
              <w:rFonts w:hint="eastAsia" w:cs="宋体" w:asciiTheme="minorEastAsia" w:hAnsiTheme="minorEastAsia" w:eastAsiaTheme="minorEastAsia"/>
              <w:bCs/>
              <w:szCs w:val="24"/>
              <w:lang w:val="en-US" w:eastAsia="zh-CN"/>
            </w:rPr>
            <w:t>.3.2 职高教育效率有效性分析</w:t>
          </w:r>
          <w:r>
            <w:rPr>
              <w:rFonts w:cs="宋体"/>
              <w:szCs w:val="24"/>
            </w:rPr>
            <w:tab/>
          </w:r>
          <w:r>
            <w:rPr>
              <w:rFonts w:cs="宋体"/>
              <w:szCs w:val="24"/>
            </w:rPr>
            <w:fldChar w:fldCharType="begin"/>
          </w:r>
          <w:r>
            <w:rPr>
              <w:rFonts w:cs="宋体"/>
              <w:szCs w:val="24"/>
            </w:rPr>
            <w:instrText xml:space="preserve"> PAGEREF _Toc15973 \h </w:instrText>
          </w:r>
          <w:r>
            <w:rPr>
              <w:rFonts w:cs="宋体"/>
              <w:szCs w:val="24"/>
            </w:rPr>
            <w:fldChar w:fldCharType="separate"/>
          </w:r>
          <w:r>
            <w:rPr>
              <w:rFonts w:cs="宋体"/>
              <w:szCs w:val="24"/>
            </w:rPr>
            <w:t>21</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_Toc31705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5</w:t>
          </w:r>
          <w:r>
            <w:rPr>
              <w:rFonts w:hint="default" w:ascii="宋体" w:hAnsi="宋体" w:eastAsia="宋体" w:cs="宋体"/>
              <w:bCs/>
              <w:kern w:val="0"/>
              <w:szCs w:val="24"/>
              <w:lang w:val="en-US" w:eastAsia="zh-CN" w:bidi="ar"/>
            </w:rPr>
            <w:t>.3.3 职高教育效率规模报酬分析</w:t>
          </w:r>
          <w:r>
            <w:rPr>
              <w:rFonts w:cs="宋体"/>
              <w:szCs w:val="24"/>
            </w:rPr>
            <w:tab/>
          </w:r>
          <w:r>
            <w:rPr>
              <w:rFonts w:cs="宋体"/>
              <w:szCs w:val="24"/>
            </w:rPr>
            <w:fldChar w:fldCharType="begin"/>
          </w:r>
          <w:r>
            <w:rPr>
              <w:rFonts w:cs="宋体"/>
              <w:szCs w:val="24"/>
            </w:rPr>
            <w:instrText xml:space="preserve"> PAGEREF _Toc31705 \h </w:instrText>
          </w:r>
          <w:r>
            <w:rPr>
              <w:rFonts w:cs="宋体"/>
              <w:szCs w:val="24"/>
            </w:rPr>
            <w:fldChar w:fldCharType="separate"/>
          </w:r>
          <w:r>
            <w:rPr>
              <w:rFonts w:cs="宋体"/>
              <w:szCs w:val="24"/>
            </w:rPr>
            <w:t>24</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_Toc25096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szCs w:val="24"/>
              <w:lang w:val="en-US" w:eastAsia="zh-CN"/>
            </w:rPr>
            <w:t>5</w:t>
          </w:r>
          <w:r>
            <w:rPr>
              <w:rFonts w:hint="eastAsia" w:ascii="宋体" w:hAnsi="宋体" w:eastAsia="宋体" w:cs="宋体"/>
              <w:bCs/>
              <w:szCs w:val="24"/>
            </w:rPr>
            <w:t>.3.4 职高教育效率Malmquist指数分析</w:t>
          </w:r>
          <w:r>
            <w:rPr>
              <w:rFonts w:cs="宋体"/>
              <w:szCs w:val="24"/>
            </w:rPr>
            <w:tab/>
          </w:r>
          <w:r>
            <w:rPr>
              <w:rFonts w:cs="宋体"/>
              <w:szCs w:val="24"/>
            </w:rPr>
            <w:fldChar w:fldCharType="begin"/>
          </w:r>
          <w:r>
            <w:rPr>
              <w:rFonts w:cs="宋体"/>
              <w:szCs w:val="24"/>
            </w:rPr>
            <w:instrText xml:space="preserve"> PAGEREF _Toc25096 \h </w:instrText>
          </w:r>
          <w:r>
            <w:rPr>
              <w:rFonts w:cs="宋体"/>
              <w:szCs w:val="24"/>
            </w:rPr>
            <w:fldChar w:fldCharType="separate"/>
          </w:r>
          <w:r>
            <w:rPr>
              <w:rFonts w:cs="宋体"/>
              <w:szCs w:val="24"/>
            </w:rPr>
            <w:t>25</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0"/>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_Toc20360 </w:instrText>
          </w:r>
          <w:r>
            <w:rPr>
              <w:rFonts w:hint="eastAsia" w:ascii="微软雅黑" w:hAnsi="微软雅黑" w:eastAsia="微软雅黑" w:cs="宋体"/>
              <w:bCs w:val="0"/>
              <w:szCs w:val="24"/>
              <w:lang w:val="en-US" w:eastAsia="zh-CN"/>
            </w:rPr>
            <w:fldChar w:fldCharType="separate"/>
          </w:r>
          <w:r>
            <w:rPr>
              <w:rFonts w:hint="eastAsia" w:ascii="黑体" w:hAnsi="黑体" w:eastAsia="黑体" w:cs="宋体"/>
              <w:bCs/>
              <w:kern w:val="0"/>
              <w:szCs w:val="24"/>
              <w:lang w:val="en-US" w:eastAsia="zh-CN" w:bidi="ar"/>
            </w:rPr>
            <w:t>第六章 研究结论与对策建议</w:t>
          </w:r>
          <w:r>
            <w:rPr>
              <w:rFonts w:cs="宋体"/>
              <w:szCs w:val="24"/>
            </w:rPr>
            <w:tab/>
          </w:r>
          <w:r>
            <w:rPr>
              <w:rFonts w:cs="宋体"/>
              <w:szCs w:val="24"/>
            </w:rPr>
            <w:fldChar w:fldCharType="begin"/>
          </w:r>
          <w:r>
            <w:rPr>
              <w:rFonts w:cs="宋体"/>
              <w:szCs w:val="24"/>
            </w:rPr>
            <w:instrText xml:space="preserve"> PAGEREF _Toc20360 \h </w:instrText>
          </w:r>
          <w:r>
            <w:rPr>
              <w:rFonts w:cs="宋体"/>
              <w:szCs w:val="24"/>
            </w:rPr>
            <w:fldChar w:fldCharType="separate"/>
          </w:r>
          <w:r>
            <w:rPr>
              <w:rFonts w:cs="宋体"/>
              <w:szCs w:val="24"/>
            </w:rPr>
            <w:t>26</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_Toc29644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kern w:val="0"/>
              <w:szCs w:val="24"/>
              <w:lang w:val="en-US" w:eastAsia="zh-CN" w:bidi="ar"/>
            </w:rPr>
            <w:t>6.1研究结论</w:t>
          </w:r>
          <w:r>
            <w:rPr>
              <w:rFonts w:cs="宋体"/>
              <w:szCs w:val="24"/>
            </w:rPr>
            <w:tab/>
          </w:r>
          <w:r>
            <w:rPr>
              <w:rFonts w:cs="宋体"/>
              <w:szCs w:val="24"/>
            </w:rPr>
            <w:fldChar w:fldCharType="begin"/>
          </w:r>
          <w:r>
            <w:rPr>
              <w:rFonts w:cs="宋体"/>
              <w:szCs w:val="24"/>
            </w:rPr>
            <w:instrText xml:space="preserve"> PAGEREF _Toc29644 \h </w:instrText>
          </w:r>
          <w:r>
            <w:rPr>
              <w:rFonts w:cs="宋体"/>
              <w:szCs w:val="24"/>
            </w:rPr>
            <w:fldChar w:fldCharType="separate"/>
          </w:r>
          <w:r>
            <w:rPr>
              <w:rFonts w:cs="宋体"/>
              <w:szCs w:val="24"/>
            </w:rPr>
            <w:t>26</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_Toc6628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kern w:val="0"/>
              <w:szCs w:val="24"/>
              <w:lang w:val="en-US" w:eastAsia="zh-CN" w:bidi="ar"/>
            </w:rPr>
            <w:t>6.2 未来展望</w:t>
          </w:r>
          <w:r>
            <w:rPr>
              <w:rFonts w:cs="宋体"/>
              <w:szCs w:val="24"/>
            </w:rPr>
            <w:tab/>
          </w:r>
          <w:r>
            <w:rPr>
              <w:rFonts w:cs="宋体"/>
              <w:szCs w:val="24"/>
            </w:rPr>
            <w:fldChar w:fldCharType="begin"/>
          </w:r>
          <w:r>
            <w:rPr>
              <w:rFonts w:cs="宋体"/>
              <w:szCs w:val="24"/>
            </w:rPr>
            <w:instrText xml:space="preserve"> PAGEREF _Toc6628 \h </w:instrText>
          </w:r>
          <w:r>
            <w:rPr>
              <w:rFonts w:cs="宋体"/>
              <w:szCs w:val="24"/>
            </w:rPr>
            <w:fldChar w:fldCharType="separate"/>
          </w:r>
          <w:r>
            <w:rPr>
              <w:rFonts w:cs="宋体"/>
              <w:szCs w:val="24"/>
            </w:rPr>
            <w:t>27</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_Toc9059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6</w:t>
          </w:r>
          <w:r>
            <w:rPr>
              <w:rFonts w:hint="default" w:ascii="宋体" w:hAnsi="宋体" w:eastAsia="宋体" w:cs="宋体"/>
              <w:bCs/>
              <w:kern w:val="0"/>
              <w:szCs w:val="24"/>
              <w:lang w:val="en-US" w:eastAsia="zh-CN" w:bidi="ar"/>
            </w:rPr>
            <w:t>.2.1完善中职教育资金投入政策</w:t>
          </w:r>
          <w:r>
            <w:rPr>
              <w:rFonts w:cs="宋体"/>
              <w:szCs w:val="24"/>
            </w:rPr>
            <w:tab/>
          </w:r>
          <w:r>
            <w:rPr>
              <w:rFonts w:cs="宋体"/>
              <w:szCs w:val="24"/>
            </w:rPr>
            <w:fldChar w:fldCharType="begin"/>
          </w:r>
          <w:r>
            <w:rPr>
              <w:rFonts w:cs="宋体"/>
              <w:szCs w:val="24"/>
            </w:rPr>
            <w:instrText xml:space="preserve"> PAGEREF _Toc9059 \h </w:instrText>
          </w:r>
          <w:r>
            <w:rPr>
              <w:rFonts w:cs="宋体"/>
              <w:szCs w:val="24"/>
            </w:rPr>
            <w:fldChar w:fldCharType="separate"/>
          </w:r>
          <w:r>
            <w:rPr>
              <w:rFonts w:cs="宋体"/>
              <w:szCs w:val="24"/>
            </w:rPr>
            <w:t>27</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_Toc13884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6</w:t>
          </w:r>
          <w:r>
            <w:rPr>
              <w:rFonts w:hint="default" w:ascii="宋体" w:hAnsi="宋体" w:eastAsia="宋体" w:cs="宋体"/>
              <w:bCs/>
              <w:kern w:val="0"/>
              <w:szCs w:val="24"/>
              <w:lang w:val="en-US" w:eastAsia="zh-CN" w:bidi="ar"/>
            </w:rPr>
            <w:t>.2.2重视中职学生的教学内容和质量</w:t>
          </w:r>
          <w:r>
            <w:rPr>
              <w:rFonts w:cs="宋体"/>
              <w:szCs w:val="24"/>
            </w:rPr>
            <w:tab/>
          </w:r>
          <w:r>
            <w:rPr>
              <w:rFonts w:cs="宋体"/>
              <w:szCs w:val="24"/>
            </w:rPr>
            <w:fldChar w:fldCharType="begin"/>
          </w:r>
          <w:r>
            <w:rPr>
              <w:rFonts w:cs="宋体"/>
              <w:szCs w:val="24"/>
            </w:rPr>
            <w:instrText xml:space="preserve"> PAGEREF _Toc13884 \h </w:instrText>
          </w:r>
          <w:r>
            <w:rPr>
              <w:rFonts w:cs="宋体"/>
              <w:szCs w:val="24"/>
            </w:rPr>
            <w:fldChar w:fldCharType="separate"/>
          </w:r>
          <w:r>
            <w:rPr>
              <w:rFonts w:cs="宋体"/>
              <w:szCs w:val="24"/>
            </w:rPr>
            <w:t>28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_Toc18339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6</w:t>
          </w:r>
          <w:r>
            <w:rPr>
              <w:rFonts w:hint="default" w:ascii="宋体" w:hAnsi="宋体" w:eastAsia="宋体" w:cs="宋体"/>
              <w:bCs/>
              <w:kern w:val="0"/>
              <w:szCs w:val="24"/>
              <w:lang w:val="en-US" w:eastAsia="zh-CN" w:bidi="ar"/>
            </w:rPr>
            <w:t>.2.3保证中职教师的人才培养</w:t>
          </w:r>
          <w:r>
            <w:rPr>
              <w:rFonts w:cs="宋体"/>
              <w:szCs w:val="24"/>
            </w:rPr>
            <w:tab/>
          </w:r>
          <w:r>
            <w:rPr>
              <w:rFonts w:cs="宋体"/>
              <w:szCs w:val="24"/>
            </w:rPr>
            <w:fldChar w:fldCharType="begin"/>
          </w:r>
          <w:r>
            <w:rPr>
              <w:rFonts w:cs="宋体"/>
              <w:szCs w:val="24"/>
            </w:rPr>
            <w:instrText xml:space="preserve"> PAGEREF _Toc18339 \h </w:instrText>
          </w:r>
          <w:r>
            <w:rPr>
              <w:rFonts w:cs="宋体"/>
              <w:szCs w:val="24"/>
            </w:rPr>
            <w:fldChar w:fldCharType="separate"/>
          </w:r>
          <w:r>
            <w:rPr>
              <w:rFonts w:cs="宋体"/>
              <w:szCs w:val="24"/>
            </w:rPr>
            <w:t>28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_Toc28108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6</w:t>
          </w:r>
          <w:r>
            <w:rPr>
              <w:rFonts w:hint="default" w:ascii="宋体" w:hAnsi="宋体" w:eastAsia="宋体" w:cs="宋体"/>
              <w:bCs/>
              <w:kern w:val="0"/>
              <w:szCs w:val="24"/>
              <w:lang w:val="en-US" w:eastAsia="zh-CN" w:bidi="ar"/>
            </w:rPr>
            <w:t>.2.4推动产学研结合</w:t>
          </w:r>
          <w:r>
            <w:rPr>
              <w:rFonts w:cs="宋体"/>
              <w:szCs w:val="24"/>
            </w:rPr>
            <w:tab/>
          </w:r>
          <w:r>
            <w:rPr>
              <w:rFonts w:cs="宋体"/>
              <w:szCs w:val="24"/>
            </w:rPr>
            <w:fldChar w:fldCharType="begin"/>
          </w:r>
          <w:r>
            <w:rPr>
              <w:rFonts w:cs="宋体"/>
              <w:szCs w:val="24"/>
            </w:rPr>
            <w:instrText xml:space="preserve"> PAGEREF _Toc28108 \h </w:instrText>
          </w:r>
          <w:r>
            <w:rPr>
              <w:rFonts w:cs="宋体"/>
              <w:szCs w:val="24"/>
            </w:rPr>
            <w:fldChar w:fldCharType="separate"/>
          </w:r>
          <w:r>
            <w:rPr>
              <w:rFonts w:cs="宋体"/>
              <w:szCs w:val="24"/>
            </w:rPr>
            <w:t>28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_Toc932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6</w:t>
          </w:r>
          <w:r>
            <w:rPr>
              <w:rFonts w:hint="default" w:ascii="宋体" w:hAnsi="宋体" w:eastAsia="宋体" w:cs="宋体"/>
              <w:bCs/>
              <w:kern w:val="0"/>
              <w:szCs w:val="24"/>
              <w:lang w:val="en-US" w:eastAsia="zh-CN" w:bidi="ar"/>
            </w:rPr>
            <w:t>.2.5重视学生的职业规划</w:t>
          </w:r>
          <w:r>
            <w:rPr>
              <w:rFonts w:cs="宋体"/>
              <w:szCs w:val="24"/>
            </w:rPr>
            <w:tab/>
          </w:r>
          <w:r>
            <w:rPr>
              <w:rFonts w:cs="宋体"/>
              <w:szCs w:val="24"/>
            </w:rPr>
            <w:fldChar w:fldCharType="begin"/>
          </w:r>
          <w:r>
            <w:rPr>
              <w:rFonts w:cs="宋体"/>
              <w:szCs w:val="24"/>
            </w:rPr>
            <w:instrText xml:space="preserve"> PAGEREF _Toc932 \h </w:instrText>
          </w:r>
          <w:r>
            <w:rPr>
              <w:rFonts w:cs="宋体"/>
              <w:szCs w:val="24"/>
            </w:rPr>
            <w:fldChar w:fldCharType="separate"/>
          </w:r>
          <w:r>
            <w:rPr>
              <w:rFonts w:cs="宋体"/>
              <w:szCs w:val="24"/>
            </w:rPr>
            <w:t>28</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0"/>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_Toc8915 </w:instrText>
          </w:r>
          <w:r>
            <w:rPr>
              <w:rFonts w:hint="eastAsia" w:ascii="微软雅黑" w:hAnsi="微软雅黑" w:eastAsia="微软雅黑" w:cs="宋体"/>
              <w:bCs w:val="0"/>
              <w:szCs w:val="24"/>
              <w:lang w:val="en-US" w:eastAsia="zh-CN"/>
            </w:rPr>
            <w:fldChar w:fldCharType="separate"/>
          </w:r>
          <w:r>
            <w:rPr>
              <w:rFonts w:hint="eastAsia" w:ascii="黑体" w:hAnsi="黑体" w:eastAsia="黑体" w:cs="宋体"/>
              <w:bCs/>
              <w:kern w:val="0"/>
              <w:szCs w:val="24"/>
              <w:lang w:val="en-US" w:eastAsia="zh-CN" w:bidi="ar"/>
            </w:rPr>
            <w:t>第七章 模型的不足与改进</w:t>
          </w:r>
          <w:r>
            <w:rPr>
              <w:rFonts w:cs="宋体"/>
              <w:szCs w:val="24"/>
            </w:rPr>
            <w:tab/>
          </w:r>
          <w:r>
            <w:rPr>
              <w:rFonts w:cs="宋体"/>
              <w:szCs w:val="24"/>
            </w:rPr>
            <w:fldChar w:fldCharType="begin"/>
          </w:r>
          <w:r>
            <w:rPr>
              <w:rFonts w:cs="宋体"/>
              <w:szCs w:val="24"/>
            </w:rPr>
            <w:instrText xml:space="preserve"> PAGEREF _Toc8915 \h </w:instrText>
          </w:r>
          <w:r>
            <w:rPr>
              <w:rFonts w:cs="宋体"/>
              <w:szCs w:val="24"/>
            </w:rPr>
            <w:fldChar w:fldCharType="separate"/>
          </w:r>
          <w:r>
            <w:rPr>
              <w:rFonts w:cs="宋体"/>
              <w:szCs w:val="24"/>
            </w:rPr>
            <w:t>29</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_Toc30223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bCs w:val="0"/>
              <w:kern w:val="0"/>
              <w:szCs w:val="24"/>
              <w:lang w:val="en-US" w:eastAsia="zh-CN" w:bidi="ar"/>
            </w:rPr>
            <w:t>7.1不足点</w:t>
          </w:r>
          <w:r>
            <w:rPr>
              <w:rFonts w:cs="宋体"/>
              <w:szCs w:val="24"/>
            </w:rPr>
            <w:tab/>
          </w:r>
          <w:r>
            <w:rPr>
              <w:rFonts w:cs="宋体"/>
              <w:szCs w:val="24"/>
            </w:rPr>
            <w:fldChar w:fldCharType="begin"/>
          </w:r>
          <w:r>
            <w:rPr>
              <w:rFonts w:cs="宋体"/>
              <w:szCs w:val="24"/>
            </w:rPr>
            <w:instrText xml:space="preserve"> PAGEREF _Toc30223 \h </w:instrText>
          </w:r>
          <w:r>
            <w:rPr>
              <w:rFonts w:cs="宋体"/>
              <w:szCs w:val="24"/>
            </w:rPr>
            <w:fldChar w:fldCharType="separate"/>
          </w:r>
          <w:r>
            <w:rPr>
              <w:rFonts w:cs="宋体"/>
              <w:szCs w:val="24"/>
            </w:rPr>
            <w:t>29</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_Toc12594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7</w:t>
          </w:r>
          <w:r>
            <w:rPr>
              <w:rFonts w:hint="default" w:ascii="宋体" w:hAnsi="宋体" w:eastAsia="宋体" w:cs="宋体"/>
              <w:bCs/>
              <w:kern w:val="0"/>
              <w:szCs w:val="24"/>
              <w:lang w:val="en-US" w:eastAsia="zh-CN" w:bidi="ar"/>
            </w:rPr>
            <w:t>.1.1数据库选取单一问题</w:t>
          </w:r>
          <w:r>
            <w:rPr>
              <w:rFonts w:cs="宋体"/>
              <w:szCs w:val="24"/>
            </w:rPr>
            <w:tab/>
          </w:r>
          <w:r>
            <w:rPr>
              <w:rFonts w:cs="宋体"/>
              <w:szCs w:val="24"/>
            </w:rPr>
            <w:fldChar w:fldCharType="begin"/>
          </w:r>
          <w:r>
            <w:rPr>
              <w:rFonts w:cs="宋体"/>
              <w:szCs w:val="24"/>
            </w:rPr>
            <w:instrText xml:space="preserve"> PAGEREF _Toc12594 \h </w:instrText>
          </w:r>
          <w:r>
            <w:rPr>
              <w:rFonts w:cs="宋体"/>
              <w:szCs w:val="24"/>
            </w:rPr>
            <w:fldChar w:fldCharType="separate"/>
          </w:r>
          <w:r>
            <w:rPr>
              <w:rFonts w:cs="宋体"/>
              <w:szCs w:val="24"/>
            </w:rPr>
            <w:t>29</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_Toc19377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7</w:t>
          </w:r>
          <w:r>
            <w:rPr>
              <w:rFonts w:hint="default" w:ascii="宋体" w:hAnsi="宋体" w:eastAsia="宋体" w:cs="宋体"/>
              <w:bCs/>
              <w:kern w:val="0"/>
              <w:szCs w:val="24"/>
              <w:lang w:val="en-US" w:eastAsia="zh-CN" w:bidi="ar"/>
            </w:rPr>
            <w:t>.1.2 投入产出指标选取较少问题</w:t>
          </w:r>
          <w:r>
            <w:rPr>
              <w:rFonts w:cs="宋体"/>
              <w:szCs w:val="24"/>
            </w:rPr>
            <w:tab/>
          </w:r>
          <w:r>
            <w:rPr>
              <w:rFonts w:cs="宋体"/>
              <w:szCs w:val="24"/>
            </w:rPr>
            <w:fldChar w:fldCharType="begin"/>
          </w:r>
          <w:r>
            <w:rPr>
              <w:rFonts w:cs="宋体"/>
              <w:szCs w:val="24"/>
            </w:rPr>
            <w:instrText xml:space="preserve"> PAGEREF _Toc19377 \h </w:instrText>
          </w:r>
          <w:r>
            <w:rPr>
              <w:rFonts w:cs="宋体"/>
              <w:szCs w:val="24"/>
            </w:rPr>
            <w:fldChar w:fldCharType="separate"/>
          </w:r>
          <w:r>
            <w:rPr>
              <w:rFonts w:cs="宋体"/>
              <w:szCs w:val="24"/>
            </w:rPr>
            <w:t>29</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_Toc6443 </w:instrText>
          </w:r>
          <w:r>
            <w:rPr>
              <w:rFonts w:hint="eastAsia" w:ascii="微软雅黑" w:hAnsi="微软雅黑" w:eastAsia="微软雅黑" w:cs="宋体"/>
              <w:bCs w:val="0"/>
              <w:szCs w:val="24"/>
              <w:lang w:val="en-US" w:eastAsia="zh-CN"/>
            </w:rPr>
            <w:fldChar w:fldCharType="separate"/>
          </w:r>
          <w:r>
            <w:rPr>
              <w:rFonts w:hint="eastAsia" w:ascii="楷体" w:hAnsi="楷体" w:eastAsia="楷体" w:cs="宋体"/>
              <w:bCs w:val="0"/>
              <w:kern w:val="0"/>
              <w:szCs w:val="24"/>
              <w:lang w:val="en-US" w:eastAsia="zh-CN" w:bidi="ar"/>
            </w:rPr>
            <w:t>7.2 模型的改进</w:t>
          </w:r>
          <w:r>
            <w:rPr>
              <w:rFonts w:cs="宋体"/>
              <w:szCs w:val="24"/>
            </w:rPr>
            <w:tab/>
          </w:r>
          <w:r>
            <w:rPr>
              <w:rFonts w:cs="宋体"/>
              <w:szCs w:val="24"/>
            </w:rPr>
            <w:fldChar w:fldCharType="begin"/>
          </w:r>
          <w:r>
            <w:rPr>
              <w:rFonts w:cs="宋体"/>
              <w:szCs w:val="24"/>
            </w:rPr>
            <w:instrText xml:space="preserve"> PAGEREF _Toc6443 \h </w:instrText>
          </w:r>
          <w:r>
            <w:rPr>
              <w:rFonts w:cs="宋体"/>
              <w:szCs w:val="24"/>
            </w:rPr>
            <w:fldChar w:fldCharType="separate"/>
          </w:r>
          <w:r>
            <w:rPr>
              <w:rFonts w:cs="宋体"/>
              <w:szCs w:val="24"/>
            </w:rPr>
            <w:t>29</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7"/>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_Toc6089 </w:instrText>
          </w:r>
          <w:r>
            <w:rPr>
              <w:rFonts w:hint="eastAsia" w:ascii="微软雅黑" w:hAnsi="微软雅黑" w:eastAsia="微软雅黑" w:cs="宋体"/>
              <w:bCs w:val="0"/>
              <w:szCs w:val="24"/>
              <w:lang w:val="en-US" w:eastAsia="zh-CN"/>
            </w:rPr>
            <w:fldChar w:fldCharType="separate"/>
          </w:r>
          <w:r>
            <w:rPr>
              <w:rFonts w:hint="eastAsia" w:ascii="宋体" w:hAnsi="宋体" w:eastAsia="宋体" w:cs="宋体"/>
              <w:bCs/>
              <w:kern w:val="0"/>
              <w:szCs w:val="24"/>
              <w:lang w:val="en-US" w:eastAsia="zh-CN" w:bidi="ar"/>
            </w:rPr>
            <w:t>7</w:t>
          </w:r>
          <w:r>
            <w:rPr>
              <w:rFonts w:hint="default" w:ascii="宋体" w:hAnsi="宋体" w:eastAsia="宋体" w:cs="宋体"/>
              <w:bCs/>
              <w:kern w:val="0"/>
              <w:szCs w:val="24"/>
              <w:lang w:val="en-US" w:eastAsia="zh-CN" w:bidi="ar"/>
            </w:rPr>
            <w:t>.2.1 对决策单元间无法排序的改进</w:t>
          </w:r>
          <w:r>
            <w:rPr>
              <w:rFonts w:cs="宋体"/>
              <w:szCs w:val="24"/>
            </w:rPr>
            <w:tab/>
          </w:r>
          <w:r>
            <w:rPr>
              <w:rFonts w:cs="宋体"/>
              <w:szCs w:val="24"/>
            </w:rPr>
            <w:fldChar w:fldCharType="begin"/>
          </w:r>
          <w:r>
            <w:rPr>
              <w:rFonts w:cs="宋体"/>
              <w:szCs w:val="24"/>
            </w:rPr>
            <w:instrText xml:space="preserve"> PAGEREF _Toc6089 \h </w:instrText>
          </w:r>
          <w:r>
            <w:rPr>
              <w:rFonts w:cs="宋体"/>
              <w:szCs w:val="24"/>
            </w:rPr>
            <w:fldChar w:fldCharType="separate"/>
          </w:r>
          <w:r>
            <w:rPr>
              <w:rFonts w:cs="宋体"/>
              <w:szCs w:val="24"/>
            </w:rPr>
            <w:t>29</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_Toc27899 </w:instrText>
          </w:r>
          <w:r>
            <w:rPr>
              <w:rFonts w:hint="eastAsia" w:ascii="微软雅黑" w:hAnsi="微软雅黑" w:eastAsia="微软雅黑" w:cs="宋体"/>
              <w:bCs w:val="0"/>
              <w:szCs w:val="24"/>
              <w:lang w:val="en-US" w:eastAsia="zh-CN"/>
            </w:rPr>
            <w:fldChar w:fldCharType="separate"/>
          </w:r>
          <w:r>
            <w:rPr>
              <w:rFonts w:hint="eastAsia" w:cs="宋体"/>
              <w:szCs w:val="24"/>
              <w:lang w:val="en-US" w:eastAsia="zh-CN"/>
            </w:rPr>
            <w:t>致谢</w:t>
          </w:r>
          <w:r>
            <w:rPr>
              <w:rFonts w:cs="宋体"/>
              <w:szCs w:val="24"/>
            </w:rPr>
            <w:tab/>
          </w:r>
          <w:r>
            <w:rPr>
              <w:rFonts w:cs="宋体"/>
              <w:szCs w:val="24"/>
            </w:rPr>
            <w:fldChar w:fldCharType="begin"/>
          </w:r>
          <w:r>
            <w:rPr>
              <w:rFonts w:cs="宋体"/>
              <w:szCs w:val="24"/>
            </w:rPr>
            <w:instrText xml:space="preserve"> PAGEREF _Toc27899 \h </w:instrText>
          </w:r>
          <w:r>
            <w:rPr>
              <w:rFonts w:cs="宋体"/>
              <w:szCs w:val="24"/>
            </w:rPr>
            <w:fldChar w:fldCharType="separate"/>
          </w:r>
          <w:r>
            <w:rPr>
              <w:rFonts w:cs="宋体"/>
              <w:szCs w:val="24"/>
            </w:rPr>
            <w:t>31</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12"/>
            <w:tabs>
              <w:tab w:val="right" w:leader="dot" w:pos="8312"/>
            </w:tabs>
            <w:rPr>
              <w:rFonts w:cs="宋体"/>
              <w:szCs w:val="24"/>
            </w:rPr>
          </w:pPr>
          <w:r>
            <w:rPr>
              <w:rFonts w:hint="eastAsia" w:ascii="微软雅黑" w:hAnsi="微软雅黑" w:eastAsia="微软雅黑" w:cs="宋体"/>
              <w:bCs w:val="0"/>
              <w:szCs w:val="24"/>
              <w:lang w:val="en-US" w:eastAsia="zh-CN"/>
            </w:rPr>
            <w:fldChar w:fldCharType="begin"/>
          </w:r>
          <w:r>
            <w:rPr>
              <w:rFonts w:hint="eastAsia" w:ascii="微软雅黑" w:hAnsi="微软雅黑" w:eastAsia="微软雅黑" w:cs="宋体"/>
              <w:bCs w:val="0"/>
              <w:szCs w:val="24"/>
              <w:lang w:val="en-US" w:eastAsia="zh-CN"/>
            </w:rPr>
            <w:instrText xml:space="preserve"> HYPERLINK \l _Toc10160 </w:instrText>
          </w:r>
          <w:r>
            <w:rPr>
              <w:rFonts w:hint="eastAsia" w:ascii="微软雅黑" w:hAnsi="微软雅黑" w:eastAsia="微软雅黑" w:cs="宋体"/>
              <w:bCs w:val="0"/>
              <w:szCs w:val="24"/>
              <w:lang w:val="en-US" w:eastAsia="zh-CN"/>
            </w:rPr>
            <w:fldChar w:fldCharType="separate"/>
          </w:r>
          <w:r>
            <w:rPr>
              <w:rFonts w:hint="eastAsia" w:cs="宋体"/>
              <w:szCs w:val="24"/>
              <w:lang w:val="en-US" w:eastAsia="zh-CN"/>
            </w:rPr>
            <w:t>附录</w:t>
          </w:r>
          <w:r>
            <w:rPr>
              <w:rFonts w:cs="宋体"/>
              <w:szCs w:val="24"/>
            </w:rPr>
            <w:tab/>
          </w:r>
          <w:r>
            <w:rPr>
              <w:rFonts w:cs="宋体"/>
              <w:szCs w:val="24"/>
            </w:rPr>
            <w:fldChar w:fldCharType="begin"/>
          </w:r>
          <w:r>
            <w:rPr>
              <w:rFonts w:cs="宋体"/>
              <w:szCs w:val="24"/>
            </w:rPr>
            <w:instrText xml:space="preserve"> PAGEREF _Toc10160 \h </w:instrText>
          </w:r>
          <w:r>
            <w:rPr>
              <w:rFonts w:cs="宋体"/>
              <w:szCs w:val="24"/>
            </w:rPr>
            <w:fldChar w:fldCharType="separate"/>
          </w:r>
          <w:r>
            <w:rPr>
              <w:rFonts w:cs="宋体"/>
              <w:szCs w:val="24"/>
            </w:rPr>
            <w:t>32</w:t>
          </w:r>
          <w:r>
            <w:rPr>
              <w:rFonts w:cs="宋体"/>
              <w:szCs w:val="24"/>
            </w:rPr>
            <w:fldChar w:fldCharType="end"/>
          </w:r>
          <w:r>
            <w:rPr>
              <w:rFonts w:hint="eastAsia" w:ascii="微软雅黑" w:hAnsi="微软雅黑" w:eastAsia="微软雅黑" w:cs="宋体"/>
              <w:bCs w:val="0"/>
              <w:szCs w:val="24"/>
              <w:lang w:val="en-US" w:eastAsia="zh-CN"/>
            </w:rPr>
            <w:fldChar w:fldCharType="end"/>
          </w:r>
        </w:p>
        <w:p>
          <w:pPr>
            <w:pStyle w:val="2"/>
            <w:rPr>
              <w:rFonts w:hint="eastAsia" w:cs="宋体"/>
              <w:szCs w:val="24"/>
              <w:lang w:val="en-US" w:eastAsia="zh-CN"/>
            </w:rPr>
          </w:pPr>
          <w:r>
            <w:rPr>
              <w:rFonts w:hint="eastAsia" w:ascii="微软雅黑" w:hAnsi="微软雅黑" w:eastAsia="微软雅黑" w:cs="宋体"/>
              <w:bCs w:val="0"/>
              <w:szCs w:val="24"/>
              <w:lang w:val="en-US" w:eastAsia="zh-CN"/>
            </w:rPr>
            <w:fldChar w:fldCharType="end"/>
          </w:r>
        </w:p>
      </w:sdtContent>
    </w:sdt>
    <w:p>
      <w:pPr>
        <w:rPr>
          <w:rFonts w:hint="eastAsia"/>
          <w:lang w:val="en-US" w:eastAsia="zh-CN"/>
        </w:rPr>
      </w:pPr>
      <w:r>
        <w:rPr>
          <w:rFonts w:hint="eastAsia"/>
          <w:lang w:val="en-US" w:eastAsia="zh-CN"/>
        </w:rPr>
        <w:br w:type="page"/>
      </w:r>
    </w:p>
    <w:p>
      <w:pPr>
        <w:pStyle w:val="3"/>
        <w:bidi w:val="0"/>
        <w:jc w:val="center"/>
        <w:outlineLvl w:val="0"/>
        <w:rPr>
          <w:rFonts w:hint="eastAsia"/>
        </w:rPr>
      </w:pPr>
      <w:bookmarkStart w:id="4" w:name="_Toc29089"/>
      <w:r>
        <w:rPr>
          <w:rFonts w:hint="eastAsia"/>
          <w:lang w:val="en-US" w:eastAsia="zh-CN"/>
        </w:rPr>
        <w:t>表格和插图清单</w:t>
      </w:r>
      <w:bookmarkEnd w:id="4"/>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TOC \h \c "图"</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_Toc17906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图</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1 </w:t>
      </w:r>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lang w:eastAsia="zh-CN"/>
        </w:rPr>
        <w:t>近九年全国中职教育评价关键指标</w:t>
      </w:r>
      <w:r>
        <w:rPr>
          <w:rFonts w:hint="eastAsia" w:asciiTheme="majorEastAsia" w:hAnsiTheme="majorEastAsia" w:eastAsiaTheme="majorEastAsia" w:cstheme="majorEastAsia"/>
          <w:sz w:val="24"/>
          <w:szCs w:val="24"/>
          <w:lang w:val="en-US" w:eastAsia="zh-CN"/>
        </w:rPr>
        <w:t>变化图</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_Toc17906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_Toc30853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图</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2 </w:t>
      </w:r>
      <w:r>
        <w:rPr>
          <w:rFonts w:hint="eastAsia" w:asciiTheme="majorEastAsia" w:hAnsiTheme="majorEastAsia" w:eastAsiaTheme="majorEastAsia" w:cstheme="majorEastAsia"/>
          <w:sz w:val="24"/>
          <w:szCs w:val="24"/>
          <w:lang w:eastAsia="zh-CN"/>
        </w:rPr>
        <w:t xml:space="preserve"> 2019年各省中职教育关键评价指标统计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_Toc30853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_Toc5708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图</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3 </w:t>
      </w:r>
      <w:r>
        <w:rPr>
          <w:rFonts w:hint="eastAsia" w:asciiTheme="majorEastAsia" w:hAnsiTheme="majorEastAsia" w:eastAsiaTheme="majorEastAsia" w:cstheme="majorEastAsia"/>
          <w:sz w:val="24"/>
          <w:szCs w:val="24"/>
          <w:lang w:eastAsia="zh-CN"/>
        </w:rPr>
        <w:t xml:space="preserve"> 2020年各省中职教育关键评价指标统计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_Toc5708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_Toc28758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图</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4 </w:t>
      </w:r>
      <w:r>
        <w:rPr>
          <w:rFonts w:hint="eastAsia" w:asciiTheme="majorEastAsia" w:hAnsiTheme="majorEastAsia" w:eastAsiaTheme="majorEastAsia" w:cstheme="majorEastAsia"/>
          <w:sz w:val="24"/>
          <w:szCs w:val="24"/>
          <w:lang w:eastAsia="zh-CN"/>
        </w:rPr>
        <w:t xml:space="preserve"> 2021年各省中职教育关键评价指标统计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_Toc28758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_Toc12166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图</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1 </w:t>
      </w:r>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lang w:eastAsia="zh-CN"/>
        </w:rPr>
        <w:t>2013-2021年中国中职教育有效性分析图</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_Toc12166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tabs>
          <w:tab w:val="left" w:pos="628"/>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TOC \h \c "表"</w:instrText>
      </w:r>
      <w:r>
        <w:rPr>
          <w:rFonts w:hint="eastAsia" w:asciiTheme="majorEastAsia" w:hAnsiTheme="majorEastAsia" w:eastAsiaTheme="majorEastAsia" w:cstheme="majorEastAsia"/>
          <w:sz w:val="24"/>
          <w:szCs w:val="24"/>
        </w:rPr>
        <w:fldChar w:fldCharType="separate"/>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_Toc18342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1 </w:t>
      </w:r>
      <w:r>
        <w:rPr>
          <w:rFonts w:hint="eastAsia" w:asciiTheme="majorEastAsia" w:hAnsiTheme="majorEastAsia" w:eastAsiaTheme="majorEastAsia" w:cstheme="majorEastAsia"/>
          <w:sz w:val="24"/>
          <w:szCs w:val="24"/>
          <w:lang w:eastAsia="zh-CN"/>
        </w:rPr>
        <w:t xml:space="preserve"> 构建职高教育效率评价指标体系</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_Toc18342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_Toc2948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lang w:val="en-US" w:eastAsia="zh-CN"/>
        </w:rPr>
        <w:t xml:space="preserve"> 全国的数据以及各省份的数据DEA-CCR模型和DEA-BCC模型综合评估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_Toc2948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_Toc23272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3 </w:t>
      </w:r>
      <w:r>
        <w:rPr>
          <w:rFonts w:hint="eastAsia" w:asciiTheme="majorEastAsia" w:hAnsiTheme="majorEastAsia" w:eastAsiaTheme="majorEastAsia" w:cstheme="majorEastAsia"/>
          <w:sz w:val="24"/>
          <w:szCs w:val="24"/>
          <w:lang w:val="en-US" w:eastAsia="zh-CN"/>
        </w:rPr>
        <w:t xml:space="preserve"> 2013-2021的DEA有效性分析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_Toc23272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_Toc32074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4 </w:t>
      </w:r>
      <w:r>
        <w:rPr>
          <w:rFonts w:hint="eastAsia" w:asciiTheme="majorEastAsia" w:hAnsiTheme="majorEastAsia" w:eastAsiaTheme="majorEastAsia" w:cstheme="majorEastAsia"/>
          <w:sz w:val="24"/>
          <w:szCs w:val="24"/>
          <w:lang w:eastAsia="zh-CN"/>
        </w:rPr>
        <w:t xml:space="preserve"> 2019年各省份的DEA有效性分析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_Toc32074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_Toc982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5 </w:t>
      </w:r>
      <w:r>
        <w:rPr>
          <w:rFonts w:hint="eastAsia" w:asciiTheme="majorEastAsia" w:hAnsiTheme="majorEastAsia" w:eastAsiaTheme="majorEastAsia" w:cstheme="majorEastAsia"/>
          <w:sz w:val="24"/>
          <w:szCs w:val="24"/>
          <w:lang w:eastAsia="zh-CN"/>
        </w:rPr>
        <w:t xml:space="preserve"> 2013-2021年规模报酬分析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_Toc982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1"/>
        <w:tabs>
          <w:tab w:val="right" w:leader="dot" w:pos="8312"/>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_Toc10058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 xml:space="preserve">6 </w:t>
      </w:r>
      <w:r>
        <w:rPr>
          <w:rFonts w:hint="eastAsia" w:asciiTheme="majorEastAsia" w:hAnsiTheme="majorEastAsia" w:eastAsiaTheme="majorEastAsia" w:cstheme="majorEastAsia"/>
          <w:sz w:val="24"/>
          <w:szCs w:val="24"/>
          <w:lang w:eastAsia="zh-CN"/>
        </w:rPr>
        <w:t xml:space="preserve"> Malmquist指数结果(2020 -&gt; 2021)</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_Toc10058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r>
        <w:rPr>
          <w:rFonts w:hint="eastAsia" w:asciiTheme="majorEastAsia" w:hAnsiTheme="majorEastAsia" w:eastAsiaTheme="majorEastAsia" w:cstheme="majorEastAsia"/>
          <w:sz w:val="24"/>
          <w:szCs w:val="24"/>
        </w:rPr>
        <w:fldChar w:fldCharType="end"/>
      </w:r>
    </w:p>
    <w:p>
      <w:pPr>
        <w:pStyle w:val="11"/>
        <w:bidi w:val="0"/>
        <w:rPr>
          <w:rFonts w:hint="eastAsia"/>
          <w:lang w:val="en-US" w:eastAsia="zh-CN"/>
        </w:rPr>
      </w:pP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pStyle w:val="2"/>
        <w:rPr>
          <w:rFonts w:hint="eastAsia"/>
          <w:lang w:val="en-US" w:eastAsia="zh-CN"/>
        </w:rPr>
      </w:pPr>
    </w:p>
    <w:p>
      <w:pPr>
        <w:pStyle w:val="3"/>
        <w:numPr>
          <w:ilvl w:val="0"/>
          <w:numId w:val="0"/>
        </w:numPr>
        <w:bidi w:val="0"/>
        <w:jc w:val="left"/>
        <w:outlineLvl w:val="0"/>
        <w:rPr>
          <w:rFonts w:hint="eastAsia" w:ascii="黑体" w:hAnsi="黑体" w:eastAsia="黑体" w:cs="黑体"/>
          <w:b/>
          <w:kern w:val="2"/>
          <w:sz w:val="32"/>
          <w:szCs w:val="32"/>
          <w:lang w:val="en-US" w:eastAsia="zh-CN" w:bidi="ar-SA"/>
        </w:rPr>
      </w:pPr>
      <w:bookmarkStart w:id="5" w:name="_Toc20099"/>
      <w:bookmarkStart w:id="6" w:name="_Toc14136"/>
      <w:bookmarkStart w:id="7" w:name="_Toc17897"/>
      <w:bookmarkStart w:id="8" w:name="_Toc3646"/>
      <w:r>
        <w:rPr>
          <w:rFonts w:hint="eastAsia" w:ascii="黑体" w:hAnsi="黑体" w:eastAsia="黑体" w:cs="黑体"/>
          <w:b/>
          <w:kern w:val="2"/>
          <w:sz w:val="32"/>
          <w:szCs w:val="32"/>
          <w:lang w:val="en-US" w:eastAsia="zh-CN" w:bidi="ar-SA"/>
        </w:rPr>
        <w:t>人人皆可成才，人人尽展其才</w:t>
      </w:r>
      <w:bookmarkEnd w:id="5"/>
      <w:bookmarkEnd w:id="6"/>
    </w:p>
    <w:p>
      <w:pPr>
        <w:pStyle w:val="3"/>
        <w:numPr>
          <w:ilvl w:val="0"/>
          <w:numId w:val="0"/>
        </w:numPr>
        <w:bidi w:val="0"/>
        <w:outlineLvl w:val="0"/>
        <w:rPr>
          <w:rFonts w:hint="eastAsia" w:ascii="黑体" w:hAnsi="黑体" w:eastAsia="黑体" w:cs="黑体"/>
          <w:b/>
          <w:kern w:val="2"/>
          <w:sz w:val="32"/>
          <w:szCs w:val="24"/>
          <w:lang w:val="en-US" w:eastAsia="zh-CN" w:bidi="ar-SA"/>
        </w:rPr>
      </w:pPr>
      <w:bookmarkStart w:id="9" w:name="_Toc12192"/>
      <w:bookmarkStart w:id="10" w:name="_Toc18401"/>
      <w:r>
        <w:rPr>
          <w:rFonts w:hint="eastAsia" w:ascii="黑体" w:hAnsi="黑体" w:eastAsia="黑体" w:cs="黑体"/>
          <w:b/>
          <w:kern w:val="2"/>
          <w:sz w:val="32"/>
          <w:szCs w:val="32"/>
          <w:lang w:val="en-US" w:eastAsia="zh-CN" w:bidi="ar-SA"/>
        </w:rPr>
        <w:t>——中国式现代化背景下中职教育</w:t>
      </w:r>
      <w:r>
        <w:rPr>
          <w:rFonts w:hint="eastAsia" w:ascii="黑体" w:hAnsi="黑体" w:cs="黑体"/>
          <w:b/>
          <w:kern w:val="2"/>
          <w:sz w:val="32"/>
          <w:szCs w:val="32"/>
          <w:lang w:val="en-US" w:eastAsia="zh-CN" w:bidi="ar-SA"/>
        </w:rPr>
        <w:t>效率</w:t>
      </w:r>
      <w:r>
        <w:rPr>
          <w:rFonts w:hint="eastAsia" w:ascii="黑体" w:hAnsi="黑体" w:eastAsia="黑体" w:cs="黑体"/>
          <w:b/>
          <w:kern w:val="2"/>
          <w:sz w:val="32"/>
          <w:szCs w:val="32"/>
          <w:lang w:val="en-US" w:eastAsia="zh-CN" w:bidi="ar-SA"/>
        </w:rPr>
        <w:t>的统计度量与未来期望</w:t>
      </w:r>
      <w:bookmarkEnd w:id="9"/>
      <w:bookmarkEnd w:id="10"/>
    </w:p>
    <w:p>
      <w:pPr>
        <w:pStyle w:val="3"/>
        <w:numPr>
          <w:ilvl w:val="0"/>
          <w:numId w:val="0"/>
        </w:numPr>
        <w:bidi w:val="0"/>
        <w:outlineLvl w:val="0"/>
        <w:rPr>
          <w:rFonts w:hint="eastAsia"/>
          <w:sz w:val="30"/>
          <w:szCs w:val="30"/>
          <w:lang w:val="en-US" w:eastAsia="zh-CN"/>
        </w:rPr>
      </w:pPr>
      <w:bookmarkStart w:id="11" w:name="_Toc10954"/>
      <w:r>
        <w:rPr>
          <w:rFonts w:hint="eastAsia" w:ascii="Arial" w:hAnsi="Arial" w:eastAsia="黑体" w:cs="Times New Roman"/>
          <w:b/>
          <w:kern w:val="2"/>
          <w:sz w:val="30"/>
          <w:szCs w:val="30"/>
          <w:lang w:val="en-US" w:eastAsia="zh-CN" w:bidi="ar-SA"/>
        </w:rPr>
        <w:t>第一章</w:t>
      </w:r>
      <w:r>
        <w:rPr>
          <w:rFonts w:hint="eastAsia" w:cs="Times New Roman"/>
          <w:b/>
          <w:kern w:val="2"/>
          <w:sz w:val="30"/>
          <w:szCs w:val="30"/>
          <w:lang w:val="en-US" w:eastAsia="zh-CN" w:bidi="ar-SA"/>
        </w:rPr>
        <w:t xml:space="preserve"> </w:t>
      </w:r>
      <w:r>
        <w:rPr>
          <w:rFonts w:hint="eastAsia"/>
          <w:sz w:val="30"/>
          <w:szCs w:val="30"/>
          <w:lang w:val="en-US" w:eastAsia="zh-CN"/>
        </w:rPr>
        <w:t>绪论</w:t>
      </w:r>
      <w:bookmarkEnd w:id="7"/>
      <w:bookmarkEnd w:id="11"/>
    </w:p>
    <w:p>
      <w:pPr>
        <w:rPr>
          <w:rFonts w:hint="eastAsia"/>
          <w:lang w:val="en-US" w:eastAsia="zh-CN"/>
        </w:rPr>
      </w:pPr>
    </w:p>
    <w:p>
      <w:pPr>
        <w:pStyle w:val="4"/>
        <w:bidi w:val="0"/>
        <w:outlineLvl w:val="1"/>
        <w:rPr>
          <w:rFonts w:hint="eastAsia" w:ascii="楷体" w:hAnsi="楷体" w:eastAsia="楷体" w:cs="楷体"/>
          <w:sz w:val="28"/>
          <w:szCs w:val="28"/>
          <w:lang w:val="en-US"/>
        </w:rPr>
      </w:pPr>
      <w:bookmarkStart w:id="12" w:name="_Toc3158"/>
      <w:bookmarkStart w:id="13" w:name="_Toc18747"/>
      <w:r>
        <w:rPr>
          <w:rFonts w:hint="eastAsia" w:ascii="楷体" w:hAnsi="楷体" w:eastAsia="楷体" w:cs="楷体"/>
          <w:sz w:val="28"/>
          <w:szCs w:val="28"/>
          <w:lang w:val="en-US" w:eastAsia="zh-CN"/>
        </w:rPr>
        <w:t>1.1研究背景及意义</w:t>
      </w:r>
      <w:bookmarkEnd w:id="8"/>
      <w:bookmarkEnd w:id="12"/>
      <w:bookmarkEnd w:id="13"/>
    </w:p>
    <w:p>
      <w:pPr>
        <w:pStyle w:val="13"/>
        <w:keepNext w:val="0"/>
        <w:keepLines w:val="0"/>
        <w:pageBreakBefore w:val="0"/>
        <w:widowControl/>
        <w:suppressLineNumbers w:val="0"/>
        <w:shd w:val="clear" w:color="auto" w:fill="FFFFFF"/>
        <w:kinsoku/>
        <w:wordWrap/>
        <w:overflowPunct/>
        <w:topLinePunct w:val="0"/>
        <w:autoSpaceDE/>
        <w:autoSpaceDN/>
        <w:bidi w:val="0"/>
        <w:adjustRightInd/>
        <w:snapToGrid/>
        <w:spacing w:before="180" w:beforeAutospacing="0" w:after="180" w:afterAutospacing="0" w:line="480" w:lineRule="exact"/>
        <w:ind w:left="0" w:right="0" w:firstLine="420"/>
        <w:jc w:val="both"/>
        <w:textAlignment w:val="auto"/>
        <w:rPr>
          <w:rFonts w:hint="eastAsia" w:ascii="宋体" w:hAnsi="宋体" w:eastAsia="宋体" w:cs="宋体"/>
          <w:i w:val="0"/>
          <w:iCs w:val="0"/>
          <w:caps w:val="0"/>
          <w:color w:val="auto"/>
          <w:spacing w:val="0"/>
          <w:sz w:val="24"/>
          <w:szCs w:val="24"/>
          <w:highlight w:val="none"/>
        </w:rPr>
      </w:pPr>
      <w:r>
        <w:rPr>
          <w:rFonts w:hint="eastAsia" w:ascii="宋体" w:hAnsi="宋体" w:eastAsia="宋体" w:cs="宋体"/>
          <w:i w:val="0"/>
          <w:iCs w:val="0"/>
          <w:caps w:val="0"/>
          <w:color w:val="auto"/>
          <w:spacing w:val="0"/>
          <w:sz w:val="24"/>
          <w:szCs w:val="24"/>
          <w:highlight w:val="none"/>
          <w:shd w:val="clear" w:color="auto" w:fill="FFFFFF"/>
        </w:rPr>
        <w:t>近代以来，我国对职业教育现代化的探索与追求从未停止过，进入新时代后，职业教育现代化更是面临着新的发展机遇。中国职业教育现代化应走什么样的道路？这是引领职业教育现代化的方向性问题。习近平总书记在党的二十大报告中强调“中国式现代化为人类实现现代化提供了新的选择”，这为我国职业教育现代化的体系架构、道路探索提供了思想引领和理论支撑，也明确了中国式职业教育现代化的时代必然性与使命价值。“现代化”起步于18世纪初，是一种历史现象和文明进步，同时世界上大多数国家都在经历某种现代化的过程，并将现代化作为发展目标。</w:t>
      </w:r>
    </w:p>
    <w:p>
      <w:pPr>
        <w:pStyle w:val="13"/>
        <w:keepNext w:val="0"/>
        <w:keepLines w:val="0"/>
        <w:pageBreakBefore w:val="0"/>
        <w:widowControl/>
        <w:suppressLineNumbers w:val="0"/>
        <w:shd w:val="clear" w:color="auto" w:fill="FFFFFF"/>
        <w:kinsoku/>
        <w:wordWrap/>
        <w:overflowPunct/>
        <w:topLinePunct w:val="0"/>
        <w:autoSpaceDE/>
        <w:autoSpaceDN/>
        <w:bidi w:val="0"/>
        <w:adjustRightInd/>
        <w:snapToGrid/>
        <w:spacing w:before="180" w:beforeAutospacing="0" w:after="180" w:afterAutospacing="0" w:line="480" w:lineRule="exact"/>
        <w:ind w:left="0" w:right="0" w:firstLine="420"/>
        <w:jc w:val="both"/>
        <w:textAlignment w:val="auto"/>
        <w:rPr>
          <w:rFonts w:hint="eastAsia" w:ascii="宋体" w:hAnsi="宋体" w:eastAsia="宋体" w:cs="宋体"/>
          <w:i w:val="0"/>
          <w:iCs w:val="0"/>
          <w:caps w:val="0"/>
          <w:color w:val="auto"/>
          <w:spacing w:val="0"/>
          <w:sz w:val="24"/>
          <w:szCs w:val="24"/>
          <w:highlight w:val="none"/>
        </w:rPr>
      </w:pPr>
      <w:r>
        <w:rPr>
          <w:rFonts w:hint="eastAsia" w:ascii="宋体" w:hAnsi="宋体" w:eastAsia="宋体" w:cs="宋体"/>
          <w:i w:val="0"/>
          <w:iCs w:val="0"/>
          <w:caps w:val="0"/>
          <w:color w:val="auto"/>
          <w:spacing w:val="0"/>
          <w:sz w:val="24"/>
          <w:szCs w:val="24"/>
          <w:highlight w:val="none"/>
          <w:shd w:val="clear" w:color="auto" w:fill="FFFFFF"/>
        </w:rPr>
        <w:t>作为国家现代化的重要组成部分，教育现代化是一个由传统教育转变为现代教育的过程，并具有终身性、社会性、多样性、开放性等诸多特征，职业教育现代化既具有教育现代化的共性，也体现了职业性、技术性的个性特征。作为人口大国的社会主义国家，我国对职业教育现代化进程进行了持续探索，总结出了实现职业教育现代化的关键在于坚持中国特色、走中国式职业教育现代化道路。</w:t>
      </w:r>
    </w:p>
    <w:p>
      <w:pPr>
        <w:pStyle w:val="13"/>
        <w:keepNext w:val="0"/>
        <w:keepLines w:val="0"/>
        <w:pageBreakBefore w:val="0"/>
        <w:widowControl/>
        <w:suppressLineNumbers w:val="0"/>
        <w:shd w:val="clear" w:color="auto" w:fill="FFFFFF"/>
        <w:kinsoku/>
        <w:wordWrap/>
        <w:overflowPunct/>
        <w:topLinePunct w:val="0"/>
        <w:autoSpaceDE/>
        <w:autoSpaceDN/>
        <w:bidi w:val="0"/>
        <w:adjustRightInd/>
        <w:snapToGrid/>
        <w:spacing w:before="180" w:beforeAutospacing="0" w:after="180" w:afterAutospacing="0" w:line="480" w:lineRule="exact"/>
        <w:ind w:left="0" w:right="0" w:firstLine="420"/>
        <w:jc w:val="both"/>
        <w:textAlignment w:val="auto"/>
        <w:rPr>
          <w:rFonts w:hint="eastAsia" w:ascii="宋体" w:hAnsi="宋体" w:eastAsia="宋体" w:cs="宋体"/>
          <w:i w:val="0"/>
          <w:iCs w:val="0"/>
          <w:caps w:val="0"/>
          <w:color w:val="auto"/>
          <w:spacing w:val="0"/>
          <w:sz w:val="24"/>
          <w:szCs w:val="24"/>
          <w:highlight w:val="none"/>
        </w:rPr>
      </w:pPr>
      <w:r>
        <w:rPr>
          <w:rFonts w:hint="eastAsia" w:ascii="宋体" w:hAnsi="宋体" w:eastAsia="宋体" w:cs="宋体"/>
          <w:i w:val="0"/>
          <w:iCs w:val="0"/>
          <w:caps w:val="0"/>
          <w:color w:val="auto"/>
          <w:spacing w:val="0"/>
          <w:sz w:val="24"/>
          <w:szCs w:val="24"/>
          <w:highlight w:val="none"/>
          <w:shd w:val="clear" w:color="auto" w:fill="FFFFFF"/>
        </w:rPr>
        <w:t>从发展实际看，我国职业教育顶层设计日趋完善、改革发展成效显著、社会吸引力不断增强，为经济社会发展提供了强有力的人才支撑，为实现职业教育现代化奠定了良好的基础。新时代站在新的历史方位上，对照2019年中共中央、国务院印发的《中国教育现代化2035》的提出的发展目标，实现职业教育的现代化进程虽已在路上，但依然面临着诸如职业教育体系仍待进一步健全、人才培养机制仍待进一步完善、产教融合仍待进一步深化、社会服务能力仍待进一步增强等新的挑战。为此，亟需加快探索符合中国发展实际、贴近时代发展要求、适应社会发展需要的中国式职业教育现代化道路，以推动新时代职业教育高质量发展。</w:t>
      </w:r>
    </w:p>
    <w:p>
      <w:pPr>
        <w:pStyle w:val="13"/>
        <w:keepNext w:val="0"/>
        <w:keepLines w:val="0"/>
        <w:pageBreakBefore w:val="0"/>
        <w:widowControl/>
        <w:suppressLineNumbers w:val="0"/>
        <w:shd w:val="clear" w:color="auto" w:fill="FFFFFF"/>
        <w:kinsoku/>
        <w:wordWrap/>
        <w:overflowPunct/>
        <w:topLinePunct w:val="0"/>
        <w:autoSpaceDE/>
        <w:autoSpaceDN/>
        <w:bidi w:val="0"/>
        <w:adjustRightInd/>
        <w:snapToGrid/>
        <w:spacing w:before="180" w:beforeAutospacing="0" w:after="180" w:afterAutospacing="0" w:line="480" w:lineRule="exact"/>
        <w:ind w:left="0" w:right="0" w:firstLine="420"/>
        <w:jc w:val="both"/>
        <w:textAlignment w:val="auto"/>
        <w:rPr>
          <w:rFonts w:hint="eastAsia" w:ascii="宋体" w:hAnsi="宋体" w:eastAsia="宋体" w:cs="宋体"/>
          <w:i w:val="0"/>
          <w:iCs w:val="0"/>
          <w:caps w:val="0"/>
          <w:color w:val="auto"/>
          <w:spacing w:val="0"/>
          <w:sz w:val="24"/>
          <w:szCs w:val="24"/>
          <w:highlight w:val="none"/>
        </w:rPr>
      </w:pPr>
      <w:r>
        <w:rPr>
          <w:rFonts w:hint="eastAsia" w:ascii="宋体" w:hAnsi="宋体" w:eastAsia="宋体" w:cs="宋体"/>
          <w:i w:val="0"/>
          <w:iCs w:val="0"/>
          <w:caps w:val="0"/>
          <w:color w:val="auto"/>
          <w:spacing w:val="0"/>
          <w:sz w:val="24"/>
          <w:szCs w:val="24"/>
          <w:highlight w:val="none"/>
          <w:shd w:val="clear" w:color="auto" w:fill="FFFFFF"/>
        </w:rPr>
        <w:t>从国际视野看，各国职业教育的现代化在实现时间和实现模式上存在差异：如美国在职业教育发展的不同时期，根据社会经济发展需要，相继颁布《莫雷尔法案》《史密斯—休斯法案》《生计教育法》等法律法规，保障了美国职业教育现代化进程的快速推进；德国则以其特有的“双元制”职业教育模式，将政府、学校、行业协会、培训企业四个主体有机结合，培养高素质专业技术人才，以现代化职业教育支撑起德国高度发达的制造业。虽然新时代中国职业教育现代化与国外职业教育现代化有着形式或内容上的区别，但各国职业教育现代化的一个基本特点是明确的，即适应了本国经济社会发展实际和人才培养需求、遵循了职业教育发展的基本规律。</w:t>
      </w:r>
    </w:p>
    <w:p>
      <w:pPr>
        <w:pStyle w:val="13"/>
        <w:keepNext w:val="0"/>
        <w:keepLines w:val="0"/>
        <w:pageBreakBefore w:val="0"/>
        <w:widowControl/>
        <w:suppressLineNumbers w:val="0"/>
        <w:shd w:val="clear" w:color="auto" w:fill="FFFFFF"/>
        <w:kinsoku/>
        <w:wordWrap/>
        <w:overflowPunct/>
        <w:topLinePunct w:val="0"/>
        <w:autoSpaceDE/>
        <w:autoSpaceDN/>
        <w:bidi w:val="0"/>
        <w:adjustRightInd/>
        <w:snapToGrid/>
        <w:spacing w:before="180" w:beforeAutospacing="0" w:after="180" w:afterAutospacing="0" w:line="480" w:lineRule="exact"/>
        <w:ind w:left="0" w:right="0" w:firstLine="420"/>
        <w:jc w:val="both"/>
        <w:textAlignment w:val="auto"/>
        <w:rPr>
          <w:rFonts w:hint="eastAsia" w:ascii="宋体" w:hAnsi="宋体" w:eastAsia="宋体" w:cs="宋体"/>
          <w:i w:val="0"/>
          <w:iCs w:val="0"/>
          <w:caps w:val="0"/>
          <w:color w:val="auto"/>
          <w:spacing w:val="0"/>
          <w:sz w:val="24"/>
          <w:szCs w:val="24"/>
          <w:highlight w:val="none"/>
        </w:rPr>
      </w:pPr>
      <w:r>
        <w:rPr>
          <w:rFonts w:hint="eastAsia" w:ascii="宋体" w:hAnsi="宋体" w:eastAsia="宋体" w:cs="宋体"/>
          <w:i w:val="0"/>
          <w:iCs w:val="0"/>
          <w:caps w:val="0"/>
          <w:color w:val="auto"/>
          <w:spacing w:val="0"/>
          <w:sz w:val="24"/>
          <w:szCs w:val="24"/>
          <w:highlight w:val="none"/>
          <w:shd w:val="clear" w:color="auto" w:fill="FFFFFF"/>
        </w:rPr>
        <w:t>新时代面对新问题、新矛盾、新需求，就要深入探究我国职业教育现代化的发展经验，明确发展价值，总结发展特征，以更好实现具有中国特色和世界水平的职业教育现代化。那么，我国职业教育现代化历经了什么样的发展历程？中国式职业教育现代化历程带来了什么样的经验启示？中国式职业教育现代化体现了什么样的时代特征？回答好这些问题，既是推进我国职业教育实现高质量、现代化发展的基本要求，也是为世界各国职业教育现代化发展提供中国经验、中国方案的基本前提。</w:t>
      </w:r>
    </w:p>
    <w:p>
      <w:pPr>
        <w:pStyle w:val="3"/>
        <w:bidi w:val="0"/>
        <w:outlineLvl w:val="9"/>
        <w:rPr>
          <w:rFonts w:hint="eastAsia"/>
          <w:lang w:val="en-US" w:eastAsia="zh-CN"/>
        </w:rPr>
      </w:pPr>
    </w:p>
    <w:p>
      <w:pPr>
        <w:pStyle w:val="3"/>
        <w:numPr>
          <w:ilvl w:val="0"/>
          <w:numId w:val="0"/>
        </w:numPr>
        <w:bidi w:val="0"/>
        <w:outlineLvl w:val="0"/>
        <w:rPr>
          <w:rFonts w:hint="eastAsia"/>
          <w:lang w:val="en-US" w:eastAsia="zh-CN"/>
        </w:rPr>
      </w:pPr>
      <w:bookmarkStart w:id="14" w:name="_Toc11782"/>
      <w:bookmarkStart w:id="15" w:name="_Toc25186"/>
      <w:r>
        <w:rPr>
          <w:rFonts w:hint="eastAsia" w:ascii="Arial" w:hAnsi="Arial" w:eastAsia="黑体" w:cs="Times New Roman"/>
          <w:b/>
          <w:kern w:val="2"/>
          <w:sz w:val="32"/>
          <w:szCs w:val="24"/>
          <w:lang w:val="en-US" w:eastAsia="zh-CN" w:bidi="ar-SA"/>
        </w:rPr>
        <w:t>第二章</w:t>
      </w:r>
      <w:r>
        <w:rPr>
          <w:rFonts w:hint="eastAsia" w:cs="Times New Roman"/>
          <w:b/>
          <w:kern w:val="2"/>
          <w:sz w:val="32"/>
          <w:szCs w:val="24"/>
          <w:lang w:val="en-US" w:eastAsia="zh-CN" w:bidi="ar-SA"/>
        </w:rPr>
        <w:t xml:space="preserve"> </w:t>
      </w:r>
      <w:r>
        <w:rPr>
          <w:rFonts w:hint="eastAsia"/>
          <w:lang w:val="en-US" w:eastAsia="zh-CN"/>
        </w:rPr>
        <w:t>相关概念的阐述</w:t>
      </w:r>
      <w:bookmarkEnd w:id="14"/>
      <w:bookmarkEnd w:id="15"/>
    </w:p>
    <w:p>
      <w:pPr>
        <w:pStyle w:val="4"/>
        <w:numPr>
          <w:ilvl w:val="0"/>
          <w:numId w:val="0"/>
        </w:numPr>
        <w:bidi w:val="0"/>
        <w:ind w:leftChars="0"/>
        <w:outlineLvl w:val="1"/>
        <w:rPr>
          <w:rFonts w:hint="eastAsia" w:ascii="楷体" w:hAnsi="楷体" w:eastAsia="楷体" w:cs="楷体"/>
          <w:sz w:val="28"/>
          <w:szCs w:val="28"/>
          <w:lang w:val="en-US" w:eastAsia="zh-CN"/>
        </w:rPr>
      </w:pPr>
      <w:bookmarkStart w:id="16" w:name="_Toc4041"/>
      <w:bookmarkStart w:id="17" w:name="_Toc30633"/>
      <w:r>
        <w:rPr>
          <w:rFonts w:hint="eastAsia" w:ascii="楷体" w:hAnsi="楷体" w:eastAsia="楷体" w:cs="楷体"/>
          <w:sz w:val="28"/>
          <w:szCs w:val="28"/>
          <w:lang w:val="en-US" w:eastAsia="zh-CN"/>
        </w:rPr>
        <w:t>2.1中等职业教育</w:t>
      </w:r>
      <w:bookmarkEnd w:id="16"/>
      <w:bookmarkEnd w:id="17"/>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sz w:val="24"/>
          <w:szCs w:val="24"/>
          <w:lang w:val="en-US" w:eastAsia="zh-CN"/>
        </w:rPr>
        <w:t>中等职业教育分为学历教育和非学历教育，学历教育属于高中阶段教育，包括职业高中、普通中专、成人中专、技工学校（含技师学院）四类学校，按要求毕业后可取得中职学历 ，非学历教育包括中等职业学校、职业技术培训机构的资格证书培训与岗位证书培训。中等职业教育是中国中等教育的组成部分，担负着培养数以亿计高素质劳动者的重要任务，是中国经济社会发展的基础。</w:t>
      </w:r>
    </w:p>
    <w:p>
      <w:pPr>
        <w:pStyle w:val="4"/>
        <w:numPr>
          <w:ilvl w:val="0"/>
          <w:numId w:val="0"/>
        </w:numPr>
        <w:bidi w:val="0"/>
        <w:outlineLvl w:val="1"/>
        <w:rPr>
          <w:rFonts w:hint="eastAsia" w:ascii="楷体" w:hAnsi="楷体" w:eastAsia="楷体" w:cs="楷体"/>
          <w:sz w:val="28"/>
          <w:szCs w:val="28"/>
          <w:lang w:val="en-US" w:eastAsia="zh-CN"/>
        </w:rPr>
      </w:pPr>
      <w:bookmarkStart w:id="18" w:name="_Toc18493"/>
      <w:bookmarkStart w:id="19" w:name="_Toc18842"/>
      <w:r>
        <w:rPr>
          <w:rFonts w:hint="eastAsia" w:ascii="楷体" w:hAnsi="楷体" w:eastAsia="楷体" w:cs="楷体"/>
          <w:sz w:val="28"/>
          <w:szCs w:val="28"/>
          <w:lang w:val="en-US" w:eastAsia="zh-CN"/>
        </w:rPr>
        <w:t>2.2教育效率</w:t>
      </w:r>
      <w:bookmarkEnd w:id="18"/>
      <w:bookmarkEnd w:id="19"/>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育效率则是指在教育投入所支撑的条件下，取得的教育产出与投入的关系。通过衡量教育资源投入与其所承载的教育产出效果，来评估教育的效率高低。教育效率的提高可以帮助提升教育质量，使得每一份投入都能够最大限度地发挥作用，实现更好的教育目标。</w:t>
      </w:r>
    </w:p>
    <w:p>
      <w:pPr>
        <w:pStyle w:val="2"/>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教育投入、教育产出和教育效率之间的关系可以看出：教育投入是为实现教育目标和提供教育服务所必需的，教育投入多的教育机构和区域通常可能更容易达到较好的教育产出。但是仅有教育投入无法衡量教育服务效果，同等条件下，高效率的教育机构或区域，可能会在相对较少的投入下也能达到更好的教育产出。因此，教育效率作为衡量教育服务效果的指标非常重要。</w:t>
      </w:r>
    </w:p>
    <w:p>
      <w:pPr>
        <w:pStyle w:val="3"/>
        <w:numPr>
          <w:ilvl w:val="0"/>
          <w:numId w:val="0"/>
        </w:numPr>
        <w:bidi w:val="0"/>
        <w:outlineLvl w:val="0"/>
        <w:rPr>
          <w:rFonts w:hint="default"/>
          <w:b w:val="0"/>
          <w:bCs/>
          <w:sz w:val="30"/>
          <w:szCs w:val="30"/>
          <w:lang w:val="en-US" w:eastAsia="zh-CN"/>
        </w:rPr>
      </w:pPr>
      <w:bookmarkStart w:id="20" w:name="_Toc29385"/>
      <w:bookmarkStart w:id="21" w:name="_Toc22121"/>
      <w:r>
        <w:rPr>
          <w:rFonts w:hint="eastAsia" w:ascii="Arial" w:hAnsi="Arial" w:eastAsia="黑体" w:cs="Times New Roman"/>
          <w:b w:val="0"/>
          <w:bCs/>
          <w:kern w:val="2"/>
          <w:sz w:val="30"/>
          <w:szCs w:val="30"/>
          <w:lang w:val="en-US" w:eastAsia="zh-CN" w:bidi="ar-SA"/>
        </w:rPr>
        <w:t>第</w:t>
      </w:r>
      <w:r>
        <w:rPr>
          <w:rFonts w:hint="eastAsia" w:cs="Times New Roman"/>
          <w:b w:val="0"/>
          <w:bCs/>
          <w:kern w:val="2"/>
          <w:sz w:val="30"/>
          <w:szCs w:val="30"/>
          <w:lang w:val="en-US" w:eastAsia="zh-CN" w:bidi="ar-SA"/>
        </w:rPr>
        <w:t>三</w:t>
      </w:r>
      <w:r>
        <w:rPr>
          <w:rFonts w:hint="eastAsia" w:ascii="Arial" w:hAnsi="Arial" w:eastAsia="黑体" w:cs="Times New Roman"/>
          <w:b w:val="0"/>
          <w:bCs/>
          <w:kern w:val="2"/>
          <w:sz w:val="30"/>
          <w:szCs w:val="30"/>
          <w:lang w:val="en-US" w:eastAsia="zh-CN" w:bidi="ar-SA"/>
        </w:rPr>
        <w:t>章</w:t>
      </w:r>
      <w:r>
        <w:rPr>
          <w:rFonts w:hint="eastAsia" w:cs="Times New Roman"/>
          <w:b w:val="0"/>
          <w:bCs/>
          <w:kern w:val="2"/>
          <w:sz w:val="30"/>
          <w:szCs w:val="30"/>
          <w:lang w:val="en-US" w:eastAsia="zh-CN" w:bidi="ar-SA"/>
        </w:rPr>
        <w:t xml:space="preserve"> 教育评价指标</w:t>
      </w:r>
      <w:r>
        <w:rPr>
          <w:rFonts w:hint="eastAsia"/>
          <w:b w:val="0"/>
          <w:bCs/>
          <w:sz w:val="30"/>
          <w:szCs w:val="30"/>
          <w:lang w:val="en-US" w:eastAsia="zh-CN"/>
        </w:rPr>
        <w:t>构成及影响因素</w:t>
      </w:r>
      <w:bookmarkEnd w:id="20"/>
      <w:bookmarkEnd w:id="21"/>
    </w:p>
    <w:p>
      <w:pPr>
        <w:pStyle w:val="4"/>
        <w:bidi w:val="0"/>
        <w:outlineLvl w:val="1"/>
        <w:rPr>
          <w:rFonts w:hint="eastAsia" w:ascii="楷体" w:hAnsi="楷体" w:eastAsia="楷体" w:cs="楷体"/>
          <w:sz w:val="28"/>
          <w:szCs w:val="28"/>
          <w:lang w:val="en-US" w:eastAsia="zh-CN"/>
        </w:rPr>
      </w:pPr>
      <w:bookmarkStart w:id="22" w:name="_Toc14984"/>
      <w:bookmarkStart w:id="23" w:name="_Toc811"/>
      <w:r>
        <w:rPr>
          <w:rFonts w:hint="eastAsia" w:ascii="楷体" w:hAnsi="楷体" w:eastAsia="楷体" w:cs="楷体"/>
          <w:sz w:val="28"/>
          <w:szCs w:val="28"/>
          <w:lang w:val="en-US" w:eastAsia="zh-CN"/>
        </w:rPr>
        <w:t>3.1教育评价指标的构成</w:t>
      </w:r>
      <w:bookmarkEnd w:id="22"/>
      <w:bookmarkEnd w:id="23"/>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教育评价指标的构成通常包括以下几个方面：</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教育投入指标：这包括教育经费支出、学生教师比例、教师培训和提升等。教育投入较为直接地反映了教育行政机关和学校管理者对教育的关注程度。</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教育过程指标：这些指标包括学校和教师师资水平、课程设置、教学活动等方面。这些指标可以帮助评估教育过程中的教育质量和效果。</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教育产出指标：这些指标用于反映教育投入和教育过程的结果，包括学生的知识技能水平、毕业后的就业情况、社会贡献等。这些指标的评估可以帮助评估教育成果和教育效果。</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教育档案指标：这些指标主要是关于学生综合素质评价、学籍管理、招生和录取情况等。这些指标可以反映学校在学生管理和教育服务方面的水平。</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综合以上几个方面的指标，可以评估教育的质量和效益，为政府、学校和家长等提供决策参考和助力。</w:t>
      </w:r>
    </w:p>
    <w:p>
      <w:pPr>
        <w:pStyle w:val="4"/>
        <w:numPr>
          <w:ilvl w:val="0"/>
          <w:numId w:val="0"/>
        </w:numPr>
        <w:bidi w:val="0"/>
        <w:outlineLvl w:val="1"/>
        <w:rPr>
          <w:rFonts w:hint="eastAsia" w:ascii="楷体" w:hAnsi="楷体" w:eastAsia="楷体" w:cs="楷体"/>
          <w:sz w:val="28"/>
          <w:szCs w:val="28"/>
          <w:lang w:val="en-US" w:eastAsia="zh-CN"/>
        </w:rPr>
      </w:pPr>
      <w:bookmarkStart w:id="24" w:name="_Toc4131"/>
      <w:bookmarkStart w:id="25" w:name="_Toc30523"/>
      <w:r>
        <w:rPr>
          <w:rFonts w:hint="eastAsia" w:ascii="楷体" w:hAnsi="楷体" w:eastAsia="楷体" w:cs="楷体"/>
          <w:sz w:val="28"/>
          <w:szCs w:val="28"/>
          <w:lang w:val="en-US" w:eastAsia="zh-CN"/>
        </w:rPr>
        <w:t>3.2教育评价指标的影响因素</w:t>
      </w:r>
      <w:bookmarkEnd w:id="24"/>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教育评价指标的影响因素包括以下几个方面：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文化和社会环境：评价指标的制定和应用受到当地文化和社会环境的影响，不同地区和社会的评价指标可能存在差异。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政策和法规：政府相关政策和法规对教育评价指标的设计、采集和应用有着重要影响。政策和法规的变化会对教育评价体系和指标的改变产生影响。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技术和数据采集工具：评价指标体系和具体指标的设计和采集离不开相关技术和数据采集工具的支持。随着技术和数据采集工具不断更新和进步，评价指标也会发生相应的变化。</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教育改革和发展：教育改革和发展推进了教育评价指标的更新和改进。随着教育改革的不断深入和发展，评价指标也需要不断进行调整和更新。</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综合以上几个方面，教育评价指标的设计、采集和应用需要综合考虑各方面的影响因素，以确保评价指标的科学性和客观性。</w:t>
      </w:r>
    </w:p>
    <w:p>
      <w:pPr>
        <w:pStyle w:val="3"/>
        <w:numPr>
          <w:ilvl w:val="0"/>
          <w:numId w:val="0"/>
        </w:numPr>
        <w:bidi w:val="0"/>
        <w:ind w:left="0" w:leftChars="0" w:firstLine="0" w:firstLineChars="0"/>
        <w:outlineLvl w:val="0"/>
        <w:rPr>
          <w:rFonts w:hint="eastAsia"/>
          <w:sz w:val="30"/>
          <w:szCs w:val="30"/>
          <w:lang w:val="en-US" w:eastAsia="zh-CN"/>
        </w:rPr>
      </w:pPr>
      <w:bookmarkStart w:id="26" w:name="_Toc11231"/>
      <w:bookmarkStart w:id="27" w:name="_Toc9296"/>
      <w:r>
        <w:rPr>
          <w:rFonts w:hint="eastAsia" w:ascii="Arial" w:hAnsi="Arial" w:eastAsia="黑体" w:cs="Times New Roman"/>
          <w:b/>
          <w:kern w:val="2"/>
          <w:sz w:val="30"/>
          <w:szCs w:val="30"/>
          <w:lang w:val="en-US" w:eastAsia="zh-CN" w:bidi="ar-SA"/>
        </w:rPr>
        <w:t>第</w:t>
      </w:r>
      <w:r>
        <w:rPr>
          <w:rFonts w:hint="eastAsia" w:cs="Times New Roman"/>
          <w:b/>
          <w:kern w:val="2"/>
          <w:sz w:val="30"/>
          <w:szCs w:val="30"/>
          <w:lang w:val="en-US" w:eastAsia="zh-CN" w:bidi="ar-SA"/>
        </w:rPr>
        <w:t>四</w:t>
      </w:r>
      <w:r>
        <w:rPr>
          <w:rFonts w:hint="eastAsia" w:ascii="Arial" w:hAnsi="Arial" w:eastAsia="黑体" w:cs="Times New Roman"/>
          <w:b/>
          <w:kern w:val="2"/>
          <w:sz w:val="30"/>
          <w:szCs w:val="30"/>
          <w:lang w:val="en-US" w:eastAsia="zh-CN" w:bidi="ar-SA"/>
        </w:rPr>
        <w:t>章</w:t>
      </w:r>
      <w:r>
        <w:rPr>
          <w:rFonts w:hint="eastAsia" w:cs="Times New Roman"/>
          <w:b/>
          <w:kern w:val="2"/>
          <w:sz w:val="30"/>
          <w:szCs w:val="30"/>
          <w:lang w:val="en-US" w:eastAsia="zh-CN" w:bidi="ar-SA"/>
        </w:rPr>
        <w:t xml:space="preserve"> </w:t>
      </w:r>
      <w:r>
        <w:rPr>
          <w:rFonts w:hint="eastAsia"/>
          <w:sz w:val="30"/>
          <w:szCs w:val="30"/>
          <w:lang w:val="en-US" w:eastAsia="zh-CN"/>
        </w:rPr>
        <w:t>职业高中的教育现状分析</w:t>
      </w:r>
      <w:bookmarkEnd w:id="26"/>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直至2021年，全国共有中等职业学校7294所，同口径比上年减少179所。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中等职业教育[23]招生488.99万人，同口径比上年增加4.38万人，增长0.90%；在校生1311.81万人，同口径比上年增加43.98万人，增长3.47%；毕业生375.37万人，同口径比上年减少8.09万人，下降2.11%。</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中等职业教育专任教师69.54万人；生师比18.86:1；专任教师中本科以上学历比例93.57%；“双师型”专任教师占专业（技能）课程专任教师比例55.51%。</w:t>
      </w:r>
    </w:p>
    <w:p>
      <w:pPr>
        <w:pStyle w:val="6"/>
        <w:keepNext w:val="0"/>
        <w:keepLines w:val="0"/>
        <w:pageBreakBefore w:val="0"/>
        <w:widowControl w:val="0"/>
        <w:kinsoku/>
        <w:wordWrap/>
        <w:overflowPunct/>
        <w:topLinePunct w:val="0"/>
        <w:autoSpaceDE/>
        <w:autoSpaceDN/>
        <w:bidi w:val="0"/>
        <w:adjustRightInd/>
        <w:snapToGrid/>
        <w:spacing w:line="480" w:lineRule="exact"/>
        <w:ind w:left="0" w:leftChars="0" w:firstLine="0" w:firstLineChars="0"/>
        <w:jc w:val="center"/>
        <w:textAlignment w:val="auto"/>
        <w:rPr>
          <w:rFonts w:hint="eastAsia" w:asciiTheme="majorEastAsia" w:hAnsiTheme="majorEastAsia" w:eastAsiaTheme="majorEastAsia" w:cstheme="majorEastAsia"/>
          <w:sz w:val="24"/>
          <w:szCs w:val="24"/>
        </w:rPr>
      </w:pPr>
    </w:p>
    <w:p>
      <w:pPr>
        <w:pStyle w:val="2"/>
        <w:spacing w:line="240" w:lineRule="auto"/>
        <w:ind w:left="0" w:leftChars="0" w:firstLine="0" w:firstLineChars="0"/>
        <w:jc w:val="center"/>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ajorEastAsia" w:hAnsiTheme="majorEastAsia" w:eastAsiaTheme="majorEastAsia" w:cstheme="majorEastAsia"/>
          <w:sz w:val="24"/>
          <w:szCs w:val="24"/>
          <w:lang w:eastAsia="zh-CN"/>
        </w:rPr>
      </w:pPr>
      <w:bookmarkStart w:id="28" w:name="_Toc5691"/>
    </w:p>
    <w:p>
      <w:pPr>
        <w:pStyle w:val="6"/>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drawing>
          <wp:inline distT="0" distB="0" distL="114300" distR="114300">
            <wp:extent cx="5271770" cy="6337300"/>
            <wp:effectExtent l="0" t="0" r="1270" b="2540"/>
            <wp:docPr id="10" name="图片 10" descr="Merged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ergedImages"/>
                    <pic:cNvPicPr>
                      <a:picLocks noChangeAspect="1"/>
                    </pic:cNvPicPr>
                  </pic:nvPicPr>
                  <pic:blipFill>
                    <a:blip r:embed="rId6"/>
                    <a:stretch>
                      <a:fillRect/>
                    </a:stretch>
                  </pic:blipFill>
                  <pic:spPr>
                    <a:xfrm>
                      <a:off x="0" y="0"/>
                      <a:ext cx="5271770" cy="6337300"/>
                    </a:xfrm>
                    <a:prstGeom prst="rect">
                      <a:avLst/>
                    </a:prstGeom>
                  </pic:spPr>
                </pic:pic>
              </a:graphicData>
            </a:graphic>
          </wp:inline>
        </w:drawing>
      </w:r>
    </w:p>
    <w:p>
      <w:pPr>
        <w:pStyle w:val="6"/>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图</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图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rPr>
        <w:fldChar w:fldCharType="end"/>
      </w:r>
      <w:bookmarkStart w:id="29" w:name="_Toc24874"/>
      <w:bookmarkStart w:id="30" w:name="_Toc17906"/>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lang w:eastAsia="zh-CN"/>
        </w:rPr>
        <w:t>近九年全国中职教育评价关键指标</w:t>
      </w:r>
      <w:r>
        <w:rPr>
          <w:rFonts w:hint="eastAsia" w:asciiTheme="majorEastAsia" w:hAnsiTheme="majorEastAsia" w:eastAsiaTheme="majorEastAsia" w:cstheme="majorEastAsia"/>
          <w:sz w:val="24"/>
          <w:szCs w:val="24"/>
          <w:lang w:val="en-US" w:eastAsia="zh-CN"/>
        </w:rPr>
        <w:t>变化图</w:t>
      </w:r>
      <w:bookmarkEnd w:id="29"/>
      <w:bookmarkEnd w:id="30"/>
    </w:p>
    <w:p>
      <w:pPr>
        <w:pStyle w:val="6"/>
        <w:keepNext w:val="0"/>
        <w:keepLines w:val="0"/>
        <w:pageBreakBefore w:val="0"/>
        <w:widowControl w:val="0"/>
        <w:kinsoku/>
        <w:wordWrap/>
        <w:overflowPunct/>
        <w:topLinePunct w:val="0"/>
        <w:autoSpaceDE/>
        <w:autoSpaceDN/>
        <w:bidi w:val="0"/>
        <w:adjustRightInd/>
        <w:snapToGrid/>
        <w:spacing w:line="480" w:lineRule="exact"/>
        <w:ind w:left="0" w:leftChars="0" w:firstLine="0" w:firstLineChars="0"/>
        <w:jc w:val="center"/>
        <w:textAlignment w:val="auto"/>
        <w:rPr>
          <w:rFonts w:hint="eastAsia" w:ascii="楷体" w:hAnsi="楷体" w:eastAsia="楷体" w:cs="楷体"/>
          <w:sz w:val="28"/>
          <w:szCs w:val="28"/>
          <w:lang w:val="en-US" w:eastAsia="zh-CN"/>
        </w:rPr>
      </w:pPr>
    </w:p>
    <w:p>
      <w:pPr>
        <w:pStyle w:val="4"/>
        <w:tabs>
          <w:tab w:val="left" w:pos="4698"/>
        </w:tabs>
        <w:bidi w:val="0"/>
        <w:outlineLvl w:val="1"/>
        <w:rPr>
          <w:rFonts w:hint="eastAsia" w:ascii="楷体" w:hAnsi="楷体" w:eastAsia="楷体" w:cs="楷体"/>
          <w:sz w:val="28"/>
          <w:szCs w:val="28"/>
          <w:lang w:val="en-US" w:eastAsia="zh-CN"/>
        </w:rPr>
      </w:pPr>
      <w:bookmarkStart w:id="31" w:name="_Toc7145"/>
      <w:r>
        <w:rPr>
          <w:rFonts w:hint="eastAsia" w:ascii="楷体" w:hAnsi="楷体" w:eastAsia="楷体" w:cs="楷体"/>
          <w:sz w:val="28"/>
          <w:szCs w:val="28"/>
          <w:lang w:val="en-US" w:eastAsia="zh-CN"/>
        </w:rPr>
        <w:t>4.1职业高中教育投入现状</w:t>
      </w:r>
      <w:bookmarkEnd w:id="28"/>
      <w:bookmarkEnd w:id="31"/>
      <w:r>
        <w:rPr>
          <w:rFonts w:hint="eastAsia" w:ascii="楷体" w:hAnsi="楷体" w:eastAsia="楷体" w:cs="楷体"/>
          <w:sz w:val="28"/>
          <w:szCs w:val="28"/>
          <w:lang w:val="en-US" w:eastAsia="zh-CN"/>
        </w:rPr>
        <w:tab/>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据官方统计，中国的职业教育投入呈逐年增长的趋势，尤其是2010年以后，国家开始加大对职业教育的支持力度，相应的投入也在增长。其中，投入主要包括基础设施建设、师资培训和课程改革等方面。具体来说，中国政府在职业教育方面的投入包括以下几个方面：</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基础设施建设：政府在职业教育方面投入较多的基础设施建设，以改善教学条件和学校环境。近年来，政府重点支持了教学设施建设，比如实训中心、实验室和教师培训中心等。</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师资培训：政府鼓励教育机构加强教师培养，提高职业教育教师教学水平。这包括引入国外职业教育专家进行教学指导和培训，组织大型教师培训班等。</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课程改革：政府逐步推进职业教育课程改革，提高职业教育的实用性和就业率。大力发展校企合作，鼓励学生参与实践和技能竞赛。</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总的来说，中国在职业教育方面的投入逐年增长，国家层面和地方政府都在积极推进各项改革，以提高职业教育质量和教育效益。</w:t>
      </w:r>
    </w:p>
    <w:p>
      <w:pPr>
        <w:pStyle w:val="4"/>
        <w:numPr>
          <w:ilvl w:val="0"/>
          <w:numId w:val="0"/>
        </w:numPr>
        <w:bidi w:val="0"/>
        <w:ind w:leftChars="0"/>
        <w:outlineLvl w:val="1"/>
        <w:rPr>
          <w:rFonts w:hint="eastAsia" w:ascii="楷体" w:hAnsi="楷体" w:eastAsia="楷体" w:cs="楷体"/>
          <w:sz w:val="28"/>
          <w:szCs w:val="28"/>
          <w:lang w:val="en-US" w:eastAsia="zh-CN"/>
        </w:rPr>
      </w:pPr>
      <w:bookmarkStart w:id="32" w:name="_Toc22033"/>
      <w:bookmarkStart w:id="33" w:name="_Toc30553"/>
      <w:r>
        <w:rPr>
          <w:rFonts w:hint="eastAsia" w:ascii="楷体" w:hAnsi="楷体" w:eastAsia="楷体" w:cs="楷体"/>
          <w:sz w:val="28"/>
          <w:szCs w:val="28"/>
          <w:lang w:val="en-US" w:eastAsia="zh-CN"/>
        </w:rPr>
        <w:t>4.2职业高中教育产出现状</w:t>
      </w:r>
      <w:bookmarkEnd w:id="32"/>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中国职业高中教育的产出现状与投入相比，存在一定程度的不匹配。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虽然职业教育的就业率较高，但是目前职业教育的毕业生在获得高质量就业的同时，教育质量与教育效益问题也日益凸显。一些职业高中学生基础薄弱、实践技能不足，出现“有毕业证，无技能”的现象；一些职业教育学科和专业未能顺应市场需求及有效供求方面；教育资源配置不均衡，职业教育与高等教育之间的差距也逐渐扩大。</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为了改善这种现状，中国正在推行职业教育改革，不断优化职业教育体系、培养职业型人才，并加大职业教育资源投入。同时，提高教育教学质量也成为政府和教育机构的重要任务。可以预见，随着职业教育改革的深入进行，职业教育的产出效益会不断提升。</w:t>
      </w:r>
    </w:p>
    <w:p>
      <w:pPr>
        <w:numPr>
          <w:ilvl w:val="0"/>
          <w:numId w:val="0"/>
        </w:numPr>
        <w:rPr>
          <w:rFonts w:hint="default"/>
          <w:lang w:val="en-US"/>
        </w:rPr>
      </w:pPr>
    </w:p>
    <w:p>
      <w:pPr>
        <w:pStyle w:val="4"/>
        <w:numPr>
          <w:ilvl w:val="0"/>
          <w:numId w:val="0"/>
        </w:numPr>
        <w:bidi w:val="0"/>
        <w:ind w:leftChars="0"/>
        <w:outlineLvl w:val="1"/>
        <w:rPr>
          <w:rFonts w:hint="eastAsia" w:ascii="楷体" w:hAnsi="楷体" w:eastAsia="楷体" w:cs="楷体"/>
          <w:sz w:val="28"/>
          <w:szCs w:val="28"/>
          <w:lang w:val="en-US" w:eastAsia="zh-CN"/>
        </w:rPr>
      </w:pPr>
      <w:bookmarkStart w:id="34" w:name="_Toc8723"/>
      <w:bookmarkStart w:id="35" w:name="_Toc13054"/>
      <w:r>
        <w:rPr>
          <w:rFonts w:hint="eastAsia" w:ascii="楷体" w:hAnsi="楷体" w:eastAsia="楷体" w:cs="楷体"/>
          <w:sz w:val="28"/>
          <w:szCs w:val="28"/>
          <w:lang w:val="en-US" w:eastAsia="zh-CN"/>
        </w:rPr>
        <w:t>4.3职业高中教育投入产出现状综合分析</w:t>
      </w:r>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合分析中国职业高中教育的投入和产出现状，可以发现当前存在一定的不平衡和不匹配。虽然政府在职业教育方面的投入不断增加，但是仍然存在教育资源配置不均衡、教育效益不高等问题。部分职业高中学生虽然可以获得就业机会，但是由于个人技能和素质水平不高，存在“有毕业证，无用武之地”的情况。此外，职业高中学生的就业机会广泛，但就业岗位与市场需求不太匹配，职业教育专业与劳动力市场需求之间的契合度有待进一步提升。</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这些问题，中国政府正在加大对职业教育的投入力度，并推行各项改革，包括基础设施建设、师资培养、课程改革等方面。同时，提高教育教学质量和教育效益，使得投入的资源能够最大程度地发挥作用，是当前职业教育工作者的共同任务。在未来，职业高中教育投入产出水平将会进一步提高，职业教育学生的就业前景和生活质量也将得到更好的保障。</w:t>
      </w:r>
    </w:p>
    <w:p>
      <w:pPr>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br w:type="page"/>
      </w:r>
    </w:p>
    <w:p>
      <w:pPr>
        <w:pStyle w:val="4"/>
        <w:numPr>
          <w:ilvl w:val="0"/>
          <w:numId w:val="0"/>
        </w:numPr>
        <w:bidi w:val="0"/>
        <w:ind w:leftChars="0"/>
        <w:outlineLvl w:val="1"/>
        <w:rPr>
          <w:rFonts w:hint="eastAsia"/>
          <w:lang w:val="en-US" w:eastAsia="zh-CN"/>
        </w:rPr>
      </w:pPr>
      <w:bookmarkStart w:id="36" w:name="_Toc27570"/>
      <w:r>
        <w:rPr>
          <w:rFonts w:hint="eastAsia" w:ascii="楷体" w:hAnsi="楷体" w:eastAsia="楷体" w:cs="楷体"/>
          <w:sz w:val="28"/>
          <w:szCs w:val="28"/>
          <w:lang w:val="en-US" w:eastAsia="zh-CN"/>
        </w:rPr>
        <w:t>4.4各省中职教育近三年的关键评价指标统计</w:t>
      </w:r>
      <w:bookmarkEnd w:id="36"/>
    </w:p>
    <w:bookmarkEnd w:id="35"/>
    <w:p>
      <w:pPr>
        <w:rPr>
          <w:rFonts w:hint="eastAsia" w:ascii="宋体" w:hAnsi="宋体" w:eastAsia="宋体" w:cs="宋体"/>
          <w:b/>
          <w:bCs/>
          <w:color w:val="000000"/>
          <w:kern w:val="0"/>
          <w:sz w:val="24"/>
          <w:szCs w:val="24"/>
          <w:lang w:val="en-US" w:eastAsia="zh-CN" w:bidi="ar"/>
        </w:rPr>
      </w:pPr>
    </w:p>
    <w:p>
      <w:pPr>
        <w:pStyle w:val="6"/>
        <w:jc w:val="center"/>
        <w:rPr>
          <w:rFonts w:hint="eastAsia"/>
          <w:lang w:val="en-US" w:eastAsia="zh-CN"/>
        </w:rPr>
      </w:pPr>
      <w:r>
        <w:rPr>
          <w:rFonts w:hint="eastAsia"/>
          <w:lang w:val="en-US" w:eastAsia="zh-CN"/>
        </w:rPr>
        <w:drawing>
          <wp:inline distT="0" distB="0" distL="114300" distR="114300">
            <wp:extent cx="5271770" cy="6337300"/>
            <wp:effectExtent l="0" t="0" r="1270" b="2540"/>
            <wp:docPr id="8" name="图片 8" descr="Merged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ergedImages"/>
                    <pic:cNvPicPr>
                      <a:picLocks noChangeAspect="1"/>
                    </pic:cNvPicPr>
                  </pic:nvPicPr>
                  <pic:blipFill>
                    <a:blip r:embed="rId7"/>
                    <a:stretch>
                      <a:fillRect/>
                    </a:stretch>
                  </pic:blipFill>
                  <pic:spPr>
                    <a:xfrm>
                      <a:off x="0" y="0"/>
                      <a:ext cx="5271770" cy="6337300"/>
                    </a:xfrm>
                    <a:prstGeom prst="rect">
                      <a:avLst/>
                    </a:prstGeom>
                  </pic:spPr>
                </pic:pic>
              </a:graphicData>
            </a:graphic>
          </wp:inline>
        </w:drawing>
      </w:r>
    </w:p>
    <w:p>
      <w:pPr>
        <w:pStyle w:val="6"/>
        <w:jc w:val="center"/>
        <w:rPr>
          <w:rFonts w:hint="eastAsia" w:asciiTheme="majorEastAsia" w:hAnsiTheme="majorEastAsia" w:eastAsiaTheme="majorEastAsia" w:cstheme="majorEastAsia"/>
          <w:sz w:val="24"/>
          <w:szCs w:val="24"/>
        </w:rPr>
      </w:pPr>
    </w:p>
    <w:p>
      <w:pPr>
        <w:pStyle w:val="6"/>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图</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图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2</w:t>
      </w:r>
      <w:r>
        <w:rPr>
          <w:rFonts w:hint="eastAsia" w:asciiTheme="majorEastAsia" w:hAnsiTheme="majorEastAsia" w:eastAsiaTheme="majorEastAsia" w:cstheme="majorEastAsia"/>
          <w:sz w:val="24"/>
          <w:szCs w:val="24"/>
        </w:rPr>
        <w:fldChar w:fldCharType="end"/>
      </w:r>
      <w:bookmarkStart w:id="37" w:name="_Toc30853"/>
      <w:r>
        <w:rPr>
          <w:rFonts w:hint="eastAsia" w:asciiTheme="majorEastAsia" w:hAnsiTheme="majorEastAsia" w:eastAsiaTheme="majorEastAsia" w:cstheme="majorEastAsia"/>
          <w:sz w:val="24"/>
          <w:szCs w:val="24"/>
          <w:lang w:eastAsia="zh-CN"/>
        </w:rPr>
        <w:t xml:space="preserve"> 2019年各省中职教育关键评价指标统计</w:t>
      </w:r>
      <w:bookmarkEnd w:id="37"/>
    </w:p>
    <w:p>
      <w:pPr>
        <w:pStyle w:val="6"/>
        <w:jc w:val="center"/>
        <w:rPr>
          <w:rFonts w:hint="eastAsia" w:asciiTheme="majorEastAsia" w:hAnsiTheme="majorEastAsia" w:eastAsiaTheme="majorEastAsia" w:cstheme="majorEastAsia"/>
          <w:sz w:val="24"/>
          <w:szCs w:val="24"/>
        </w:rPr>
      </w:pPr>
    </w:p>
    <w:p>
      <w:pPr>
        <w:pStyle w:val="6"/>
        <w:jc w:val="center"/>
        <w:rPr>
          <w:rFonts w:hint="eastAsia" w:asciiTheme="majorEastAsia" w:hAnsiTheme="majorEastAsia" w:eastAsiaTheme="majorEastAsia" w:cstheme="majorEastAsia"/>
          <w:sz w:val="24"/>
          <w:szCs w:val="24"/>
        </w:rPr>
      </w:pPr>
    </w:p>
    <w:p>
      <w:pPr>
        <w:rPr>
          <w:rFonts w:hint="eastAsia" w:ascii="宋体" w:hAnsi="宋体" w:eastAsia="宋体" w:cs="宋体"/>
          <w:b/>
          <w:bCs/>
          <w:color w:val="000000"/>
          <w:kern w:val="0"/>
          <w:sz w:val="24"/>
          <w:szCs w:val="24"/>
          <w:lang w:val="en-US" w:eastAsia="zh-CN" w:bidi="ar"/>
        </w:rPr>
      </w:pPr>
    </w:p>
    <w:p>
      <w:pPr>
        <w:rPr>
          <w:rFonts w:hint="eastAsia"/>
          <w:lang w:eastAsia="zh-CN"/>
        </w:rPr>
      </w:pPr>
      <w:r>
        <w:rPr>
          <w:rFonts w:hint="eastAsia"/>
          <w:lang w:eastAsia="zh-CN"/>
        </w:rPr>
        <w:drawing>
          <wp:inline distT="0" distB="0" distL="114300" distR="114300">
            <wp:extent cx="5271770" cy="6337300"/>
            <wp:effectExtent l="0" t="0" r="1270" b="2540"/>
            <wp:docPr id="9" name="图片 9" descr="Merged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ergedImages (1)"/>
                    <pic:cNvPicPr>
                      <a:picLocks noChangeAspect="1"/>
                    </pic:cNvPicPr>
                  </pic:nvPicPr>
                  <pic:blipFill>
                    <a:blip r:embed="rId8"/>
                    <a:stretch>
                      <a:fillRect/>
                    </a:stretch>
                  </pic:blipFill>
                  <pic:spPr>
                    <a:xfrm>
                      <a:off x="0" y="0"/>
                      <a:ext cx="5271770" cy="6337300"/>
                    </a:xfrm>
                    <a:prstGeom prst="rect">
                      <a:avLst/>
                    </a:prstGeom>
                  </pic:spPr>
                </pic:pic>
              </a:graphicData>
            </a:graphic>
          </wp:inline>
        </w:drawing>
      </w:r>
    </w:p>
    <w:p>
      <w:pPr>
        <w:pStyle w:val="6"/>
      </w:pPr>
    </w:p>
    <w:p>
      <w:pPr>
        <w:pStyle w:val="6"/>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图</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图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bookmarkStart w:id="38" w:name="_Toc5708"/>
      <w:r>
        <w:rPr>
          <w:rFonts w:hint="eastAsia" w:asciiTheme="majorEastAsia" w:hAnsiTheme="majorEastAsia" w:eastAsiaTheme="majorEastAsia" w:cstheme="majorEastAsia"/>
          <w:sz w:val="24"/>
          <w:szCs w:val="24"/>
          <w:lang w:eastAsia="zh-CN"/>
        </w:rPr>
        <w:t xml:space="preserve"> 2020年各省中职教育关键评价指标统计</w:t>
      </w:r>
      <w:bookmarkEnd w:id="38"/>
    </w:p>
    <w:p>
      <w:pPr>
        <w:pStyle w:val="2"/>
        <w:ind w:left="0" w:leftChars="0" w:firstLine="0" w:firstLineChars="0"/>
        <w:rPr>
          <w:rFonts w:hint="eastAsia"/>
          <w:lang w:eastAsia="zh-CN"/>
        </w:rPr>
      </w:pPr>
    </w:p>
    <w:p>
      <w:pPr>
        <w:pStyle w:val="6"/>
        <w:jc w:val="center"/>
        <w:rPr>
          <w:rFonts w:hint="eastAsia" w:asciiTheme="minorEastAsia" w:hAnsiTheme="minorEastAsia" w:eastAsiaTheme="minorEastAsia" w:cstheme="minorEastAsia"/>
          <w:sz w:val="24"/>
          <w:szCs w:val="24"/>
        </w:rPr>
      </w:pPr>
    </w:p>
    <w:p>
      <w:p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drawing>
          <wp:inline distT="0" distB="0" distL="114300" distR="114300">
            <wp:extent cx="5271770" cy="6337300"/>
            <wp:effectExtent l="0" t="0" r="1270" b="2540"/>
            <wp:docPr id="1" name="图片 1" descr="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1"/>
                    <pic:cNvPicPr>
                      <a:picLocks noChangeAspect="1"/>
                    </pic:cNvPicPr>
                  </pic:nvPicPr>
                  <pic:blipFill>
                    <a:blip r:embed="rId9"/>
                    <a:stretch>
                      <a:fillRect/>
                    </a:stretch>
                  </pic:blipFill>
                  <pic:spPr>
                    <a:xfrm>
                      <a:off x="0" y="0"/>
                      <a:ext cx="5271770" cy="6337300"/>
                    </a:xfrm>
                    <a:prstGeom prst="rect">
                      <a:avLst/>
                    </a:prstGeom>
                  </pic:spPr>
                </pic:pic>
              </a:graphicData>
            </a:graphic>
          </wp:inline>
        </w:drawing>
      </w:r>
    </w:p>
    <w:p>
      <w:pPr>
        <w:pStyle w:val="6"/>
        <w:jc w:val="center"/>
        <w:rPr>
          <w:rFonts w:hint="eastAsia" w:asciiTheme="minorEastAsia" w:hAnsiTheme="minorEastAsia" w:eastAsiaTheme="minorEastAsia" w:cstheme="minorEastAsia"/>
          <w:sz w:val="24"/>
          <w:szCs w:val="24"/>
        </w:rPr>
      </w:pPr>
    </w:p>
    <w:p>
      <w:pPr>
        <w:pStyle w:val="6"/>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图</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图 \* ARABIC \s 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bookmarkStart w:id="39" w:name="_Toc28758"/>
      <w:r>
        <w:rPr>
          <w:rFonts w:hint="eastAsia" w:asciiTheme="minorEastAsia" w:hAnsiTheme="minorEastAsia" w:eastAsiaTheme="minorEastAsia" w:cstheme="minorEastAsia"/>
          <w:sz w:val="24"/>
          <w:szCs w:val="24"/>
          <w:lang w:eastAsia="zh-CN"/>
        </w:rPr>
        <w:t xml:space="preserve"> 2021年各省中职教育关键评价指标统计</w:t>
      </w:r>
      <w:bookmarkEnd w:id="39"/>
    </w:p>
    <w:p>
      <w:pPr>
        <w:rPr>
          <w:rFonts w:hint="eastAsia" w:ascii="宋体" w:hAnsi="宋体" w:eastAsia="宋体" w:cs="宋体"/>
          <w:b/>
          <w:bCs/>
          <w:color w:val="000000"/>
          <w:kern w:val="0"/>
          <w:sz w:val="24"/>
          <w:szCs w:val="24"/>
          <w:lang w:val="en-US" w:eastAsia="zh-CN" w:bidi="ar"/>
        </w:rPr>
      </w:pPr>
    </w:p>
    <w:p>
      <w:pPr>
        <w:outlineLvl w:val="0"/>
        <w:rPr>
          <w:rFonts w:hint="eastAsia" w:ascii="黑体" w:hAnsi="黑体" w:eastAsia="黑体" w:cs="黑体"/>
          <w:b/>
          <w:bCs/>
          <w:color w:val="000000"/>
          <w:kern w:val="0"/>
          <w:sz w:val="30"/>
          <w:szCs w:val="30"/>
          <w:lang w:val="en-US" w:eastAsia="zh-CN" w:bidi="ar"/>
        </w:rPr>
      </w:pPr>
      <w:bookmarkStart w:id="40" w:name="_Toc28316"/>
      <w:bookmarkStart w:id="41" w:name="_Toc28506"/>
      <w:r>
        <w:rPr>
          <w:rFonts w:hint="eastAsia" w:ascii="黑体" w:hAnsi="黑体" w:eastAsia="黑体" w:cs="黑体"/>
          <w:b/>
          <w:bCs/>
          <w:color w:val="000000"/>
          <w:kern w:val="0"/>
          <w:sz w:val="30"/>
          <w:szCs w:val="30"/>
          <w:lang w:val="en-US" w:eastAsia="zh-CN" w:bidi="ar"/>
        </w:rPr>
        <w:t>第五章 职业高中教育投入产出效率测度与分析</w:t>
      </w:r>
      <w:bookmarkEnd w:id="40"/>
      <w:bookmarkEnd w:id="41"/>
    </w:p>
    <w:p>
      <w:pPr>
        <w:outlineLvl w:val="1"/>
        <w:rPr>
          <w:rFonts w:hint="eastAsia" w:ascii="楷体" w:hAnsi="楷体" w:eastAsia="楷体" w:cs="楷体"/>
          <w:b w:val="0"/>
          <w:bCs w:val="0"/>
          <w:color w:val="000000"/>
          <w:kern w:val="0"/>
          <w:sz w:val="28"/>
          <w:szCs w:val="28"/>
          <w:lang w:val="en-US" w:eastAsia="zh-CN" w:bidi="ar"/>
        </w:rPr>
      </w:pPr>
      <w:bookmarkStart w:id="42" w:name="_Toc20217"/>
      <w:bookmarkStart w:id="43" w:name="_Toc1936"/>
      <w:r>
        <w:rPr>
          <w:rFonts w:hint="eastAsia" w:ascii="楷体" w:hAnsi="楷体" w:eastAsia="楷体" w:cs="楷体"/>
          <w:b w:val="0"/>
          <w:bCs w:val="0"/>
          <w:color w:val="000000"/>
          <w:kern w:val="0"/>
          <w:sz w:val="28"/>
          <w:szCs w:val="28"/>
          <w:lang w:val="en-US" w:eastAsia="zh-CN" w:bidi="ar"/>
        </w:rPr>
        <w:t>5.1 职业高中教育投入产出效率模型的建立</w:t>
      </w:r>
      <w:bookmarkEnd w:id="42"/>
      <w:bookmarkEnd w:id="43"/>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为研究职业高中投入产出效率，本文引入了DEA模型以及Malmquist指数模型来对职业高中教育投入产出效率进行分析及研究。</w:t>
      </w:r>
    </w:p>
    <w:p>
      <w:pPr>
        <w:outlineLvl w:val="2"/>
        <w:rPr>
          <w:rFonts w:hint="eastAsia" w:ascii="宋体" w:hAnsi="宋体" w:eastAsia="宋体" w:cs="宋体"/>
          <w:b/>
          <w:bCs/>
          <w:color w:val="000000"/>
          <w:kern w:val="0"/>
          <w:sz w:val="24"/>
          <w:szCs w:val="24"/>
          <w:lang w:val="en-US" w:eastAsia="zh-CN" w:bidi="ar"/>
        </w:rPr>
      </w:pPr>
      <w:bookmarkStart w:id="44" w:name="_Toc6469"/>
      <w:bookmarkStart w:id="45" w:name="_Toc17150"/>
      <w:r>
        <w:rPr>
          <w:rFonts w:hint="eastAsia" w:ascii="宋体" w:hAnsi="宋体" w:eastAsia="宋体" w:cs="宋体"/>
          <w:b/>
          <w:bCs/>
          <w:color w:val="000000"/>
          <w:kern w:val="0"/>
          <w:sz w:val="24"/>
          <w:szCs w:val="24"/>
          <w:lang w:val="en-US" w:eastAsia="zh-CN" w:bidi="ar"/>
        </w:rPr>
        <w:t>5.1.1 DEA模型</w:t>
      </w:r>
      <w:bookmarkEnd w:id="44"/>
      <w:bookmarkEnd w:id="45"/>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1978年，美国著名的运筹学家A.Charnes、W.W.Cooper和E.Rhodes提出了数据包络分析（DEA）这种非参数检验方法，它是建立在相对效率评价概念基础上的。在这种方法中，被评估的单位或组织被称为决策单元（简称DMU）。利用线性规划，DEA选取了多项投入和产出数据，并以最优投入与产出作为生产前沿，构建数据包络曲线。在这条曲线上，有效点是指位于前沿面上的该类型决策单元，其效率值标定为1；无效点则位于前沿面外，并赋予一个大于0但小于1的相对效率值指标。DEA的主要用途是测量同一类型的多个输出和输入决策单元的相对效率。</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DEA-CCR模型构建如下：</w:t>
      </w:r>
    </w:p>
    <w:p>
      <w:pPr>
        <w:rPr>
          <w:rFonts w:hint="default" w:ascii="Arial" w:hAnsi="Arial" w:eastAsia="宋体" w:cs="Arial"/>
          <w:b/>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p>
    <w:p>
      <w:pPr>
        <w:tabs>
          <w:tab w:val="left" w:pos="2743"/>
        </w:tabs>
        <w:jc w:val="center"/>
        <w:rPr>
          <w:rFonts w:hint="default" w:ascii="Arial" w:hAnsi="Arial" w:eastAsia="宋体" w:cs="Arial"/>
          <w:b/>
          <w:bCs/>
          <w:color w:val="000000"/>
          <w:kern w:val="0"/>
          <w:sz w:val="24"/>
          <w:szCs w:val="24"/>
          <w:lang w:val="en-US" w:eastAsia="zh-CN" w:bidi="ar"/>
        </w:rPr>
      </w:pPr>
      <w:r>
        <w:rPr>
          <w:sz w:val="24"/>
        </w:rPr>
        <mc:AlternateContent>
          <mc:Choice Requires="wps">
            <w:drawing>
              <wp:anchor distT="0" distB="0" distL="114300" distR="114300" simplePos="0" relativeHeight="251659264" behindDoc="0" locked="0" layoutInCell="1" allowOverlap="1">
                <wp:simplePos x="0" y="0"/>
                <wp:positionH relativeFrom="column">
                  <wp:posOffset>4434840</wp:posOffset>
                </wp:positionH>
                <wp:positionV relativeFrom="paragraph">
                  <wp:posOffset>1376680</wp:posOffset>
                </wp:positionV>
                <wp:extent cx="1632585" cy="284480"/>
                <wp:effectExtent l="0" t="0" r="13335" b="5080"/>
                <wp:wrapNone/>
                <wp:docPr id="3" name="文本框 3"/>
                <wp:cNvGraphicFramePr/>
                <a:graphic xmlns:a="http://schemas.openxmlformats.org/drawingml/2006/main">
                  <a:graphicData uri="http://schemas.microsoft.com/office/word/2010/wordprocessingShape">
                    <wps:wsp>
                      <wps:cNvSpPr txBox="1"/>
                      <wps:spPr>
                        <a:xfrm>
                          <a:off x="4697095" y="4596765"/>
                          <a:ext cx="1632585" cy="284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公式（5.1）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2pt;margin-top:108.4pt;height:22.4pt;width:128.55pt;z-index:251659264;mso-width-relative:page;mso-height-relative:page;" fillcolor="#FFFFFF [3201]" filled="t" stroked="f" coordsize="21600,21600" o:gfxdata="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sc3&#10;EtYAAAALAQAADwAAAAAAAAABACAAAAAiAAAAZHJzL2Rvd25yZXYueG1sUEsBAhQAFAAAAAgAh07i&#10;QHmZIyJdAgAAmwQAAA4AAAAAAAAAAQAgAAAAJQEAAGRycy9lMm9Eb2MueG1sUEsFBgAAAAAGAAYA&#10;WQEAAPQFAAAAAA==&#10;">
                <v:fill on="t" focussize="0,0"/>
                <v:stroke on="f" weight="0.5pt"/>
                <v:imagedata o:title=""/>
                <o:lock v:ext="edit" aspectratio="f"/>
                <v:textbox>
                  <w:txbxContent>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公式（5.1）</w:t>
                      </w:r>
                    </w:p>
                  </w:txbxContent>
                </v:textbox>
              </v:shape>
            </w:pict>
          </mc:Fallback>
        </mc:AlternateContent>
      </w:r>
      <w:r>
        <w:rPr>
          <w:rFonts w:hint="eastAsia" w:ascii="Arial" w:hAnsi="Arial" w:eastAsia="宋体" w:cs="Arial"/>
          <w:b/>
          <w:bCs/>
          <w:color w:val="000000"/>
          <w:kern w:val="0"/>
          <w:position w:val="-104"/>
          <w:sz w:val="24"/>
          <w:szCs w:val="24"/>
          <w:lang w:val="en-US" w:eastAsia="zh-CN" w:bidi="ar"/>
        </w:rPr>
        <w:object>
          <v:shape id="_x0000_i1025" o:spt="75" type="#_x0000_t75" style="height:126pt;width:102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ascii="Arial" w:hAnsi="Arial" w:eastAsia="宋体" w:cs="Arial"/>
          <w:b/>
          <w:bCs/>
          <w:color w:val="000000"/>
          <w:kern w:val="0"/>
          <w:position w:val="-104"/>
          <w:sz w:val="24"/>
          <w:szCs w:val="24"/>
          <w:lang w:val="en-US" w:eastAsia="zh-CN" w:bidi="ar"/>
        </w:rPr>
        <w:t xml:space="preserve">  </w:t>
      </w:r>
    </w:p>
    <w:p>
      <w:p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DEA-BCC模型构建如下：</w:t>
      </w:r>
    </w:p>
    <w:p>
      <w:pPr>
        <w:numPr>
          <w:ilvl w:val="0"/>
          <w:numId w:val="0"/>
        </w:numPr>
        <w:tabs>
          <w:tab w:val="left" w:pos="2743"/>
        </w:tabs>
        <w:ind w:leftChars="0"/>
        <w:jc w:val="center"/>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4445000</wp:posOffset>
                </wp:positionH>
                <wp:positionV relativeFrom="paragraph">
                  <wp:posOffset>1388745</wp:posOffset>
                </wp:positionV>
                <wp:extent cx="1632585" cy="284480"/>
                <wp:effectExtent l="0" t="0" r="13335" b="5080"/>
                <wp:wrapNone/>
                <wp:docPr id="4" name="文本框 4"/>
                <wp:cNvGraphicFramePr/>
                <a:graphic xmlns:a="http://schemas.openxmlformats.org/drawingml/2006/main">
                  <a:graphicData uri="http://schemas.microsoft.com/office/word/2010/wordprocessingShape">
                    <wps:wsp>
                      <wps:cNvSpPr txBox="1"/>
                      <wps:spPr>
                        <a:xfrm>
                          <a:off x="0" y="0"/>
                          <a:ext cx="1632585" cy="284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公式（5.2）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pt;margin-top:109.35pt;height:22.4pt;width:128.55pt;z-index:251660288;mso-width-relative:page;mso-height-relative:page;" fillcolor="#FFFFFF [3201]" filled="t" stroked="f" coordsize="21600,21600" o:gfxdata="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L0zgi1wAAAAsBAAAP&#10;AAAAAAAAAAEAIAAAACIAAABkcnMvZG93bnJldi54bWxQSwECFAAUAAAACACHTuJArsNblVICAACP&#10;BAAADgAAAAAAAAABACAAAAAmAQAAZHJzL2Uyb0RvYy54bWxQSwUGAAAAAAYABgBZAQAA6gUAAAAA&#10;">
                <v:fill on="t" focussize="0,0"/>
                <v:stroke on="f" weight="0.5pt"/>
                <v:imagedata o:title=""/>
                <o:lock v:ext="edit" aspectratio="f"/>
                <v:textbox>
                  <w:txbxContent>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公式（5.2）</w:t>
                      </w:r>
                    </w:p>
                  </w:txbxContent>
                </v:textbox>
              </v:shape>
            </w:pict>
          </mc:Fallback>
        </mc:AlternateContent>
      </w:r>
      <w:r>
        <w:rPr>
          <w:rFonts w:hint="eastAsia" w:ascii="Arial" w:hAnsi="Arial" w:eastAsia="宋体" w:cs="Arial"/>
          <w:b w:val="0"/>
          <w:bCs w:val="0"/>
          <w:color w:val="000000"/>
          <w:kern w:val="0"/>
          <w:position w:val="-10"/>
          <w:sz w:val="24"/>
          <w:szCs w:val="24"/>
          <w:lang w:val="en-US" w:eastAsia="zh-CN" w:bidi="ar"/>
        </w:rPr>
        <w:object>
          <v:shape id="_x0000_i1026" o:spt="75" type="#_x0000_t75" style="height:17pt;width:9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ascii="Arial" w:hAnsi="Arial" w:eastAsia="宋体" w:cs="Arial"/>
          <w:b w:val="0"/>
          <w:bCs w:val="0"/>
          <w:color w:val="000000"/>
          <w:kern w:val="0"/>
          <w:position w:val="-110"/>
          <w:sz w:val="24"/>
          <w:szCs w:val="24"/>
          <w:lang w:val="en-US" w:eastAsia="zh-CN" w:bidi="ar"/>
        </w:rPr>
        <w:object>
          <v:shape id="_x0000_i1027" o:spt="75" type="#_x0000_t75" style="height:129pt;width:102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p>
    <w:p>
      <w:pPr>
        <w:numPr>
          <w:ilvl w:val="0"/>
          <w:numId w:val="0"/>
        </w:numPr>
        <w:tabs>
          <w:tab w:val="left" w:pos="2743"/>
        </w:tabs>
        <w:ind w:leftChars="0"/>
        <w:jc w:val="center"/>
        <w:rPr>
          <w:rFonts w:hint="default" w:ascii="Arial" w:hAnsi="Arial" w:eastAsia="宋体" w:cs="Arial"/>
          <w:b w:val="0"/>
          <w:bCs w:val="0"/>
          <w:color w:val="000000"/>
          <w:kern w:val="0"/>
          <w:sz w:val="24"/>
          <w:szCs w:val="24"/>
          <w:lang w:val="en-US" w:eastAsia="zh-CN" w:bidi="ar"/>
        </w:rPr>
      </w:pPr>
      <w:r>
        <w:rPr>
          <w:rFonts w:hint="eastAsia" w:ascii="Arial" w:hAnsi="Arial" w:eastAsia="宋体" w:cs="Arial"/>
          <w:b w:val="0"/>
          <w:bCs w:val="0"/>
          <w:color w:val="000000"/>
          <w:kern w:val="0"/>
          <w:position w:val="-110"/>
          <w:sz w:val="24"/>
          <w:szCs w:val="24"/>
          <w:lang w:val="en-US" w:eastAsia="zh-CN" w:bidi="ar"/>
        </w:rPr>
        <w:t xml:space="preserve">    </w:t>
      </w:r>
    </w:p>
    <w:p>
      <w:pPr>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其中θ为综合效益，</w:t>
      </w:r>
      <w:r>
        <w:rPr>
          <w:rFonts w:hint="default" w:ascii="宋体" w:hAnsi="宋体" w:eastAsia="宋体" w:cs="宋体"/>
          <w:b w:val="0"/>
          <w:bCs w:val="0"/>
          <w:color w:val="000000"/>
          <w:kern w:val="0"/>
          <w:sz w:val="24"/>
          <w:szCs w:val="24"/>
          <w:lang w:val="en-US" w:eastAsia="zh-CN" w:bidi="ar"/>
        </w:rPr>
        <w:object>
          <v:shape id="_x0000_i1028" o:spt="75" type="#_x0000_t75" style="height:17pt;width:155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r>
        <w:rPr>
          <w:rFonts w:hint="eastAsia" w:ascii="宋体" w:hAnsi="宋体" w:eastAsia="宋体" w:cs="宋体"/>
          <w:b w:val="0"/>
          <w:bCs w:val="0"/>
          <w:color w:val="000000"/>
          <w:kern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default" w:ascii="宋体" w:hAnsi="宋体" w:eastAsia="宋体" w:cs="宋体"/>
          <w:b w:val="0"/>
          <w:bCs w:val="0"/>
          <w:color w:val="000000"/>
          <w:kern w:val="0"/>
          <w:sz w:val="24"/>
          <w:szCs w:val="24"/>
          <w:lang w:val="en-US" w:eastAsia="zh-CN" w:bidi="ar"/>
        </w:rPr>
      </w:pPr>
      <w:bookmarkStart w:id="46" w:name="_Toc176"/>
      <w:bookmarkStart w:id="47" w:name="_Toc17449"/>
      <w:r>
        <w:rPr>
          <w:rFonts w:hint="default" w:ascii="宋体" w:hAnsi="宋体" w:eastAsia="宋体" w:cs="宋体"/>
          <w:b w:val="0"/>
          <w:bCs w:val="0"/>
          <w:color w:val="000000"/>
          <w:kern w:val="0"/>
          <w:sz w:val="24"/>
          <w:szCs w:val="24"/>
          <w:lang w:val="en-US" w:eastAsia="zh-CN" w:bidi="ar"/>
        </w:rPr>
        <w:t>我们可以使用CCR模型来判断技术有效和规模有效是否同时成立。如果θ=1，那么该决策单元是DEA有效的，经济活动同时是技术有效和规模有效的。如果θ=1，但是至少某个投入或产出大于0，那么该决策单元是弱DEA有效的，经济活动不是同时技术有效和规模有效的。如果θ&lt;1，那么该决策单元不是DEA有效的，经济活动既不是技术有效也不是规模有效。此外，我们可以对数据使用CCR模型和BCC模型的DEA分析来评判决策单元的规模效率。如果CCR和BCC的技术效益存在差异，那么说明该决策单元规模无效，并且规模无效效率可以通过计算BCC模型的技术效益和CCR模型的技术效益之间的差异来得到。</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5.1.2 Malmquist指数模型</w:t>
      </w:r>
      <w:bookmarkEnd w:id="46"/>
      <w:bookmarkEnd w:id="47"/>
    </w:p>
    <w:p>
      <w:pPr>
        <w:ind w:firstLine="420" w:firstLineChars="0"/>
        <w:rPr>
          <w:rFonts w:hint="eastAsia"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传统的CCR和BCC模型只能将决策单元在同一时间点的生产效率进行横向比较，而DEA-Malmquist指数模型则可以测量决策单元在不同时期的效率动态变化。</w:t>
      </w:r>
      <w:r>
        <w:rPr>
          <w:rFonts w:hint="eastAsia" w:ascii="宋体" w:hAnsi="宋体" w:eastAsia="宋体" w:cs="宋体"/>
          <w:b w:val="0"/>
          <w:bCs w:val="0"/>
          <w:color w:val="000000"/>
          <w:kern w:val="0"/>
          <w:sz w:val="24"/>
          <w:szCs w:val="24"/>
          <w:lang w:val="en-US" w:eastAsia="zh-CN" w:bidi="ar"/>
        </w:rPr>
        <w:t>Malmquist指数模型构建如下：</w:t>
      </w:r>
    </w:p>
    <w:p>
      <w:pPr>
        <w:tabs>
          <w:tab w:val="left" w:pos="2836"/>
        </w:tabs>
        <w:rPr>
          <w:rFonts w:hint="eastAsia" w:ascii="Arial" w:hAnsi="Arial" w:eastAsia="宋体" w:cs="Arial"/>
          <w:b w:val="0"/>
          <w:bCs w:val="0"/>
          <w:color w:val="000000"/>
          <w:kern w:val="0"/>
          <w:sz w:val="24"/>
          <w:szCs w:val="24"/>
          <w:lang w:val="en-US" w:eastAsia="zh-CN" w:bidi="ar"/>
        </w:rPr>
      </w:pPr>
    </w:p>
    <w:p>
      <w:pPr>
        <w:tabs>
          <w:tab w:val="left" w:pos="2836"/>
        </w:tabs>
        <w:rPr>
          <w:rFonts w:hint="eastAsia" w:ascii="Arial" w:hAnsi="Arial" w:eastAsia="宋体" w:cs="Arial"/>
          <w:b w:val="0"/>
          <w:bCs w:val="0"/>
          <w:color w:val="000000"/>
          <w:kern w:val="0"/>
          <w:sz w:val="24"/>
          <w:szCs w:val="24"/>
          <w:lang w:val="en-US" w:eastAsia="zh-CN" w:bidi="ar"/>
        </w:rPr>
      </w:pPr>
    </w:p>
    <w:p>
      <w:pPr>
        <w:tabs>
          <w:tab w:val="left" w:pos="2836"/>
        </w:tabs>
        <w:ind w:left="960" w:hanging="960" w:hangingChars="400"/>
        <w:jc w:val="center"/>
        <w:rPr>
          <w:rFonts w:hint="eastAsia" w:asciiTheme="minorEastAsia" w:hAnsiTheme="minorEastAsia" w:eastAsiaTheme="minorEastAsia" w:cstheme="minorEastAsia"/>
          <w:sz w:val="24"/>
          <w:szCs w:val="24"/>
          <w:lang w:val="en-US" w:eastAsia="zh-CN"/>
        </w:rPr>
      </w:pPr>
      <w:r>
        <w:rPr>
          <w:rFonts w:hint="eastAsia" w:ascii="Arial" w:hAnsi="Arial" w:eastAsia="宋体" w:cs="Arial"/>
          <w:b w:val="0"/>
          <w:bCs w:val="0"/>
          <w:color w:val="000000"/>
          <w:kern w:val="0"/>
          <w:position w:val="-30"/>
          <w:sz w:val="24"/>
          <w:szCs w:val="24"/>
          <w:lang w:val="en-US" w:eastAsia="zh-CN" w:bidi="ar"/>
        </w:rPr>
        <w:object>
          <v:shape id="_x0000_i1029" o:spt="75" type="#_x0000_t75" style="height:36pt;width:321.8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p>
    <w:p>
      <w:pPr>
        <w:tabs>
          <w:tab w:val="left" w:pos="2836"/>
        </w:tabs>
        <w:rPr>
          <w:rFonts w:hint="eastAsia" w:ascii="Arial" w:hAnsi="Arial" w:eastAsia="宋体" w:cs="Arial"/>
          <w:b w:val="0"/>
          <w:bCs w:val="0"/>
          <w:color w:val="000000"/>
          <w:kern w:val="0"/>
          <w:sz w:val="24"/>
          <w:szCs w:val="24"/>
          <w:lang w:val="en-US" w:eastAsia="zh-CN" w:bidi="ar"/>
        </w:rPr>
      </w:pPr>
      <w:r>
        <w:rPr>
          <w:sz w:val="24"/>
        </w:rPr>
        <mc:AlternateContent>
          <mc:Choice Requires="wps">
            <w:drawing>
              <wp:anchor distT="0" distB="0" distL="114300" distR="114300" simplePos="0" relativeHeight="251661312" behindDoc="0" locked="0" layoutInCell="1" allowOverlap="1">
                <wp:simplePos x="0" y="0"/>
                <wp:positionH relativeFrom="column">
                  <wp:posOffset>1965960</wp:posOffset>
                </wp:positionH>
                <wp:positionV relativeFrom="paragraph">
                  <wp:posOffset>26035</wp:posOffset>
                </wp:positionV>
                <wp:extent cx="1632585" cy="284480"/>
                <wp:effectExtent l="0" t="0" r="13335" b="5080"/>
                <wp:wrapNone/>
                <wp:docPr id="5" name="文本框 5"/>
                <wp:cNvGraphicFramePr/>
                <a:graphic xmlns:a="http://schemas.openxmlformats.org/drawingml/2006/main">
                  <a:graphicData uri="http://schemas.microsoft.com/office/word/2010/wordprocessingShape">
                    <wps:wsp>
                      <wps:cNvSpPr txBox="1"/>
                      <wps:spPr>
                        <a:xfrm>
                          <a:off x="0" y="0"/>
                          <a:ext cx="1632585" cy="284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公式（5.3）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8pt;margin-top:2.05pt;height:22.4pt;width:128.55pt;z-index:251661312;mso-width-relative:page;mso-height-relative:page;" fillcolor="#FFFFFF [3201]" filled="t" stroked="f" coordsize="21600,21600" o:gfxdata="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m5WwTUAAAACAEAAA8AAAAA&#10;AAAAAQAgAAAAIgAAAGRycy9kb3ducmV2LnhtbFBLAQIUABQAAAAIAIdO4kB+DW5WUQIAAI8EAAAO&#10;AAAAAAAAAAEAIAAAACMBAABkcnMvZTJvRG9jLnhtbFBLBQYAAAAABgAGAFkBAADmBQAAAAA=&#10;">
                <v:fill on="t" focussize="0,0"/>
                <v:stroke on="f" weight="0.5pt"/>
                <v:imagedata o:title=""/>
                <o:lock v:ext="edit" aspectratio="f"/>
                <v:textbox>
                  <w:txbxContent>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公式（5.3）</w:t>
                      </w:r>
                    </w:p>
                  </w:txbxContent>
                </v:textbox>
              </v:shape>
            </w:pict>
          </mc:Fallback>
        </mc:AlternateContent>
      </w:r>
    </w:p>
    <w:p>
      <w:pPr>
        <w:keepNext w:val="0"/>
        <w:keepLines w:val="0"/>
        <w:pageBreakBefore w:val="0"/>
        <w:widowControl w:val="0"/>
        <w:tabs>
          <w:tab w:val="left" w:pos="2836"/>
        </w:tabs>
        <w:kinsoku/>
        <w:wordWrap/>
        <w:overflowPunct/>
        <w:topLinePunct w:val="0"/>
        <w:autoSpaceDE/>
        <w:autoSpaceDN/>
        <w:bidi w:val="0"/>
        <w:adjustRightInd/>
        <w:snapToGrid/>
        <w:spacing w:line="480" w:lineRule="exact"/>
        <w:textAlignment w:val="auto"/>
        <w:rPr>
          <w:rFonts w:hint="eastAsia" w:ascii="Arial" w:hAnsi="Arial" w:eastAsia="宋体" w:cs="Arial"/>
          <w:b w:val="0"/>
          <w:bCs w:val="0"/>
          <w:color w:val="000000"/>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Malmquist指数反映从第t期到第t+1期时的变化情况，比如Malmquist指数＞1则说明某项效率在增长，反之Malmquist指数&lt;1则说明在减少或衰退；Malmquist指数可以分解为技术效率（EC）和技术进步（TC），其中技术效率（EC）可以再次分解为纯技术效率（PEC）和规模效率（SEC）。其中：技术效率（EC）=纯技术效率（PEC）*规模效率（SEC），全要素生产率（TFP）=技术效率（EC）* 技术进步（TC）。</w:t>
      </w:r>
    </w:p>
    <w:p>
      <w:pPr>
        <w:pStyle w:val="2"/>
        <w:rPr>
          <w:rFonts w:hint="eastAsia"/>
          <w:lang w:val="en-US" w:eastAsia="zh-CN"/>
        </w:rPr>
      </w:pPr>
    </w:p>
    <w:p>
      <w:pPr>
        <w:tabs>
          <w:tab w:val="left" w:pos="2836"/>
        </w:tabs>
        <w:outlineLvl w:val="2"/>
        <w:rPr>
          <w:rFonts w:hint="eastAsia" w:ascii="宋体" w:hAnsi="宋体" w:eastAsia="宋体" w:cs="宋体"/>
          <w:b/>
          <w:bCs/>
          <w:color w:val="000000"/>
          <w:kern w:val="0"/>
          <w:sz w:val="24"/>
          <w:szCs w:val="24"/>
          <w:lang w:val="en-US" w:eastAsia="zh-CN" w:bidi="ar"/>
        </w:rPr>
      </w:pPr>
      <w:bookmarkStart w:id="48" w:name="_Toc593"/>
      <w:bookmarkStart w:id="49" w:name="_Toc17175"/>
      <w:r>
        <w:rPr>
          <w:rFonts w:hint="eastAsia" w:ascii="宋体" w:hAnsi="宋体" w:eastAsia="宋体" w:cs="宋体"/>
          <w:b/>
          <w:bCs/>
          <w:color w:val="000000"/>
          <w:kern w:val="0"/>
          <w:sz w:val="24"/>
          <w:szCs w:val="24"/>
          <w:lang w:val="en-US" w:eastAsia="zh-CN" w:bidi="ar"/>
        </w:rPr>
        <w:t>5.1.3模型选取原因</w:t>
      </w:r>
      <w:bookmarkEnd w:id="48"/>
      <w:bookmarkEnd w:id="49"/>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DEA 模型在计算效率方面具有较大优势，其常被国内外学者广泛用于如学校或医院等单位的效率测算。其次对学校的教育效率进行测度所需的变量是及其多的，而DEA方法的处理能力在多输入和特别是多输出问题方面具有绝对的优势，非常符合本文需求。Malmquist指数模型能够反映从第t期到第t+1期时的变化情况，较符合本文所需要研究的教育投入产出效率的变化情况，成功实现了对效率的动态分析。故本文选取DEA模型及Malmquist指数模型作为</w:t>
      </w:r>
      <w:r>
        <w:rPr>
          <w:rFonts w:hint="default" w:ascii="宋体" w:hAnsi="宋体" w:eastAsia="宋体" w:cs="宋体"/>
          <w:b w:val="0"/>
          <w:bCs w:val="0"/>
          <w:color w:val="000000"/>
          <w:kern w:val="0"/>
          <w:sz w:val="24"/>
          <w:szCs w:val="24"/>
          <w:lang w:val="en-US" w:eastAsia="zh-CN" w:bidi="ar"/>
        </w:rPr>
        <w:t>职业高中教育投入产出效率</w:t>
      </w:r>
      <w:r>
        <w:rPr>
          <w:rFonts w:hint="eastAsia" w:ascii="宋体" w:hAnsi="宋体" w:eastAsia="宋体" w:cs="宋体"/>
          <w:b w:val="0"/>
          <w:bCs w:val="0"/>
          <w:color w:val="000000"/>
          <w:kern w:val="0"/>
          <w:sz w:val="24"/>
          <w:szCs w:val="24"/>
          <w:lang w:val="en-US" w:eastAsia="zh-CN" w:bidi="ar"/>
        </w:rPr>
        <w:t>模型。</w:t>
      </w:r>
    </w:p>
    <w:p>
      <w:pPr>
        <w:pStyle w:val="2"/>
        <w:rPr>
          <w:rFonts w:hint="eastAsia"/>
          <w:lang w:val="en-US" w:eastAsia="zh-CN"/>
        </w:rPr>
      </w:pPr>
    </w:p>
    <w:p>
      <w:pPr>
        <w:tabs>
          <w:tab w:val="left" w:pos="2836"/>
        </w:tabs>
        <w:outlineLvl w:val="1"/>
        <w:rPr>
          <w:rFonts w:hint="default" w:ascii="Arial" w:hAnsi="Arial" w:eastAsia="宋体" w:cs="Arial"/>
          <w:b w:val="0"/>
          <w:bCs w:val="0"/>
          <w:color w:val="000000"/>
          <w:kern w:val="0"/>
          <w:sz w:val="24"/>
          <w:szCs w:val="24"/>
          <w:lang w:val="en-US" w:eastAsia="zh-CN" w:bidi="ar"/>
        </w:rPr>
      </w:pPr>
      <w:bookmarkStart w:id="50" w:name="_Toc14029"/>
      <w:bookmarkStart w:id="51" w:name="_Toc26398"/>
      <w:r>
        <w:rPr>
          <w:rFonts w:hint="eastAsia" w:ascii="楷体" w:hAnsi="楷体" w:eastAsia="楷体" w:cs="楷体"/>
          <w:b w:val="0"/>
          <w:bCs w:val="0"/>
          <w:color w:val="000000"/>
          <w:kern w:val="0"/>
          <w:sz w:val="28"/>
          <w:szCs w:val="28"/>
          <w:lang w:val="en-US" w:eastAsia="zh-CN" w:bidi="ar"/>
        </w:rPr>
        <w:t>5.2 职业高中教育效率测度指标体系设计</w:t>
      </w:r>
      <w:bookmarkEnd w:id="50"/>
      <w:bookmarkEnd w:id="51"/>
    </w:p>
    <w:p>
      <w:pPr>
        <w:tabs>
          <w:tab w:val="left" w:pos="2836"/>
        </w:tabs>
        <w:outlineLvl w:val="2"/>
        <w:rPr>
          <w:rFonts w:hint="eastAsia" w:asciiTheme="minorEastAsia" w:hAnsiTheme="minorEastAsia" w:eastAsiaTheme="minorEastAsia" w:cstheme="minorEastAsia"/>
          <w:b/>
          <w:bCs/>
          <w:color w:val="000000"/>
          <w:kern w:val="0"/>
          <w:sz w:val="24"/>
          <w:szCs w:val="24"/>
          <w:lang w:val="en-US" w:eastAsia="zh-CN" w:bidi="ar"/>
        </w:rPr>
      </w:pPr>
      <w:bookmarkStart w:id="52" w:name="_Toc2606"/>
      <w:bookmarkStart w:id="53" w:name="_Toc24642"/>
      <w:r>
        <w:rPr>
          <w:rFonts w:hint="eastAsia" w:asciiTheme="minorEastAsia" w:hAnsiTheme="minorEastAsia" w:cstheme="minorEastAsia"/>
          <w:b/>
          <w:bCs/>
          <w:color w:val="000000"/>
          <w:kern w:val="0"/>
          <w:sz w:val="24"/>
          <w:szCs w:val="24"/>
          <w:lang w:val="en-US" w:eastAsia="zh-CN" w:bidi="ar"/>
        </w:rPr>
        <w:t>5</w:t>
      </w:r>
      <w:r>
        <w:rPr>
          <w:rFonts w:hint="eastAsia" w:asciiTheme="minorEastAsia" w:hAnsiTheme="minorEastAsia" w:eastAsiaTheme="minorEastAsia" w:cstheme="minorEastAsia"/>
          <w:b/>
          <w:bCs/>
          <w:color w:val="000000"/>
          <w:kern w:val="0"/>
          <w:sz w:val="24"/>
          <w:szCs w:val="24"/>
          <w:lang w:val="en-US" w:eastAsia="zh-CN" w:bidi="ar"/>
        </w:rPr>
        <w:t>.2.1指标体系设计的目标：</w:t>
      </w:r>
      <w:bookmarkEnd w:id="52"/>
      <w:bookmarkEnd w:id="53"/>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设计一份能够全面反映 、客观描述而又便于操作的指标体系是对职业教育效率进行测度与比较的前提条件，选取投入产出指标</w:t>
      </w:r>
      <w:r>
        <w:rPr>
          <w:rFonts w:hint="eastAsia" w:ascii="宋体" w:hAnsi="宋体" w:eastAsia="宋体" w:cs="宋体"/>
          <w:b w:val="0"/>
          <w:bCs w:val="0"/>
          <w:color w:val="000000"/>
          <w:kern w:val="0"/>
          <w:sz w:val="24"/>
          <w:szCs w:val="24"/>
          <w:lang w:val="en-US" w:eastAsia="zh-CN" w:bidi="ar"/>
        </w:rPr>
        <w:t>应能</w:t>
      </w:r>
      <w:r>
        <w:rPr>
          <w:rFonts w:hint="default" w:ascii="宋体" w:hAnsi="宋体" w:eastAsia="宋体" w:cs="宋体"/>
          <w:b w:val="0"/>
          <w:bCs w:val="0"/>
          <w:color w:val="000000"/>
          <w:kern w:val="0"/>
          <w:sz w:val="24"/>
          <w:szCs w:val="24"/>
          <w:lang w:val="en-US" w:eastAsia="zh-CN" w:bidi="ar"/>
        </w:rPr>
        <w:t>简化复杂多元的职高教育投入产出效率</w:t>
      </w:r>
      <w:r>
        <w:rPr>
          <w:rFonts w:hint="eastAsia"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t>易于建模以及计算，能够客观评价职高教育投入产出效率，为了解和深入研究职高教育投入产出效率现状提供可视化的依据。能够通过此指标体系反映出职高教育投入及产出的变化程度以及趋势，找出影响职高教育投入产出效率的因素并能够根据本指标体系给出提高职高教育效率的建议。</w:t>
      </w:r>
    </w:p>
    <w:p>
      <w:pPr>
        <w:pStyle w:val="2"/>
        <w:rPr>
          <w:rFonts w:hint="default"/>
          <w:lang w:val="en-US" w:eastAsia="zh-CN"/>
        </w:rPr>
      </w:pPr>
    </w:p>
    <w:p>
      <w:pPr>
        <w:tabs>
          <w:tab w:val="left" w:pos="2836"/>
        </w:tabs>
        <w:outlineLvl w:val="2"/>
        <w:rPr>
          <w:rFonts w:hint="eastAsia" w:asciiTheme="minorEastAsia" w:hAnsiTheme="minorEastAsia" w:eastAsiaTheme="minorEastAsia" w:cstheme="minorEastAsia"/>
          <w:b/>
          <w:bCs/>
          <w:color w:val="000000"/>
          <w:kern w:val="0"/>
          <w:sz w:val="24"/>
          <w:szCs w:val="24"/>
          <w:lang w:val="en-US" w:eastAsia="zh-CN" w:bidi="ar"/>
        </w:rPr>
      </w:pPr>
      <w:bookmarkStart w:id="54" w:name="_Toc4187"/>
      <w:bookmarkStart w:id="55" w:name="_Toc17531"/>
      <w:r>
        <w:rPr>
          <w:rFonts w:hint="eastAsia" w:asciiTheme="minorEastAsia" w:hAnsiTheme="minorEastAsia" w:cstheme="minorEastAsia"/>
          <w:b/>
          <w:bCs/>
          <w:color w:val="000000"/>
          <w:kern w:val="0"/>
          <w:sz w:val="24"/>
          <w:szCs w:val="24"/>
          <w:lang w:val="en-US" w:eastAsia="zh-CN" w:bidi="ar"/>
        </w:rPr>
        <w:t>5</w:t>
      </w:r>
      <w:r>
        <w:rPr>
          <w:rFonts w:hint="eastAsia" w:asciiTheme="minorEastAsia" w:hAnsiTheme="minorEastAsia" w:eastAsiaTheme="minorEastAsia" w:cstheme="minorEastAsia"/>
          <w:b/>
          <w:bCs/>
          <w:color w:val="000000"/>
          <w:kern w:val="0"/>
          <w:sz w:val="24"/>
          <w:szCs w:val="24"/>
          <w:lang w:val="en-US" w:eastAsia="zh-CN" w:bidi="ar"/>
        </w:rPr>
        <w:t>.2.2指标体系设计的原则：</w:t>
      </w:r>
      <w:bookmarkEnd w:id="54"/>
      <w:bookmarkEnd w:id="55"/>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职高教育效率评价指标体系是一个评价职业高中教育投入产出效率的体系，在体系设计时应遵循以下原则：</w:t>
      </w:r>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1.导向性原则：对教育效率测度的主要目的之一就是通过教育效率的测度来体现</w:t>
      </w:r>
      <w:r>
        <w:rPr>
          <w:rFonts w:hint="eastAsia" w:ascii="宋体" w:hAnsi="宋体" w:eastAsia="宋体" w:cs="宋体"/>
          <w:b w:val="0"/>
          <w:bCs w:val="0"/>
          <w:color w:val="000000"/>
          <w:kern w:val="0"/>
          <w:sz w:val="24"/>
          <w:szCs w:val="24"/>
          <w:lang w:val="en-US" w:eastAsia="zh-CN" w:bidi="ar"/>
        </w:rPr>
        <w:t>在如今中国式现代化下教育现代化大力推行中</w:t>
      </w:r>
      <w:r>
        <w:rPr>
          <w:rFonts w:hint="default" w:ascii="宋体" w:hAnsi="宋体" w:eastAsia="宋体" w:cs="宋体"/>
          <w:b w:val="0"/>
          <w:bCs w:val="0"/>
          <w:color w:val="000000"/>
          <w:kern w:val="0"/>
          <w:sz w:val="24"/>
          <w:szCs w:val="24"/>
          <w:lang w:val="en-US" w:eastAsia="zh-CN" w:bidi="ar"/>
        </w:rPr>
        <w:t>教育质量以及成果</w:t>
      </w:r>
      <w:r>
        <w:rPr>
          <w:rFonts w:hint="eastAsia" w:ascii="宋体" w:hAnsi="宋体" w:eastAsia="宋体" w:cs="宋体"/>
          <w:b w:val="0"/>
          <w:bCs w:val="0"/>
          <w:color w:val="000000"/>
          <w:kern w:val="0"/>
          <w:sz w:val="24"/>
          <w:szCs w:val="24"/>
          <w:lang w:val="en-US" w:eastAsia="zh-CN" w:bidi="ar"/>
        </w:rPr>
        <w:t>的变化</w:t>
      </w:r>
      <w:r>
        <w:rPr>
          <w:rFonts w:hint="default" w:ascii="宋体" w:hAnsi="宋体" w:eastAsia="宋体" w:cs="宋体"/>
          <w:b w:val="0"/>
          <w:bCs w:val="0"/>
          <w:color w:val="000000"/>
          <w:kern w:val="0"/>
          <w:sz w:val="24"/>
          <w:szCs w:val="24"/>
          <w:lang w:val="en-US" w:eastAsia="zh-CN" w:bidi="ar"/>
        </w:rPr>
        <w:t>，</w:t>
      </w:r>
      <w:r>
        <w:rPr>
          <w:rFonts w:hint="eastAsia" w:ascii="宋体" w:hAnsi="宋体" w:eastAsia="宋体" w:cs="宋体"/>
          <w:b w:val="0"/>
          <w:bCs w:val="0"/>
          <w:color w:val="000000"/>
          <w:kern w:val="0"/>
          <w:sz w:val="24"/>
          <w:szCs w:val="24"/>
          <w:lang w:val="en-US" w:eastAsia="zh-CN" w:bidi="ar"/>
        </w:rPr>
        <w:t>所设计指标</w:t>
      </w:r>
      <w:r>
        <w:rPr>
          <w:rFonts w:hint="default" w:ascii="宋体" w:hAnsi="宋体" w:eastAsia="宋体" w:cs="宋体"/>
          <w:b w:val="0"/>
          <w:bCs w:val="0"/>
          <w:color w:val="000000"/>
          <w:kern w:val="0"/>
          <w:sz w:val="24"/>
          <w:szCs w:val="24"/>
          <w:lang w:val="en-US" w:eastAsia="zh-CN" w:bidi="ar"/>
        </w:rPr>
        <w:t>应以社会主义方向为总原则。</w:t>
      </w:r>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2.科学性原则：所选定的指标必须具有科学的理论基础，</w:t>
      </w:r>
      <w:r>
        <w:rPr>
          <w:rFonts w:hint="eastAsia" w:ascii="宋体" w:hAnsi="宋体" w:eastAsia="宋体" w:cs="宋体"/>
          <w:b w:val="0"/>
          <w:bCs w:val="0"/>
          <w:color w:val="000000"/>
          <w:kern w:val="0"/>
          <w:sz w:val="24"/>
          <w:szCs w:val="24"/>
          <w:lang w:val="en-US" w:eastAsia="zh-CN" w:bidi="ar"/>
        </w:rPr>
        <w:t>且应</w:t>
      </w:r>
      <w:r>
        <w:rPr>
          <w:rFonts w:hint="default" w:ascii="宋体" w:hAnsi="宋体" w:eastAsia="宋体" w:cs="宋体"/>
          <w:b w:val="0"/>
          <w:bCs w:val="0"/>
          <w:color w:val="000000"/>
          <w:kern w:val="0"/>
          <w:sz w:val="24"/>
          <w:szCs w:val="24"/>
          <w:lang w:val="en-US" w:eastAsia="zh-CN" w:bidi="ar"/>
        </w:rPr>
        <w:t>反映客观事实。</w:t>
      </w:r>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3.整体性原则：指标系统对目标应有完备性、全面性。设计指标系统时，考虑要周到，不能遗漏任一重要的、反映评价对象实质的指标。</w:t>
      </w:r>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4.可行性原则：获取数据途径应方便，操作可行，为了减少主观假设并确保评估工作的顺利进行。</w:t>
      </w:r>
    </w:p>
    <w:p>
      <w:pPr>
        <w:pStyle w:val="2"/>
        <w:rPr>
          <w:rFonts w:hint="default"/>
          <w:lang w:val="en-US" w:eastAsia="zh-CN"/>
        </w:rPr>
      </w:pPr>
    </w:p>
    <w:p>
      <w:pPr>
        <w:tabs>
          <w:tab w:val="left" w:pos="2836"/>
        </w:tabs>
        <w:outlineLvl w:val="2"/>
        <w:rPr>
          <w:rFonts w:hint="eastAsia" w:ascii="宋体" w:hAnsi="宋体" w:eastAsia="宋体" w:cs="宋体"/>
          <w:b/>
          <w:bCs/>
          <w:color w:val="000000"/>
          <w:kern w:val="0"/>
          <w:sz w:val="24"/>
          <w:szCs w:val="24"/>
          <w:lang w:val="en-US" w:eastAsia="zh-CN" w:bidi="ar"/>
        </w:rPr>
      </w:pPr>
      <w:bookmarkStart w:id="56" w:name="_Toc3058"/>
      <w:bookmarkStart w:id="57" w:name="_Toc9074"/>
      <w:r>
        <w:rPr>
          <w:rFonts w:hint="eastAsia" w:ascii="宋体" w:hAnsi="宋体" w:eastAsia="宋体" w:cs="宋体"/>
          <w:b/>
          <w:bCs/>
          <w:color w:val="000000"/>
          <w:kern w:val="0"/>
          <w:sz w:val="24"/>
          <w:szCs w:val="24"/>
          <w:lang w:val="en-US" w:eastAsia="zh-CN" w:bidi="ar"/>
        </w:rPr>
        <w:t>5.2.3 评价指标体系的构成：</w:t>
      </w:r>
      <w:bookmarkEnd w:id="56"/>
      <w:bookmarkEnd w:id="57"/>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经过我们查阅大量文献后得知，教育评价教育产出投入体系指标由投入指标和产出指标构成，而投入指标常分为人力投入，物理投入以及财力投入；产出指标常分为数量产出和质量产出。</w:t>
      </w:r>
      <w:r>
        <w:rPr>
          <w:rFonts w:hint="default" w:ascii="宋体" w:hAnsi="宋体" w:eastAsia="宋体" w:cs="宋体"/>
          <w:b w:val="0"/>
          <w:bCs w:val="0"/>
          <w:color w:val="000000"/>
          <w:kern w:val="0"/>
          <w:sz w:val="24"/>
          <w:szCs w:val="24"/>
          <w:lang w:val="en-US" w:eastAsia="zh-CN" w:bidi="ar"/>
        </w:rPr>
        <w:t>因此本文选取如表</w:t>
      </w:r>
      <w:r>
        <w:rPr>
          <w:rFonts w:hint="eastAsia" w:ascii="宋体" w:hAnsi="宋体" w:eastAsia="宋体" w:cs="宋体"/>
          <w:b w:val="0"/>
          <w:bCs w:val="0"/>
          <w:color w:val="000000"/>
          <w:kern w:val="0"/>
          <w:sz w:val="24"/>
          <w:szCs w:val="24"/>
          <w:lang w:val="en-US" w:eastAsia="zh-CN" w:bidi="ar"/>
        </w:rPr>
        <w:t>5</w:t>
      </w:r>
      <w:r>
        <w:rPr>
          <w:rFonts w:hint="default" w:ascii="宋体" w:hAnsi="宋体" w:eastAsia="宋体" w:cs="宋体"/>
          <w:b w:val="0"/>
          <w:bCs w:val="0"/>
          <w:color w:val="000000"/>
          <w:kern w:val="0"/>
          <w:sz w:val="24"/>
          <w:szCs w:val="24"/>
          <w:lang w:val="en-US" w:eastAsia="zh-CN" w:bidi="ar"/>
        </w:rPr>
        <w:t>-1构建职高教育效率评价指标体系。</w:t>
      </w:r>
    </w:p>
    <w:p>
      <w:pPr>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br w:type="page"/>
      </w:r>
    </w:p>
    <w:p>
      <w:pPr>
        <w:tabs>
          <w:tab w:val="left" w:pos="2836"/>
        </w:tabs>
        <w:rPr>
          <w:rFonts w:hint="eastAsia" w:ascii="Arial" w:hAnsi="Arial" w:eastAsia="宋体" w:cs="Arial"/>
          <w:b/>
          <w:bCs/>
          <w:color w:val="000000"/>
          <w:kern w:val="0"/>
          <w:sz w:val="24"/>
          <w:szCs w:val="24"/>
          <w:lang w:val="en-US" w:eastAsia="zh-CN" w:bidi="ar"/>
        </w:rPr>
      </w:pPr>
    </w:p>
    <w:p>
      <w:pPr>
        <w:pStyle w:val="6"/>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表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rPr>
        <w:fldChar w:fldCharType="end"/>
      </w:r>
      <w:bookmarkStart w:id="58" w:name="_Toc18342"/>
      <w:r>
        <w:rPr>
          <w:rFonts w:hint="eastAsia" w:asciiTheme="majorEastAsia" w:hAnsiTheme="majorEastAsia" w:eastAsiaTheme="majorEastAsia" w:cstheme="majorEastAsia"/>
          <w:sz w:val="24"/>
          <w:szCs w:val="24"/>
          <w:lang w:eastAsia="zh-CN"/>
        </w:rPr>
        <w:t xml:space="preserve"> 构建职高教育效率评价指标体系</w:t>
      </w:r>
      <w:bookmarkEnd w:id="58"/>
    </w:p>
    <w:p/>
    <w:tbl>
      <w:tblPr>
        <w:tblStyle w:val="14"/>
        <w:tblW w:w="5496" w:type="pct"/>
        <w:tblInd w:w="-337" w:type="dxa"/>
        <w:tblBorders>
          <w:top w:val="single" w:color="000000" w:themeColor="text1" w:sz="18" w:space="0"/>
          <w:left w:val="single" w:color="FFFFFF" w:themeColor="background1" w:sz="18" w:space="0"/>
          <w:bottom w:val="single" w:color="000000" w:themeColor="text1" w:sz="18" w:space="0"/>
          <w:right w:val="single" w:color="FFFFFF" w:themeColor="background1" w:sz="18" w:space="0"/>
          <w:insideH w:val="single" w:color="000000" w:themeColor="text1" w:sz="18" w:space="0"/>
          <w:insideV w:val="single" w:color="FFFFFF" w:themeColor="background1" w:sz="18" w:space="0"/>
        </w:tblBorders>
        <w:shd w:val="clear" w:color="auto" w:fill="FFFFFF"/>
        <w:tblLayout w:type="autofit"/>
        <w:tblCellMar>
          <w:top w:w="0" w:type="dxa"/>
          <w:left w:w="0" w:type="dxa"/>
          <w:bottom w:w="0" w:type="dxa"/>
          <w:right w:w="0" w:type="dxa"/>
        </w:tblCellMar>
      </w:tblPr>
      <w:tblGrid>
        <w:gridCol w:w="2697"/>
        <w:gridCol w:w="2645"/>
        <w:gridCol w:w="3820"/>
      </w:tblGrid>
      <w:tr>
        <w:tblPrEx>
          <w:tblBorders>
            <w:top w:val="single" w:color="000000" w:themeColor="text1" w:sz="18" w:space="0"/>
            <w:left w:val="single" w:color="FFFFFF" w:themeColor="background1" w:sz="18" w:space="0"/>
            <w:bottom w:val="single" w:color="000000" w:themeColor="text1" w:sz="18" w:space="0"/>
            <w:right w:val="single" w:color="FFFFFF" w:themeColor="background1" w:sz="18" w:space="0"/>
            <w:insideH w:val="single" w:color="000000" w:themeColor="text1" w:sz="18" w:space="0"/>
            <w:insideV w:val="single" w:color="FFFFFF" w:themeColor="background1" w:sz="18" w:space="0"/>
          </w:tblBorders>
          <w:shd w:val="clear" w:color="auto" w:fill="FFFFFF"/>
          <w:tblCellMar>
            <w:top w:w="0" w:type="dxa"/>
            <w:left w:w="0" w:type="dxa"/>
            <w:bottom w:w="0" w:type="dxa"/>
            <w:right w:w="0" w:type="dxa"/>
          </w:tblCellMar>
        </w:tblPrEx>
        <w:trPr>
          <w:trHeight w:val="850" w:hRule="atLeast"/>
        </w:trPr>
        <w:tc>
          <w:tcPr>
            <w:tcW w:w="2690" w:type="dxa"/>
            <w:tcBorders>
              <w:left w:val="nil"/>
              <w:right w:val="nil"/>
            </w:tcBorders>
            <w:shd w:val="clear" w:color="auto" w:fill="FFFFFF"/>
            <w:vAlign w:val="center"/>
          </w:tcPr>
          <w:p>
            <w:pPr>
              <w:widowControl/>
              <w:spacing w:after="150" w:line="450" w:lineRule="atLeast"/>
              <w:ind w:firstLine="960" w:firstLineChars="400"/>
              <w:jc w:val="left"/>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一级指标</w:t>
            </w:r>
          </w:p>
        </w:tc>
        <w:tc>
          <w:tcPr>
            <w:tcW w:w="2638" w:type="dxa"/>
            <w:tcBorders>
              <w:left w:val="nil"/>
              <w:right w:val="nil"/>
            </w:tcBorders>
            <w:shd w:val="clear" w:color="auto" w:fill="FFFFFF"/>
            <w:vAlign w:val="center"/>
          </w:tcPr>
          <w:p>
            <w:pPr>
              <w:widowControl/>
              <w:spacing w:after="150" w:line="450" w:lineRule="atLeast"/>
              <w:ind w:firstLine="960" w:firstLineChars="400"/>
              <w:jc w:val="left"/>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二级指标</w:t>
            </w:r>
          </w:p>
        </w:tc>
        <w:tc>
          <w:tcPr>
            <w:tcW w:w="3809" w:type="dxa"/>
            <w:tcBorders>
              <w:left w:val="nil"/>
              <w:tl2br w:val="nil"/>
              <w:tr2bl w:val="nil"/>
            </w:tcBorders>
            <w:shd w:val="clear" w:color="auto" w:fill="FFFFFF"/>
            <w:vAlign w:val="center"/>
          </w:tcPr>
          <w:p>
            <w:pPr>
              <w:widowControl/>
              <w:spacing w:after="150" w:line="450" w:lineRule="atLeast"/>
              <w:ind w:firstLine="1200" w:firstLineChars="500"/>
              <w:jc w:val="left"/>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三级指标</w:t>
            </w:r>
          </w:p>
        </w:tc>
      </w:tr>
      <w:tr>
        <w:tblPrEx>
          <w:tblBorders>
            <w:top w:val="single" w:color="000000" w:themeColor="text1" w:sz="18" w:space="0"/>
            <w:left w:val="single" w:color="FFFFFF" w:themeColor="background1" w:sz="18" w:space="0"/>
            <w:bottom w:val="single" w:color="000000" w:themeColor="text1" w:sz="18" w:space="0"/>
            <w:right w:val="single" w:color="FFFFFF" w:themeColor="background1" w:sz="18" w:space="0"/>
            <w:insideH w:val="single" w:color="000000" w:themeColor="text1" w:sz="18" w:space="0"/>
            <w:insideV w:val="single" w:color="FFFFFF" w:themeColor="background1" w:sz="18" w:space="0"/>
          </w:tblBorders>
          <w:shd w:val="clear" w:color="auto" w:fill="FFFFFF"/>
          <w:tblCellMar>
            <w:top w:w="0" w:type="dxa"/>
            <w:left w:w="0" w:type="dxa"/>
            <w:bottom w:w="0" w:type="dxa"/>
            <w:right w:w="0" w:type="dxa"/>
          </w:tblCellMar>
        </w:tblPrEx>
        <w:trPr>
          <w:trHeight w:val="1660" w:hRule="atLeast"/>
        </w:trPr>
        <w:tc>
          <w:tcPr>
            <w:tcW w:w="2690" w:type="dxa"/>
            <w:tcBorders>
              <w:left w:val="nil"/>
              <w:right w:val="nil"/>
            </w:tcBorders>
            <w:shd w:val="clear" w:color="auto" w:fill="FFFFFF"/>
            <w:vAlign w:val="center"/>
          </w:tcPr>
          <w:p>
            <w:pPr>
              <w:widowControl/>
              <w:tabs>
                <w:tab w:val="center" w:pos="4153"/>
              </w:tabs>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lang w:val="en-US" w:eastAsia="zh-CN"/>
              </w:rPr>
              <w:t>投入指标</w:t>
            </w:r>
            <w:r>
              <w:rPr>
                <w:rFonts w:hint="eastAsia" w:asciiTheme="minorEastAsia" w:hAnsiTheme="minorEastAsia" w:eastAsiaTheme="minorEastAsia" w:cstheme="minorEastAsia"/>
                <w:color w:val="000000"/>
                <w:kern w:val="0"/>
                <w:sz w:val="24"/>
                <w:szCs w:val="24"/>
                <w:lang w:val="en-US" w:eastAsia="zh-CN"/>
              </w:rPr>
              <w:tab/>
            </w:r>
            <w:r>
              <w:rPr>
                <w:rFonts w:hint="eastAsia" w:asciiTheme="minorEastAsia" w:hAnsiTheme="minorEastAsia" w:eastAsiaTheme="minorEastAsia" w:cstheme="minorEastAsia"/>
                <w:color w:val="000000"/>
                <w:kern w:val="0"/>
                <w:sz w:val="24"/>
                <w:szCs w:val="24"/>
                <w:lang w:val="en-US" w:eastAsia="zh-CN"/>
              </w:rPr>
              <w:t>人力投入</w:t>
            </w:r>
          </w:p>
          <w:p>
            <w:pPr>
              <w:widowControl/>
              <w:tabs>
                <w:tab w:val="center" w:pos="4153"/>
              </w:tabs>
              <w:jc w:val="center"/>
              <w:rPr>
                <w:rFonts w:hint="eastAsia" w:asciiTheme="minorEastAsia" w:hAnsiTheme="minorEastAsia" w:eastAsiaTheme="minorEastAsia" w:cstheme="minorEastAsia"/>
                <w:color w:val="000000"/>
                <w:kern w:val="0"/>
                <w:sz w:val="24"/>
                <w:szCs w:val="24"/>
                <w:lang w:val="en-US" w:eastAsia="zh-CN"/>
              </w:rPr>
            </w:pPr>
          </w:p>
          <w:p>
            <w:pPr>
              <w:widowControl/>
              <w:tabs>
                <w:tab w:val="center" w:pos="4153"/>
              </w:tabs>
              <w:jc w:val="center"/>
              <w:rPr>
                <w:rFonts w:hint="eastAsia" w:asciiTheme="minorEastAsia" w:hAnsiTheme="minorEastAsia" w:eastAsiaTheme="minorEastAsia" w:cstheme="minorEastAsia"/>
                <w:color w:val="000000"/>
                <w:kern w:val="0"/>
                <w:sz w:val="24"/>
                <w:szCs w:val="24"/>
                <w:lang w:val="en-US" w:eastAsia="zh-CN"/>
              </w:rPr>
            </w:pPr>
          </w:p>
          <w:p>
            <w:pPr>
              <w:widowControl/>
              <w:tabs>
                <w:tab w:val="center" w:pos="4153"/>
              </w:tabs>
              <w:jc w:val="center"/>
              <w:rPr>
                <w:rFonts w:hint="eastAsia" w:asciiTheme="minorEastAsia" w:hAnsiTheme="minorEastAsia" w:eastAsiaTheme="minorEastAsia" w:cstheme="minorEastAsia"/>
                <w:color w:val="000000"/>
                <w:kern w:val="0"/>
                <w:sz w:val="24"/>
                <w:szCs w:val="24"/>
                <w:lang w:val="en-US" w:eastAsia="zh-CN"/>
              </w:rPr>
            </w:pPr>
          </w:p>
          <w:p>
            <w:pPr>
              <w:widowControl/>
              <w:jc w:val="center"/>
              <w:rPr>
                <w:rFonts w:hint="eastAsia" w:asciiTheme="minorEastAsia" w:hAnsiTheme="minorEastAsia" w:eastAsiaTheme="minorEastAsia" w:cstheme="minorEastAsia"/>
                <w:color w:val="000000"/>
                <w:kern w:val="0"/>
                <w:sz w:val="24"/>
                <w:szCs w:val="24"/>
                <w:lang w:val="en-US" w:eastAsia="zh-CN"/>
              </w:rPr>
            </w:pPr>
          </w:p>
          <w:p>
            <w:pPr>
              <w:widowControl/>
              <w:jc w:val="both"/>
              <w:rPr>
                <w:rFonts w:hint="eastAsia" w:asciiTheme="minorEastAsia" w:hAnsiTheme="minorEastAsia" w:eastAsiaTheme="minorEastAsia" w:cstheme="minorEastAsia"/>
                <w:color w:val="000000"/>
                <w:kern w:val="0"/>
                <w:sz w:val="24"/>
                <w:szCs w:val="24"/>
                <w:lang w:val="en-US" w:eastAsia="zh-CN"/>
              </w:rPr>
            </w:pPr>
          </w:p>
          <w:p>
            <w:pPr>
              <w:widowControl/>
              <w:jc w:val="center"/>
              <w:rPr>
                <w:rFonts w:hint="eastAsia" w:asciiTheme="minorEastAsia" w:hAnsiTheme="minorEastAsia" w:eastAsiaTheme="minorEastAsia" w:cstheme="minorEastAsia"/>
                <w:color w:val="000000"/>
                <w:kern w:val="0"/>
                <w:sz w:val="24"/>
                <w:szCs w:val="24"/>
                <w:lang w:val="en-US" w:eastAsia="zh-CN"/>
              </w:rPr>
            </w:pPr>
          </w:p>
          <w:p>
            <w:pPr>
              <w:widowControl/>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产出指标</w:t>
            </w:r>
          </w:p>
        </w:tc>
        <w:tc>
          <w:tcPr>
            <w:tcW w:w="2638" w:type="dxa"/>
            <w:tcBorders>
              <w:left w:val="nil"/>
              <w:right w:val="nil"/>
            </w:tcBorders>
            <w:shd w:val="clear" w:color="auto" w:fill="FFFFFF"/>
            <w:vAlign w:val="center"/>
          </w:tcPr>
          <w:p>
            <w:pPr>
              <w:widowControl/>
              <w:ind w:firstLine="960" w:firstLineChars="400"/>
              <w:jc w:val="both"/>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人力投入</w:t>
            </w:r>
          </w:p>
          <w:p>
            <w:pPr>
              <w:widowControl/>
              <w:ind w:firstLine="1200" w:firstLineChars="500"/>
              <w:jc w:val="center"/>
              <w:rPr>
                <w:rFonts w:hint="eastAsia" w:asciiTheme="minorEastAsia" w:hAnsiTheme="minorEastAsia" w:eastAsiaTheme="minorEastAsia" w:cstheme="minorEastAsia"/>
                <w:color w:val="000000"/>
                <w:kern w:val="0"/>
                <w:sz w:val="24"/>
                <w:szCs w:val="24"/>
                <w:lang w:val="en-US" w:eastAsia="zh-CN"/>
              </w:rPr>
            </w:pPr>
          </w:p>
          <w:p>
            <w:pPr>
              <w:widowControl/>
              <w:ind w:firstLine="960" w:firstLineChars="400"/>
              <w:jc w:val="both"/>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物力投入</w:t>
            </w:r>
          </w:p>
          <w:p>
            <w:pPr>
              <w:widowControl/>
              <w:ind w:firstLine="1200" w:firstLineChars="500"/>
              <w:jc w:val="center"/>
              <w:rPr>
                <w:rFonts w:hint="eastAsia" w:asciiTheme="minorEastAsia" w:hAnsiTheme="minorEastAsia" w:eastAsiaTheme="minorEastAsia" w:cstheme="minorEastAsia"/>
                <w:color w:val="000000"/>
                <w:kern w:val="0"/>
                <w:sz w:val="24"/>
                <w:szCs w:val="24"/>
                <w:lang w:val="en-US" w:eastAsia="zh-CN"/>
              </w:rPr>
            </w:pPr>
          </w:p>
          <w:p>
            <w:pPr>
              <w:widowControl/>
              <w:ind w:firstLine="960" w:firstLineChars="400"/>
              <w:jc w:val="both"/>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财力投入</w:t>
            </w:r>
          </w:p>
          <w:p>
            <w:pPr>
              <w:pStyle w:val="2"/>
              <w:rPr>
                <w:rFonts w:hint="eastAsia"/>
                <w:lang w:val="en-US" w:eastAsia="zh-CN"/>
              </w:rPr>
            </w:pPr>
          </w:p>
          <w:p>
            <w:pPr>
              <w:widowControl/>
              <w:ind w:firstLine="1200" w:firstLineChars="500"/>
              <w:jc w:val="center"/>
              <w:rPr>
                <w:rFonts w:hint="eastAsia" w:asciiTheme="minorEastAsia" w:hAnsiTheme="minorEastAsia" w:eastAsiaTheme="minorEastAsia" w:cstheme="minorEastAsia"/>
                <w:color w:val="000000"/>
                <w:kern w:val="0"/>
                <w:sz w:val="24"/>
                <w:szCs w:val="24"/>
                <w:lang w:val="en-US" w:eastAsia="zh-CN"/>
              </w:rPr>
            </w:pPr>
          </w:p>
          <w:p>
            <w:pPr>
              <w:widowControl/>
              <w:ind w:firstLine="960" w:firstLineChars="400"/>
              <w:jc w:val="both"/>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数量产出</w:t>
            </w:r>
          </w:p>
          <w:p>
            <w:pPr>
              <w:pStyle w:val="2"/>
              <w:spacing w:line="240" w:lineRule="auto"/>
              <w:jc w:val="both"/>
              <w:rPr>
                <w:rFonts w:hint="eastAsia"/>
                <w:lang w:val="en-US" w:eastAsia="zh-CN"/>
              </w:rPr>
            </w:pPr>
          </w:p>
          <w:p>
            <w:pPr>
              <w:widowControl/>
              <w:ind w:firstLine="960" w:firstLineChars="400"/>
              <w:jc w:val="both"/>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质量产出</w:t>
            </w:r>
          </w:p>
        </w:tc>
        <w:tc>
          <w:tcPr>
            <w:tcW w:w="3809" w:type="dxa"/>
            <w:tcBorders>
              <w:left w:val="nil"/>
              <w:tl2br w:val="nil"/>
              <w:tr2bl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X1：教职工总数</w:t>
            </w:r>
          </w:p>
          <w:p>
            <w:pPr>
              <w:widowControl/>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X2：生师比</w:t>
            </w:r>
          </w:p>
          <w:p>
            <w:pPr>
              <w:widowControl/>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X3：教学科研仪器设备资产值</w:t>
            </w:r>
          </w:p>
          <w:p>
            <w:pPr>
              <w:widowControl/>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X4：校舍建筑面积</w:t>
            </w:r>
          </w:p>
          <w:p>
            <w:pPr>
              <w:widowControl/>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X5：一般公共预算教育事业费支出</w:t>
            </w:r>
          </w:p>
          <w:p>
            <w:pPr>
              <w:widowControl/>
              <w:jc w:val="center"/>
              <w:rPr>
                <w:rFonts w:hint="eastAsia" w:asciiTheme="minorEastAsia" w:hAnsiTheme="minorEastAsia" w:eastAsiaTheme="minorEastAsia" w:cstheme="minorEastAsia"/>
                <w:color w:val="000000"/>
                <w:kern w:val="0"/>
                <w:sz w:val="24"/>
                <w:szCs w:val="24"/>
                <w:lang w:val="en-US" w:eastAsia="zh-CN"/>
              </w:rPr>
            </w:pPr>
          </w:p>
          <w:p>
            <w:pPr>
              <w:pStyle w:val="2"/>
              <w:rPr>
                <w:rFonts w:hint="eastAsia"/>
                <w:lang w:val="en-US" w:eastAsia="zh-CN"/>
              </w:rPr>
            </w:pPr>
          </w:p>
          <w:p>
            <w:pPr>
              <w:widowControl/>
              <w:jc w:val="center"/>
              <w:rPr>
                <w:rFonts w:hint="eastAsia" w:asciiTheme="minorEastAsia" w:hAnsiTheme="minorEastAsia" w:eastAsiaTheme="minorEastAsia" w:cstheme="minorEastAsia"/>
                <w:color w:val="000000"/>
                <w:kern w:val="0"/>
                <w:sz w:val="24"/>
                <w:szCs w:val="24"/>
                <w:lang w:val="en-US" w:eastAsia="zh-CN"/>
              </w:rPr>
            </w:pPr>
          </w:p>
          <w:p>
            <w:pPr>
              <w:widowControl/>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Y1：在校生数</w:t>
            </w:r>
          </w:p>
          <w:p>
            <w:pPr>
              <w:widowControl/>
              <w:jc w:val="center"/>
              <w:rPr>
                <w:rFonts w:hint="eastAsia" w:asciiTheme="minorEastAsia" w:hAnsiTheme="minorEastAsia" w:eastAsiaTheme="minorEastAsia" w:cstheme="minorEastAsia"/>
                <w:color w:val="000000"/>
                <w:kern w:val="0"/>
                <w:sz w:val="24"/>
                <w:szCs w:val="24"/>
                <w:lang w:val="en-US" w:eastAsia="zh-CN"/>
              </w:rPr>
            </w:pPr>
            <w:r>
              <w:rPr>
                <w:rFonts w:hint="eastAsia" w:asciiTheme="minorEastAsia" w:hAnsiTheme="minorEastAsia" w:eastAsiaTheme="minorEastAsia" w:cstheme="minorEastAsia"/>
                <w:color w:val="000000"/>
                <w:kern w:val="0"/>
                <w:sz w:val="24"/>
                <w:szCs w:val="24"/>
                <w:lang w:val="en-US" w:eastAsia="zh-CN"/>
              </w:rPr>
              <w:t>Y2：毕业生中获得职业资格证书人数</w:t>
            </w:r>
          </w:p>
        </w:tc>
      </w:tr>
    </w:tbl>
    <w:p>
      <w:pPr>
        <w:keepNext w:val="0"/>
        <w:keepLines w:val="0"/>
        <w:widowControl/>
        <w:suppressLineNumbers w:val="0"/>
        <w:jc w:val="left"/>
        <w:outlineLvl w:val="1"/>
        <w:rPr>
          <w:rFonts w:hint="eastAsia"/>
          <w:lang w:val="en-US" w:eastAsia="zh-CN"/>
        </w:rPr>
      </w:pPr>
      <w:bookmarkStart w:id="59" w:name="_Toc7015"/>
      <w:bookmarkStart w:id="60" w:name="_Toc6713"/>
      <w:r>
        <w:rPr>
          <w:rFonts w:hint="eastAsia" w:ascii="楷体" w:hAnsi="楷体" w:eastAsia="楷体" w:cs="楷体"/>
          <w:sz w:val="28"/>
          <w:szCs w:val="28"/>
          <w:lang w:val="en-US" w:eastAsia="zh-CN"/>
        </w:rPr>
        <w:t>5.3  职业高中教育投入产出效率模型的结果及分析</w:t>
      </w:r>
      <w:bookmarkEnd w:id="59"/>
      <w:bookmarkEnd w:id="60"/>
    </w:p>
    <w:p>
      <w:pPr>
        <w:keepNext w:val="0"/>
        <w:keepLines w:val="0"/>
        <w:widowControl/>
        <w:suppressLineNumbers w:val="0"/>
        <w:jc w:val="left"/>
        <w:outlineLvl w:val="2"/>
        <w:rPr>
          <w:rFonts w:hint="eastAsia" w:ascii="宋体" w:hAnsi="宋体" w:eastAsia="宋体" w:cs="宋体"/>
          <w:b/>
          <w:bCs/>
          <w:sz w:val="24"/>
          <w:szCs w:val="24"/>
          <w:lang w:val="en-US" w:eastAsia="zh-CN"/>
        </w:rPr>
      </w:pPr>
      <w:bookmarkStart w:id="61" w:name="_Toc15921"/>
      <w:bookmarkStart w:id="62" w:name="_Toc31147"/>
      <w:r>
        <w:rPr>
          <w:rFonts w:hint="eastAsia" w:ascii="宋体" w:hAnsi="宋体" w:eastAsia="宋体" w:cs="宋体"/>
          <w:b/>
          <w:bCs/>
          <w:sz w:val="24"/>
          <w:szCs w:val="24"/>
          <w:lang w:val="en-US" w:eastAsia="zh-CN"/>
        </w:rPr>
        <w:t>5.3.1 数据来源及处理</w:t>
      </w:r>
      <w:bookmarkEnd w:id="61"/>
      <w:bookmarkEnd w:id="62"/>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通过国家教育局的教育统计数据及教育经费执行公告，本文搜集了从2013-2021年全国的教职工总数、生师比、教学科研仪器设备资产值、校舍建筑面积、一般公共预算教育事业费支出、在校生数以及毕业生中获得职业资格证数人数的数据，同时也收集了2017-2021年全国31个省市（不含港澳台）的教职工总数、生师比、教学科研仪器设备资产值、校舍建筑面积、一般公共预算教育事业费支出、在校生数以及毕业生中获得职业资格证数人数的数据。本文所有数据均来自国家统计局官方网站，确保了数据的真实性以及可靠性。</w:t>
      </w:r>
    </w:p>
    <w:p>
      <w:pPr>
        <w:keepNext w:val="0"/>
        <w:keepLines w:val="0"/>
        <w:pageBreakBefore w:val="0"/>
        <w:widowControl w:val="0"/>
        <w:tabs>
          <w:tab w:val="left" w:pos="2836"/>
        </w:tabs>
        <w:kinsoku/>
        <w:wordWrap/>
        <w:overflowPunct/>
        <w:topLinePunct w:val="0"/>
        <w:autoSpaceDE/>
        <w:autoSpaceDN/>
        <w:bidi w:val="0"/>
        <w:adjustRightInd/>
        <w:snapToGrid/>
        <w:spacing w:line="480" w:lineRule="exact"/>
        <w:ind w:firstLine="480" w:firstLineChars="200"/>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收集到的数据，经过去噪、量纲化等数据预处理操作，得到方便用于计算的数值。再利用SPSS工具，分别将全国的数据以及各省份的数据带入DEA-CCR模型和DEA-BCC模型进行综合评估，得出的分析结果如下。</w:t>
      </w:r>
    </w:p>
    <w:p>
      <w:p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br w:type="page"/>
      </w:r>
    </w:p>
    <w:p>
      <w:pPr>
        <w:bidi w:val="0"/>
        <w:jc w:val="center"/>
        <w:rPr>
          <w:rFonts w:hint="eastAsia"/>
          <w:sz w:val="24"/>
          <w:szCs w:val="24"/>
          <w:lang w:val="en-US" w:eastAsia="zh-CN"/>
        </w:rPr>
      </w:pPr>
    </w:p>
    <w:tbl>
      <w:tblPr>
        <w:tblStyle w:val="14"/>
        <w:tblpPr w:leftFromText="180" w:rightFromText="180" w:vertAnchor="text" w:horzAnchor="page" w:tblpX="587" w:tblpY="539"/>
        <w:tblOverlap w:val="never"/>
        <w:tblW w:w="6577" w:type="pct"/>
        <w:tblInd w:w="0" w:type="dxa"/>
        <w:shd w:val="clear" w:color="auto" w:fill="FFFFFF"/>
        <w:tblLayout w:type="autofit"/>
        <w:tblCellMar>
          <w:top w:w="0" w:type="dxa"/>
          <w:left w:w="0" w:type="dxa"/>
          <w:bottom w:w="0" w:type="dxa"/>
          <w:right w:w="0" w:type="dxa"/>
        </w:tblCellMar>
      </w:tblPr>
      <w:tblGrid>
        <w:gridCol w:w="480"/>
        <w:gridCol w:w="932"/>
        <w:gridCol w:w="711"/>
        <w:gridCol w:w="726"/>
        <w:gridCol w:w="1144"/>
        <w:gridCol w:w="1348"/>
        <w:gridCol w:w="717"/>
        <w:gridCol w:w="934"/>
        <w:gridCol w:w="711"/>
        <w:gridCol w:w="729"/>
        <w:gridCol w:w="1145"/>
        <w:gridCol w:w="1357"/>
      </w:tblGrid>
      <w:tr>
        <w:tblPrEx>
          <w:shd w:val="clear" w:color="auto" w:fill="FFFFFF"/>
          <w:tblCellMar>
            <w:top w:w="0" w:type="dxa"/>
            <w:left w:w="0" w:type="dxa"/>
            <w:bottom w:w="0" w:type="dxa"/>
            <w:right w:w="0" w:type="dxa"/>
          </w:tblCellMar>
        </w:tblPrEx>
        <w:trPr>
          <w:trHeight w:val="1025" w:hRule="atLeast"/>
          <w:tblHeader/>
        </w:trPr>
        <w:tc>
          <w:tcPr>
            <w:tcW w:w="206" w:type="pct"/>
            <w:tcBorders>
              <w:bottom w:val="single" w:color="auto" w:sz="6" w:space="0"/>
            </w:tcBorders>
            <w:shd w:val="clear" w:color="auto" w:fill="FFFFFF"/>
            <w:vAlign w:val="center"/>
          </w:tcPr>
          <w:p>
            <w:pPr>
              <w:widowControl/>
              <w:spacing w:after="150"/>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年份</w:t>
            </w:r>
          </w:p>
        </w:tc>
        <w:tc>
          <w:tcPr>
            <w:tcW w:w="427"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教职工总数</w:t>
            </w:r>
          </w:p>
        </w:tc>
        <w:tc>
          <w:tcPr>
            <w:tcW w:w="326"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生师比</w:t>
            </w:r>
          </w:p>
        </w:tc>
        <w:tc>
          <w:tcPr>
            <w:tcW w:w="333"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科研仪器</w:t>
            </w:r>
          </w:p>
        </w:tc>
        <w:tc>
          <w:tcPr>
            <w:tcW w:w="524"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校舍建筑面积</w:t>
            </w:r>
          </w:p>
        </w:tc>
        <w:tc>
          <w:tcPr>
            <w:tcW w:w="617"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教育事业费支出</w:t>
            </w:r>
          </w:p>
        </w:tc>
        <w:tc>
          <w:tcPr>
            <w:tcW w:w="329"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汇总</w:t>
            </w:r>
          </w:p>
        </w:tc>
        <w:tc>
          <w:tcPr>
            <w:tcW w:w="428"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教职工总数</w:t>
            </w:r>
          </w:p>
        </w:tc>
        <w:tc>
          <w:tcPr>
            <w:tcW w:w="326"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生师比</w:t>
            </w:r>
          </w:p>
        </w:tc>
        <w:tc>
          <w:tcPr>
            <w:tcW w:w="334"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科研仪器</w:t>
            </w:r>
          </w:p>
        </w:tc>
        <w:tc>
          <w:tcPr>
            <w:tcW w:w="524"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校舍建筑面积</w:t>
            </w:r>
          </w:p>
        </w:tc>
        <w:tc>
          <w:tcPr>
            <w:tcW w:w="621" w:type="pct"/>
            <w:tcBorders>
              <w:bottom w:val="single" w:color="auto" w:sz="6" w:space="0"/>
            </w:tcBorders>
            <w:shd w:val="clear" w:color="auto" w:fill="FFFFFF"/>
            <w:vAlign w:val="center"/>
          </w:tcPr>
          <w:p>
            <w:pPr>
              <w:widowControl/>
              <w:spacing w:after="150" w:line="450"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教育事业费支出</w:t>
            </w:r>
          </w:p>
        </w:tc>
      </w:tr>
      <w:tr>
        <w:tblPrEx>
          <w:shd w:val="clear" w:color="auto" w:fill="FFFFFF"/>
          <w:tblCellMar>
            <w:top w:w="0" w:type="dxa"/>
            <w:left w:w="0" w:type="dxa"/>
            <w:bottom w:w="0" w:type="dxa"/>
            <w:right w:w="0" w:type="dxa"/>
          </w:tblCellMar>
        </w:tblPrEx>
        <w:trPr>
          <w:trHeight w:val="410" w:hRule="atLeast"/>
        </w:trPr>
        <w:tc>
          <w:tcPr>
            <w:tcW w:w="20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2021</w:t>
            </w:r>
          </w:p>
        </w:tc>
        <w:tc>
          <w:tcPr>
            <w:tcW w:w="42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3"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61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9"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428"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621"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r>
      <w:tr>
        <w:tblPrEx>
          <w:shd w:val="clear" w:color="auto" w:fill="FFFFFF"/>
          <w:tblCellMar>
            <w:top w:w="0" w:type="dxa"/>
            <w:left w:w="0" w:type="dxa"/>
            <w:bottom w:w="0" w:type="dxa"/>
            <w:right w:w="0" w:type="dxa"/>
          </w:tblCellMar>
        </w:tblPrEx>
        <w:trPr>
          <w:trHeight w:val="396" w:hRule="atLeast"/>
        </w:trPr>
        <w:tc>
          <w:tcPr>
            <w:tcW w:w="20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2020</w:t>
            </w:r>
          </w:p>
        </w:tc>
        <w:tc>
          <w:tcPr>
            <w:tcW w:w="42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3"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61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9"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428"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621"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r>
      <w:tr>
        <w:tblPrEx>
          <w:shd w:val="clear" w:color="auto" w:fill="FFFFFF"/>
          <w:tblCellMar>
            <w:top w:w="0" w:type="dxa"/>
            <w:left w:w="0" w:type="dxa"/>
            <w:bottom w:w="0" w:type="dxa"/>
            <w:right w:w="0" w:type="dxa"/>
          </w:tblCellMar>
        </w:tblPrEx>
        <w:trPr>
          <w:trHeight w:val="396" w:hRule="atLeast"/>
        </w:trPr>
        <w:tc>
          <w:tcPr>
            <w:tcW w:w="20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2019</w:t>
            </w:r>
          </w:p>
        </w:tc>
        <w:tc>
          <w:tcPr>
            <w:tcW w:w="42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3"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61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9"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428"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621"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r>
      <w:tr>
        <w:tblPrEx>
          <w:shd w:val="clear" w:color="auto" w:fill="FFFFFF"/>
          <w:tblCellMar>
            <w:top w:w="0" w:type="dxa"/>
            <w:left w:w="0" w:type="dxa"/>
            <w:bottom w:w="0" w:type="dxa"/>
            <w:right w:w="0" w:type="dxa"/>
          </w:tblCellMar>
        </w:tblPrEx>
        <w:trPr>
          <w:trHeight w:val="396" w:hRule="atLeast"/>
        </w:trPr>
        <w:tc>
          <w:tcPr>
            <w:tcW w:w="20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2018</w:t>
            </w:r>
          </w:p>
        </w:tc>
        <w:tc>
          <w:tcPr>
            <w:tcW w:w="42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3"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61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9"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428"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621"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r>
      <w:tr>
        <w:tblPrEx>
          <w:shd w:val="clear" w:color="auto" w:fill="FFFFFF"/>
          <w:tblCellMar>
            <w:top w:w="0" w:type="dxa"/>
            <w:left w:w="0" w:type="dxa"/>
            <w:bottom w:w="0" w:type="dxa"/>
            <w:right w:w="0" w:type="dxa"/>
          </w:tblCellMar>
        </w:tblPrEx>
        <w:trPr>
          <w:trHeight w:val="396" w:hRule="atLeast"/>
        </w:trPr>
        <w:tc>
          <w:tcPr>
            <w:tcW w:w="20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2017</w:t>
            </w:r>
          </w:p>
        </w:tc>
        <w:tc>
          <w:tcPr>
            <w:tcW w:w="42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0.004</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3"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0.092</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0.012</w:t>
            </w:r>
          </w:p>
        </w:tc>
        <w:tc>
          <w:tcPr>
            <w:tcW w:w="61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0.210</w:t>
            </w:r>
          </w:p>
        </w:tc>
        <w:tc>
          <w:tcPr>
            <w:tcW w:w="329"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0.319</w:t>
            </w:r>
          </w:p>
        </w:tc>
        <w:tc>
          <w:tcPr>
            <w:tcW w:w="428"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0.004</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0.092</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0.012</w:t>
            </w:r>
          </w:p>
        </w:tc>
        <w:tc>
          <w:tcPr>
            <w:tcW w:w="621"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0.205</w:t>
            </w:r>
          </w:p>
        </w:tc>
      </w:tr>
      <w:tr>
        <w:tblPrEx>
          <w:shd w:val="clear" w:color="auto" w:fill="FFFFFF"/>
          <w:tblCellMar>
            <w:top w:w="0" w:type="dxa"/>
            <w:left w:w="0" w:type="dxa"/>
            <w:bottom w:w="0" w:type="dxa"/>
            <w:right w:w="0" w:type="dxa"/>
          </w:tblCellMar>
        </w:tblPrEx>
        <w:trPr>
          <w:trHeight w:val="396" w:hRule="atLeast"/>
        </w:trPr>
        <w:tc>
          <w:tcPr>
            <w:tcW w:w="20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2016</w:t>
            </w:r>
          </w:p>
        </w:tc>
        <w:tc>
          <w:tcPr>
            <w:tcW w:w="42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3"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0.248</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0.014</w:t>
            </w:r>
          </w:p>
        </w:tc>
        <w:tc>
          <w:tcPr>
            <w:tcW w:w="61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0.337</w:t>
            </w:r>
          </w:p>
        </w:tc>
        <w:tc>
          <w:tcPr>
            <w:tcW w:w="329"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0.599</w:t>
            </w:r>
          </w:p>
        </w:tc>
        <w:tc>
          <w:tcPr>
            <w:tcW w:w="428"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0.227</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0.014</w:t>
            </w:r>
          </w:p>
        </w:tc>
        <w:tc>
          <w:tcPr>
            <w:tcW w:w="621"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0.302</w:t>
            </w:r>
          </w:p>
        </w:tc>
      </w:tr>
      <w:tr>
        <w:tblPrEx>
          <w:shd w:val="clear" w:color="auto" w:fill="FFFFFF"/>
          <w:tblCellMar>
            <w:top w:w="0" w:type="dxa"/>
            <w:left w:w="0" w:type="dxa"/>
            <w:bottom w:w="0" w:type="dxa"/>
            <w:right w:w="0" w:type="dxa"/>
          </w:tblCellMar>
        </w:tblPrEx>
        <w:trPr>
          <w:trHeight w:val="396" w:hRule="atLeast"/>
        </w:trPr>
        <w:tc>
          <w:tcPr>
            <w:tcW w:w="20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2015</w:t>
            </w:r>
          </w:p>
        </w:tc>
        <w:tc>
          <w:tcPr>
            <w:tcW w:w="42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0.004</w:t>
            </w:r>
          </w:p>
        </w:tc>
        <w:tc>
          <w:tcPr>
            <w:tcW w:w="333"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0.353</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0.034</w:t>
            </w:r>
          </w:p>
        </w:tc>
        <w:tc>
          <w:tcPr>
            <w:tcW w:w="61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0.471</w:t>
            </w:r>
          </w:p>
        </w:tc>
        <w:tc>
          <w:tcPr>
            <w:tcW w:w="329"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0.862</w:t>
            </w:r>
          </w:p>
        </w:tc>
        <w:tc>
          <w:tcPr>
            <w:tcW w:w="428"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0.004</w:t>
            </w:r>
          </w:p>
        </w:tc>
        <w:tc>
          <w:tcPr>
            <w:tcW w:w="33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0.297</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0.034</w:t>
            </w:r>
          </w:p>
        </w:tc>
        <w:tc>
          <w:tcPr>
            <w:tcW w:w="621"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0.379</w:t>
            </w:r>
          </w:p>
        </w:tc>
      </w:tr>
      <w:tr>
        <w:tblPrEx>
          <w:shd w:val="clear" w:color="auto" w:fill="FFFFFF"/>
          <w:tblCellMar>
            <w:top w:w="0" w:type="dxa"/>
            <w:left w:w="0" w:type="dxa"/>
            <w:bottom w:w="0" w:type="dxa"/>
            <w:right w:w="0" w:type="dxa"/>
          </w:tblCellMar>
        </w:tblPrEx>
        <w:trPr>
          <w:trHeight w:val="396" w:hRule="atLeast"/>
        </w:trPr>
        <w:tc>
          <w:tcPr>
            <w:tcW w:w="20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2014</w:t>
            </w:r>
          </w:p>
        </w:tc>
        <w:tc>
          <w:tcPr>
            <w:tcW w:w="42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0.004</w:t>
            </w:r>
          </w:p>
        </w:tc>
        <w:tc>
          <w:tcPr>
            <w:tcW w:w="333"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0.447</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0.049</w:t>
            </w:r>
          </w:p>
        </w:tc>
        <w:tc>
          <w:tcPr>
            <w:tcW w:w="617"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0.709</w:t>
            </w:r>
          </w:p>
        </w:tc>
        <w:tc>
          <w:tcPr>
            <w:tcW w:w="329"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1.210</w:t>
            </w:r>
          </w:p>
        </w:tc>
        <w:tc>
          <w:tcPr>
            <w:tcW w:w="428"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26"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0.004</w:t>
            </w:r>
          </w:p>
        </w:tc>
        <w:tc>
          <w:tcPr>
            <w:tcW w:w="33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0.351</w:t>
            </w:r>
          </w:p>
        </w:tc>
        <w:tc>
          <w:tcPr>
            <w:tcW w:w="524"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0.050</w:t>
            </w:r>
          </w:p>
        </w:tc>
        <w:tc>
          <w:tcPr>
            <w:tcW w:w="621" w:type="pct"/>
            <w:tcBorders>
              <w:top w:val="nil"/>
              <w:left w:val="nil"/>
              <w:bottom w:val="nil"/>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0.475</w:t>
            </w:r>
          </w:p>
        </w:tc>
      </w:tr>
      <w:tr>
        <w:tblPrEx>
          <w:shd w:val="clear" w:color="auto" w:fill="FFFFFF"/>
          <w:tblCellMar>
            <w:top w:w="0" w:type="dxa"/>
            <w:left w:w="0" w:type="dxa"/>
            <w:bottom w:w="0" w:type="dxa"/>
            <w:right w:w="0" w:type="dxa"/>
          </w:tblCellMar>
        </w:tblPrEx>
        <w:trPr>
          <w:trHeight w:val="425" w:hRule="atLeast"/>
        </w:trPr>
        <w:tc>
          <w:tcPr>
            <w:tcW w:w="206"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2013</w:t>
            </w:r>
          </w:p>
        </w:tc>
        <w:tc>
          <w:tcPr>
            <w:tcW w:w="427"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0.029</w:t>
            </w:r>
          </w:p>
        </w:tc>
        <w:tc>
          <w:tcPr>
            <w:tcW w:w="326"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3"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0.536</w:t>
            </w:r>
          </w:p>
        </w:tc>
        <w:tc>
          <w:tcPr>
            <w:tcW w:w="524"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0.102</w:t>
            </w:r>
          </w:p>
        </w:tc>
        <w:tc>
          <w:tcPr>
            <w:tcW w:w="617"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0.749</w:t>
            </w:r>
          </w:p>
        </w:tc>
        <w:tc>
          <w:tcPr>
            <w:tcW w:w="329"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1.417</w:t>
            </w:r>
          </w:p>
        </w:tc>
        <w:tc>
          <w:tcPr>
            <w:tcW w:w="428"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0.031</w:t>
            </w:r>
          </w:p>
        </w:tc>
        <w:tc>
          <w:tcPr>
            <w:tcW w:w="326"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0.000</w:t>
            </w:r>
          </w:p>
        </w:tc>
        <w:tc>
          <w:tcPr>
            <w:tcW w:w="334"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0.385</w:t>
            </w:r>
          </w:p>
        </w:tc>
        <w:tc>
          <w:tcPr>
            <w:tcW w:w="524"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0.103</w:t>
            </w:r>
          </w:p>
        </w:tc>
        <w:tc>
          <w:tcPr>
            <w:tcW w:w="621" w:type="pct"/>
            <w:tcBorders>
              <w:top w:val="nil"/>
              <w:left w:val="nil"/>
              <w:bottom w:val="single" w:color="auto" w:sz="12" w:space="0"/>
              <w:right w:val="nil"/>
            </w:tcBorders>
            <w:shd w:val="clear" w:color="auto" w:fill="FFFFFF"/>
            <w:vAlign w:val="center"/>
          </w:tcPr>
          <w:p>
            <w:pPr>
              <w:widowControl/>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0.483</w:t>
            </w:r>
          </w:p>
        </w:tc>
      </w:tr>
    </w:tbl>
    <w:p>
      <w:pPr>
        <w:pStyle w:val="6"/>
        <w:jc w:val="center"/>
        <w:rPr>
          <w:rFonts w:hint="eastAsia" w:asciiTheme="minorEastAsia" w:hAnsiTheme="minorEastAsia" w:eastAsiaTheme="minorEastAsia" w:cstheme="minorEastAsia"/>
          <w:sz w:val="24"/>
          <w:szCs w:val="24"/>
        </w:rPr>
      </w:pPr>
      <w:bookmarkStart w:id="63" w:name="_Toc12306"/>
      <w:r>
        <w:rPr>
          <w:rFonts w:hint="eastAsia" w:asciiTheme="minorEastAsia" w:hAnsiTheme="minorEastAsia" w:eastAsiaTheme="minorEastAsia" w:cstheme="minorEastAsia"/>
          <w:sz w:val="24"/>
          <w:szCs w:val="24"/>
        </w:rPr>
        <w:t>表</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表 \* ARABIC \s 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bookmarkStart w:id="64" w:name="_Toc2948"/>
      <w:r>
        <w:rPr>
          <w:rFonts w:hint="eastAsia" w:asciiTheme="minorEastAsia" w:hAnsiTheme="minorEastAsia" w:eastAsiaTheme="minorEastAsia" w:cstheme="minorEastAsia"/>
          <w:sz w:val="24"/>
          <w:szCs w:val="24"/>
          <w:lang w:val="en-US" w:eastAsia="zh-CN"/>
        </w:rPr>
        <w:t xml:space="preserve"> 全国的数据以及各省份的数据DEA-CCR模型和DEA-BCC模型综合评估</w:t>
      </w:r>
      <w:bookmarkEnd w:id="64"/>
    </w:p>
    <w:p>
      <w:pPr>
        <w:pStyle w:val="2"/>
        <w:jc w:val="center"/>
        <w:rPr>
          <w:rFonts w:hint="eastAsia" w:ascii="宋体" w:hAnsi="宋体" w:eastAsia="宋体" w:cs="宋体"/>
          <w:sz w:val="24"/>
          <w:szCs w:val="24"/>
          <w:lang w:val="en-US" w:eastAsia="zh-CN"/>
        </w:rPr>
      </w:pPr>
    </w:p>
    <w:p>
      <w:pPr>
        <w:keepNext w:val="0"/>
        <w:keepLines w:val="0"/>
        <w:widowControl/>
        <w:suppressLineNumbers w:val="0"/>
        <w:jc w:val="left"/>
        <w:outlineLvl w:val="2"/>
        <w:rPr>
          <w:rFonts w:hint="eastAsia" w:asciiTheme="minorEastAsia" w:hAnsiTheme="minorEastAsia" w:eastAsiaTheme="minorEastAsia" w:cstheme="minorEastAsia"/>
          <w:b/>
          <w:bCs/>
          <w:sz w:val="24"/>
          <w:szCs w:val="24"/>
          <w:lang w:val="en-US" w:eastAsia="zh-CN"/>
        </w:rPr>
      </w:pPr>
      <w:bookmarkStart w:id="65" w:name="_Toc15973"/>
      <w:r>
        <w:rPr>
          <w:rFonts w:hint="eastAsia" w:asciiTheme="minorEastAsia" w:hAnsiTheme="minorEastAsia" w:cstheme="minorEastAsia"/>
          <w:b/>
          <w:bCs/>
          <w:sz w:val="24"/>
          <w:szCs w:val="24"/>
          <w:lang w:val="en-US" w:eastAsia="zh-CN"/>
        </w:rPr>
        <w:t>5</w:t>
      </w:r>
      <w:r>
        <w:rPr>
          <w:rFonts w:hint="eastAsia" w:asciiTheme="minorEastAsia" w:hAnsiTheme="minorEastAsia" w:eastAsiaTheme="minorEastAsia" w:cstheme="minorEastAsia"/>
          <w:b/>
          <w:bCs/>
          <w:sz w:val="24"/>
          <w:szCs w:val="24"/>
          <w:lang w:val="en-US" w:eastAsia="zh-CN"/>
        </w:rPr>
        <w:t>.3.2 职高教育效率有效性分析</w:t>
      </w:r>
      <w:bookmarkEnd w:id="63"/>
      <w:bookmarkEnd w:id="65"/>
    </w:p>
    <w:p>
      <w:pPr>
        <w:keepNext w:val="0"/>
        <w:keepLines w:val="0"/>
        <w:pageBreakBefore w:val="0"/>
        <w:widowControl w:val="0"/>
        <w:tabs>
          <w:tab w:val="left" w:pos="2951"/>
        </w:tabs>
        <w:kinsoku/>
        <w:wordWrap/>
        <w:overflowPunct/>
        <w:topLinePunct w:val="0"/>
        <w:autoSpaceDE/>
        <w:autoSpaceDN/>
        <w:bidi w:val="0"/>
        <w:adjustRightInd/>
        <w:snapToGrid/>
        <w:spacing w:line="480" w:lineRule="exact"/>
        <w:ind w:firstLine="480" w:firstLineChars="200"/>
        <w:textAlignment w:val="auto"/>
        <w:rPr>
          <w:rFonts w:hint="eastAsia" w:ascii="Arial" w:hAnsi="Arial" w:eastAsia="宋体" w:cs="Arial"/>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2013至2021年职高教育效率有效性分析如表5-3所示，如图5.1所示的折线图展示了综合效益、规模效益和技术效益对应的数据。当综合效益值等于1时，DEA处于有效状态；反之，若综合效益值小于1，则DEA无效。观察数据，我们可以看到，在从2013年至2017年期间，我国的教育产出与投入不匹配，这意味着存在着松驰变量</w:t>
      </w:r>
      <w:r>
        <w:rPr>
          <w:rFonts w:hint="eastAsia" w:ascii="宋体" w:hAnsi="宋体" w:eastAsia="宋体" w:cs="宋体"/>
          <w:b w:val="0"/>
          <w:bCs w:val="0"/>
          <w:color w:val="000000"/>
          <w:kern w:val="0"/>
          <w:sz w:val="24"/>
          <w:szCs w:val="24"/>
          <w:lang w:val="en-US" w:eastAsia="zh-CN" w:bidi="ar"/>
        </w:rPr>
        <w:object>
          <v:shape id="_x0000_i1030" o:spt="75" type="#_x0000_t75" style="height:16pt;width:13.95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r>
        <w:rPr>
          <w:rFonts w:hint="eastAsia" w:ascii="宋体" w:hAnsi="宋体" w:eastAsia="宋体" w:cs="宋体"/>
          <w:b w:val="0"/>
          <w:bCs w:val="0"/>
          <w:color w:val="000000"/>
          <w:kern w:val="0"/>
          <w:sz w:val="24"/>
          <w:szCs w:val="24"/>
          <w:lang w:val="en-US" w:eastAsia="zh-CN" w:bidi="ar"/>
        </w:rPr>
        <w:t>，即需要降低投入以达到目标效率的程度。此外，投入冗余率指投入过多和实际投入的比率，值越大则代表投入过多的情况越严重。通过图表5所示可以看出，教育事业费支出冗余最为严重，其次为科研仪器设备资产值，这说明了我国在当时于教育经费支出以及科研仪器设备资产值方面严重溢出，2018年及以后我国中等职业教育投入产出效率都为DEA有效，说明此方面有较为优异的改善；技术效益值等于1意味着技术效率合理，反之技术效益值小于1意味着技术效益还有提升空间，根据数据显示，从2013年至2021年，我国的技术效益一直维持在1的水平，这意味着技术效率是合理的。另外，当规模效益值等于1时，说明处于规模收益的最优状态；如果该值小于1，则规模收益递增；而如果该值大于1，则规模收益递减。我国规模效益自2013年至2017年均小于1，但是逐年稳步增长，最终于2018年达到1，这也同时说明了我国综合效益的提高是由于规模效益的提高。</w:t>
      </w:r>
    </w:p>
    <w:p>
      <w:pPr>
        <w:tabs>
          <w:tab w:val="left" w:pos="2951"/>
        </w:tabs>
        <w:jc w:val="center"/>
        <w:rPr>
          <w:rFonts w:hint="default" w:ascii="Arial" w:hAnsi="Arial" w:eastAsia="宋体" w:cs="Arial"/>
          <w:b/>
          <w:bCs/>
          <w:color w:val="000000"/>
          <w:kern w:val="0"/>
          <w:sz w:val="24"/>
          <w:szCs w:val="24"/>
          <w:lang w:val="en-US" w:eastAsia="zh-CN" w:bidi="ar"/>
        </w:rPr>
      </w:pPr>
      <w:r>
        <w:rPr>
          <w:rFonts w:hint="default" w:ascii="Arial" w:hAnsi="Arial" w:eastAsia="宋体" w:cs="Arial"/>
          <w:b/>
          <w:bCs/>
          <w:color w:val="000000"/>
          <w:kern w:val="0"/>
          <w:sz w:val="24"/>
          <w:szCs w:val="24"/>
          <w:lang w:val="en-US" w:eastAsia="zh-CN" w:bidi="ar"/>
        </w:rPr>
        <w:drawing>
          <wp:inline distT="0" distB="0" distL="114300" distR="114300">
            <wp:extent cx="4855845" cy="2680335"/>
            <wp:effectExtent l="0" t="0" r="1905" b="5715"/>
            <wp:docPr id="2" name="图片 2" descr="2013-2021年中国中职教育有效性分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3-2021年中国中职教育有效性分析图"/>
                    <pic:cNvPicPr>
                      <a:picLocks noChangeAspect="1"/>
                    </pic:cNvPicPr>
                  </pic:nvPicPr>
                  <pic:blipFill>
                    <a:blip r:embed="rId22"/>
                    <a:stretch>
                      <a:fillRect/>
                    </a:stretch>
                  </pic:blipFill>
                  <pic:spPr>
                    <a:xfrm>
                      <a:off x="0" y="0"/>
                      <a:ext cx="4855845" cy="2680335"/>
                    </a:xfrm>
                    <a:prstGeom prst="rect">
                      <a:avLst/>
                    </a:prstGeom>
                  </pic:spPr>
                </pic:pic>
              </a:graphicData>
            </a:graphic>
          </wp:inline>
        </w:drawing>
      </w:r>
    </w:p>
    <w:p>
      <w:pPr>
        <w:pStyle w:val="6"/>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图</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图 \* ARABIC \s 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bookmarkStart w:id="66" w:name="_Toc12166"/>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2013-2021年中国中职教育有效性分析图</w:t>
      </w:r>
      <w:bookmarkEnd w:id="66"/>
    </w:p>
    <w:p>
      <w:pPr>
        <w:pStyle w:val="6"/>
        <w:rPr>
          <w:rFonts w:hint="eastAsia" w:eastAsia="黑体"/>
          <w:lang w:val="en-US" w:eastAsia="zh-CN"/>
        </w:rPr>
      </w:pPr>
    </w:p>
    <w:p>
      <w:pPr>
        <w:tabs>
          <w:tab w:val="left" w:pos="2743"/>
        </w:tabs>
        <w:rPr>
          <w:rFonts w:hint="default" w:ascii="Arial" w:hAnsi="Arial" w:eastAsia="宋体" w:cs="Arial"/>
          <w:b/>
          <w:bCs/>
          <w:color w:val="000000"/>
          <w:kern w:val="0"/>
          <w:sz w:val="24"/>
          <w:szCs w:val="24"/>
          <w:lang w:val="en-US" w:eastAsia="zh-CN" w:bidi="ar"/>
        </w:rPr>
      </w:pPr>
    </w:p>
    <w:p>
      <w:pPr>
        <w:tabs>
          <w:tab w:val="left" w:pos="2743"/>
        </w:tabs>
        <w:rPr>
          <w:rFonts w:hint="default" w:ascii="Arial" w:hAnsi="Arial" w:eastAsia="宋体" w:cs="Arial"/>
          <w:b/>
          <w:bCs/>
          <w:color w:val="000000"/>
          <w:kern w:val="0"/>
          <w:sz w:val="24"/>
          <w:szCs w:val="24"/>
          <w:lang w:val="en-US" w:eastAsia="zh-CN" w:bidi="ar"/>
        </w:rPr>
      </w:pPr>
    </w:p>
    <w:p>
      <w:pPr>
        <w:rPr>
          <w:rFonts w:hint="default" w:ascii="Arial" w:hAnsi="Arial" w:eastAsia="宋体" w:cs="Arial"/>
          <w:b/>
          <w:bCs/>
          <w:color w:val="000000"/>
          <w:kern w:val="0"/>
          <w:sz w:val="24"/>
          <w:szCs w:val="24"/>
          <w:lang w:val="en-US" w:eastAsia="zh-CN" w:bidi="ar"/>
        </w:rPr>
      </w:pPr>
    </w:p>
    <w:p>
      <w:pPr>
        <w:pStyle w:val="6"/>
        <w:jc w:val="cente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表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bookmarkStart w:id="67" w:name="_Toc23272"/>
      <w:r>
        <w:rPr>
          <w:rFonts w:hint="eastAsia" w:asciiTheme="majorEastAsia" w:hAnsiTheme="majorEastAsia" w:eastAsiaTheme="majorEastAsia" w:cstheme="majorEastAsia"/>
          <w:sz w:val="24"/>
          <w:szCs w:val="24"/>
          <w:lang w:val="en-US" w:eastAsia="zh-CN"/>
        </w:rPr>
        <w:t xml:space="preserve"> 2013-2021的DEA有效性分析</w:t>
      </w:r>
      <w:bookmarkEnd w:id="67"/>
    </w:p>
    <w:tbl>
      <w:tblPr>
        <w:tblStyle w:val="14"/>
        <w:tblW w:w="5468" w:type="pct"/>
        <w:tblInd w:w="-367" w:type="dxa"/>
        <w:shd w:val="clear" w:color="auto" w:fill="FFFFFF"/>
        <w:tblLayout w:type="autofit"/>
        <w:tblCellMar>
          <w:top w:w="0" w:type="dxa"/>
          <w:left w:w="0" w:type="dxa"/>
          <w:bottom w:w="0" w:type="dxa"/>
          <w:right w:w="0" w:type="dxa"/>
        </w:tblCellMar>
      </w:tblPr>
      <w:tblGrid>
        <w:gridCol w:w="1023"/>
        <w:gridCol w:w="1189"/>
        <w:gridCol w:w="1453"/>
        <w:gridCol w:w="1487"/>
        <w:gridCol w:w="1127"/>
        <w:gridCol w:w="1182"/>
        <w:gridCol w:w="1629"/>
      </w:tblGrid>
      <w:tr>
        <w:tblPrEx>
          <w:shd w:val="clear" w:color="auto" w:fill="FFFFFF"/>
          <w:tblCellMar>
            <w:top w:w="0" w:type="dxa"/>
            <w:left w:w="0" w:type="dxa"/>
            <w:bottom w:w="0" w:type="dxa"/>
            <w:right w:w="0" w:type="dxa"/>
          </w:tblCellMar>
        </w:tblPrEx>
        <w:trPr>
          <w:trHeight w:val="405" w:hRule="atLeast"/>
          <w:tblHeader/>
        </w:trPr>
        <w:tc>
          <w:tcPr>
            <w:tcW w:w="5000" w:type="pct"/>
            <w:gridSpan w:val="7"/>
            <w:tcBorders>
              <w:bottom w:val="single" w:color="auto" w:sz="12" w:space="0"/>
            </w:tcBorders>
            <w:shd w:val="clear" w:color="auto" w:fill="FFFFFF"/>
            <w:vAlign w:val="center"/>
          </w:tcPr>
          <w:p>
            <w:pPr>
              <w:jc w:val="center"/>
              <w:rPr>
                <w:rFonts w:hint="eastAsia" w:asciiTheme="majorEastAsia" w:hAnsiTheme="majorEastAsia" w:eastAsiaTheme="majorEastAsia" w:cstheme="majorEastAsia"/>
                <w:color w:val="000000"/>
                <w:kern w:val="0"/>
                <w:sz w:val="24"/>
                <w:szCs w:val="24"/>
              </w:rPr>
            </w:pPr>
          </w:p>
        </w:tc>
      </w:tr>
      <w:tr>
        <w:tblPrEx>
          <w:shd w:val="clear" w:color="auto" w:fill="FFFFFF"/>
          <w:tblCellMar>
            <w:top w:w="0" w:type="dxa"/>
            <w:left w:w="0" w:type="dxa"/>
            <w:bottom w:w="0" w:type="dxa"/>
            <w:right w:w="0" w:type="dxa"/>
          </w:tblCellMar>
        </w:tblPrEx>
        <w:trPr>
          <w:trHeight w:val="405" w:hRule="atLeast"/>
          <w:tblHeader/>
        </w:trPr>
        <w:tc>
          <w:tcPr>
            <w:tcW w:w="563"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项</w:t>
            </w:r>
          </w:p>
        </w:tc>
        <w:tc>
          <w:tcPr>
            <w:tcW w:w="654"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技术效益TE</w:t>
            </w:r>
          </w:p>
        </w:tc>
        <w:tc>
          <w:tcPr>
            <w:tcW w:w="799"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规模效益SE(k)</w:t>
            </w:r>
          </w:p>
        </w:tc>
        <w:tc>
          <w:tcPr>
            <w:tcW w:w="818"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综合效益OE(θ)</w:t>
            </w:r>
          </w:p>
        </w:tc>
        <w:tc>
          <w:tcPr>
            <w:tcW w:w="620"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松驰变量S-</w:t>
            </w:r>
          </w:p>
        </w:tc>
        <w:tc>
          <w:tcPr>
            <w:tcW w:w="650"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松驰变量S+</w:t>
            </w:r>
          </w:p>
        </w:tc>
        <w:tc>
          <w:tcPr>
            <w:tcW w:w="893"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有效性</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2021.0</w:t>
            </w:r>
          </w:p>
        </w:tc>
        <w:tc>
          <w:tcPr>
            <w:tcW w:w="654"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799"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818"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62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0.000</w:t>
            </w:r>
          </w:p>
        </w:tc>
        <w:tc>
          <w:tcPr>
            <w:tcW w:w="65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0.000</w:t>
            </w:r>
          </w:p>
        </w:tc>
        <w:tc>
          <w:tcPr>
            <w:tcW w:w="89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DEA强有效</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2020.0</w:t>
            </w:r>
          </w:p>
        </w:tc>
        <w:tc>
          <w:tcPr>
            <w:tcW w:w="654"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799"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818"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62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0.000</w:t>
            </w:r>
          </w:p>
        </w:tc>
        <w:tc>
          <w:tcPr>
            <w:tcW w:w="65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0.000</w:t>
            </w:r>
          </w:p>
        </w:tc>
        <w:tc>
          <w:tcPr>
            <w:tcW w:w="89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DEA强有效</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2019.0</w:t>
            </w:r>
          </w:p>
        </w:tc>
        <w:tc>
          <w:tcPr>
            <w:tcW w:w="654"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799"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818"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62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0.000</w:t>
            </w:r>
          </w:p>
        </w:tc>
        <w:tc>
          <w:tcPr>
            <w:tcW w:w="65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0.000</w:t>
            </w:r>
          </w:p>
        </w:tc>
        <w:tc>
          <w:tcPr>
            <w:tcW w:w="89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DEA强有效</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2018.0</w:t>
            </w:r>
          </w:p>
        </w:tc>
        <w:tc>
          <w:tcPr>
            <w:tcW w:w="654"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799"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818"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62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0.000</w:t>
            </w:r>
          </w:p>
        </w:tc>
        <w:tc>
          <w:tcPr>
            <w:tcW w:w="65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0.000</w:t>
            </w:r>
          </w:p>
        </w:tc>
        <w:tc>
          <w:tcPr>
            <w:tcW w:w="89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DEA强有效</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2017.0</w:t>
            </w:r>
          </w:p>
        </w:tc>
        <w:tc>
          <w:tcPr>
            <w:tcW w:w="654"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0.999</w:t>
            </w:r>
          </w:p>
        </w:tc>
        <w:tc>
          <w:tcPr>
            <w:tcW w:w="799"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0.986</w:t>
            </w:r>
          </w:p>
        </w:tc>
        <w:tc>
          <w:tcPr>
            <w:tcW w:w="818"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0.986</w:t>
            </w:r>
          </w:p>
        </w:tc>
        <w:tc>
          <w:tcPr>
            <w:tcW w:w="62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0.319</w:t>
            </w:r>
          </w:p>
        </w:tc>
        <w:tc>
          <w:tcPr>
            <w:tcW w:w="65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0.040</w:t>
            </w:r>
          </w:p>
        </w:tc>
        <w:tc>
          <w:tcPr>
            <w:tcW w:w="89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非DEA有效</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2016.0</w:t>
            </w:r>
          </w:p>
        </w:tc>
        <w:tc>
          <w:tcPr>
            <w:tcW w:w="654"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0.999</w:t>
            </w:r>
          </w:p>
        </w:tc>
        <w:tc>
          <w:tcPr>
            <w:tcW w:w="799"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0.977</w:t>
            </w:r>
          </w:p>
        </w:tc>
        <w:tc>
          <w:tcPr>
            <w:tcW w:w="818"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0.976</w:t>
            </w:r>
          </w:p>
        </w:tc>
        <w:tc>
          <w:tcPr>
            <w:tcW w:w="62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0.599</w:t>
            </w:r>
          </w:p>
        </w:tc>
        <w:tc>
          <w:tcPr>
            <w:tcW w:w="65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0.178</w:t>
            </w:r>
          </w:p>
        </w:tc>
        <w:tc>
          <w:tcPr>
            <w:tcW w:w="89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非DEA有效</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2015.0</w:t>
            </w:r>
          </w:p>
        </w:tc>
        <w:tc>
          <w:tcPr>
            <w:tcW w:w="654"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799"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0.956</w:t>
            </w:r>
          </w:p>
        </w:tc>
        <w:tc>
          <w:tcPr>
            <w:tcW w:w="818"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0.956</w:t>
            </w:r>
          </w:p>
        </w:tc>
        <w:tc>
          <w:tcPr>
            <w:tcW w:w="62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0.862</w:t>
            </w:r>
          </w:p>
        </w:tc>
        <w:tc>
          <w:tcPr>
            <w:tcW w:w="65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0.194</w:t>
            </w:r>
          </w:p>
        </w:tc>
        <w:tc>
          <w:tcPr>
            <w:tcW w:w="89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非DEA有效</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2014.0</w:t>
            </w:r>
          </w:p>
        </w:tc>
        <w:tc>
          <w:tcPr>
            <w:tcW w:w="654"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799"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0.929</w:t>
            </w:r>
          </w:p>
        </w:tc>
        <w:tc>
          <w:tcPr>
            <w:tcW w:w="818"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0.929</w:t>
            </w:r>
          </w:p>
        </w:tc>
        <w:tc>
          <w:tcPr>
            <w:tcW w:w="62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1.210</w:t>
            </w:r>
          </w:p>
        </w:tc>
        <w:tc>
          <w:tcPr>
            <w:tcW w:w="650"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0.180</w:t>
            </w:r>
          </w:p>
        </w:tc>
        <w:tc>
          <w:tcPr>
            <w:tcW w:w="893"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非DEA有效</w:t>
            </w:r>
          </w:p>
        </w:tc>
      </w:tr>
      <w:tr>
        <w:tblPrEx>
          <w:shd w:val="clear" w:color="auto" w:fill="FFFFFF"/>
          <w:tblCellMar>
            <w:top w:w="0" w:type="dxa"/>
            <w:left w:w="0" w:type="dxa"/>
            <w:bottom w:w="0" w:type="dxa"/>
            <w:right w:w="0" w:type="dxa"/>
          </w:tblCellMar>
        </w:tblPrEx>
        <w:trPr>
          <w:trHeight w:val="405" w:hRule="atLeast"/>
        </w:trPr>
        <w:tc>
          <w:tcPr>
            <w:tcW w:w="563"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2013.0</w:t>
            </w:r>
          </w:p>
        </w:tc>
        <w:tc>
          <w:tcPr>
            <w:tcW w:w="654"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799"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0.905</w:t>
            </w:r>
          </w:p>
        </w:tc>
        <w:tc>
          <w:tcPr>
            <w:tcW w:w="818"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0.905</w:t>
            </w:r>
          </w:p>
        </w:tc>
        <w:tc>
          <w:tcPr>
            <w:tcW w:w="620"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1.417</w:t>
            </w:r>
          </w:p>
        </w:tc>
        <w:tc>
          <w:tcPr>
            <w:tcW w:w="650"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0.109</w:t>
            </w:r>
          </w:p>
        </w:tc>
        <w:tc>
          <w:tcPr>
            <w:tcW w:w="893"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非DEA有效</w:t>
            </w:r>
          </w:p>
        </w:tc>
      </w:tr>
    </w:tbl>
    <w:p>
      <w:pPr>
        <w:numPr>
          <w:ilvl w:val="0"/>
          <w:numId w:val="0"/>
        </w:num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从各个省份来看，2021年我国职业教育投入产出效率的DEA有效率为100.00%，全部省份皆DEA有效，较2020年的77.4%增长了22.6%，但2020年较2019年的83.8%却略有下滑。如表5-4为2019年个省份有效性分析表，因篇幅原因，其余省份及年份表格将放至数据包中。由表可得出，非DEA有效省份分别是贵州，黑龙江，江西，西藏和新疆。其中技术效益最低为新疆0.975，技术效益最低为西藏0.952，综合效益最低为新疆0.940，大部分非DEA有效省份位于我国西部和北部。</w:t>
      </w:r>
    </w:p>
    <w:p>
      <w:pPr>
        <w:pStyle w:val="2"/>
        <w:rPr>
          <w:rFonts w:hint="default"/>
          <w:lang w:val="en-US" w:eastAsia="zh-CN"/>
        </w:rPr>
      </w:pPr>
    </w:p>
    <w:p>
      <w:pPr>
        <w:pStyle w:val="6"/>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 xml:space="preserve">表 </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表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bookmarkStart w:id="68" w:name="_Toc32074"/>
      <w:r>
        <w:rPr>
          <w:rFonts w:hint="eastAsia" w:asciiTheme="majorEastAsia" w:hAnsiTheme="majorEastAsia" w:eastAsiaTheme="majorEastAsia" w:cstheme="majorEastAsia"/>
          <w:sz w:val="24"/>
          <w:szCs w:val="24"/>
          <w:lang w:eastAsia="zh-CN"/>
        </w:rPr>
        <w:t xml:space="preserve"> 2019年各省份的DEA有效性分析</w:t>
      </w:r>
      <w:bookmarkEnd w:id="68"/>
    </w:p>
    <w:tbl>
      <w:tblPr>
        <w:tblStyle w:val="14"/>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57"/>
        <w:gridCol w:w="1189"/>
        <w:gridCol w:w="1455"/>
        <w:gridCol w:w="1488"/>
        <w:gridCol w:w="1129"/>
        <w:gridCol w:w="1184"/>
        <w:gridCol w:w="121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blHeader/>
        </w:trPr>
        <w:tc>
          <w:tcPr>
            <w:tcW w:w="395" w:type="pct"/>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省份</w:t>
            </w:r>
          </w:p>
        </w:tc>
        <w:tc>
          <w:tcPr>
            <w:tcW w:w="715" w:type="pct"/>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技术效益TE</w:t>
            </w:r>
          </w:p>
        </w:tc>
        <w:tc>
          <w:tcPr>
            <w:tcW w:w="875" w:type="pct"/>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规模效益SE(k)</w:t>
            </w:r>
          </w:p>
        </w:tc>
        <w:tc>
          <w:tcPr>
            <w:tcW w:w="895" w:type="pct"/>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综合效益OE(θ)</w:t>
            </w:r>
          </w:p>
        </w:tc>
        <w:tc>
          <w:tcPr>
            <w:tcW w:w="679" w:type="pct"/>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松驰变量S-</w:t>
            </w:r>
          </w:p>
        </w:tc>
        <w:tc>
          <w:tcPr>
            <w:tcW w:w="712" w:type="pct"/>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松驰变量S+</w:t>
            </w:r>
          </w:p>
        </w:tc>
        <w:tc>
          <w:tcPr>
            <w:tcW w:w="727" w:type="pct"/>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有效性</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bookmarkStart w:id="69" w:name="_Hlk135975961"/>
            <w:bookmarkStart w:id="70" w:name="_Hlk135976100"/>
            <w:r>
              <w:rPr>
                <w:rFonts w:hint="eastAsia" w:asciiTheme="minorEastAsia" w:hAnsiTheme="minorEastAsia" w:eastAsiaTheme="minorEastAsia" w:cstheme="minorEastAsia"/>
                <w:color w:val="000000"/>
                <w:kern w:val="0"/>
                <w:sz w:val="24"/>
                <w:szCs w:val="24"/>
              </w:rPr>
              <w:t>安徽</w:t>
            </w:r>
          </w:p>
        </w:tc>
        <w:tc>
          <w:tcPr>
            <w:tcW w:w="715" w:type="pct"/>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w:t>
            </w:r>
            <w:r>
              <w:rPr>
                <w:rFonts w:hint="eastAsia" w:asciiTheme="minorEastAsia" w:hAnsiTheme="minorEastAsia" w:eastAsiaTheme="minorEastAsia" w:cstheme="minorEastAsia"/>
                <w:color w:val="000000"/>
                <w:kern w:val="0"/>
                <w:sz w:val="24"/>
                <w:szCs w:val="24"/>
                <w:lang w:val="en-US" w:eastAsia="zh-CN"/>
              </w:rPr>
              <w:t>强有</w:t>
            </w:r>
            <w:r>
              <w:rPr>
                <w:rFonts w:hint="eastAsia" w:asciiTheme="minorEastAsia" w:hAnsiTheme="minorEastAsia" w:eastAsiaTheme="minorEastAsia" w:cstheme="minorEastAsia"/>
                <w:color w:val="000000"/>
                <w:kern w:val="0"/>
                <w:sz w:val="24"/>
                <w:szCs w:val="24"/>
              </w:rPr>
              <w:t>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北京</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福建</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bookmarkStart w:id="71" w:name="_Hlk135975856"/>
            <w:r>
              <w:rPr>
                <w:rFonts w:hint="eastAsia" w:asciiTheme="minorEastAsia" w:hAnsiTheme="minorEastAsia" w:eastAsiaTheme="minorEastAsia" w:cstheme="minorEastAsia"/>
                <w:color w:val="000000"/>
                <w:kern w:val="0"/>
                <w:sz w:val="24"/>
                <w:szCs w:val="24"/>
              </w:rPr>
              <w:t>甘肃</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bookmarkEnd w:id="69"/>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广东</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bookmarkEnd w:id="70"/>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广西</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bookmarkEnd w:id="71"/>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贵州</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0.969</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0.969</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0.121</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0.136</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非DEA有效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海南</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河北</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河南</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黑龙江</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0.995</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0.995</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0.114</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非DEA有效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湖北</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湖南</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吉林</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江苏</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江西</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0.971</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0.971</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0.054</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0.134</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非DEA有效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辽宁</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内蒙古</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宁夏</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青海</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山东</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山西</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陕西</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bl>
    <w:p>
      <w:bookmarkStart w:id="72" w:name="_Hlk135976242"/>
    </w:p>
    <w:p>
      <w:pPr>
        <w:pStyle w:val="2"/>
        <w:ind w:left="0" w:leftChars="0" w:firstLine="0" w:firstLineChars="0"/>
        <w:jc w:val="center"/>
      </w:pPr>
      <w:r>
        <w:rPr>
          <w:rFonts w:hint="eastAsia" w:asciiTheme="majorEastAsia" w:hAnsiTheme="majorEastAsia" w:eastAsiaTheme="majorEastAsia" w:cstheme="majorEastAsia"/>
          <w:sz w:val="24"/>
          <w:szCs w:val="24"/>
        </w:rPr>
        <w:t xml:space="preserve">表 </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表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续表</w:t>
      </w:r>
      <w:r>
        <w:rPr>
          <w:rFonts w:hint="eastAsia" w:asciiTheme="majorEastAsia" w:hAnsiTheme="majorEastAsia" w:eastAsiaTheme="majorEastAsia" w:cstheme="majorEastAsia"/>
          <w:sz w:val="24"/>
          <w:szCs w:val="24"/>
          <w:lang w:eastAsia="zh-CN"/>
        </w:rPr>
        <w:t>） 2019年各省份的DEA有效性分析</w:t>
      </w:r>
    </w:p>
    <w:tbl>
      <w:tblPr>
        <w:tblStyle w:val="14"/>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57"/>
        <w:gridCol w:w="1189"/>
        <w:gridCol w:w="1455"/>
        <w:gridCol w:w="1488"/>
        <w:gridCol w:w="1129"/>
        <w:gridCol w:w="1184"/>
        <w:gridCol w:w="121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657" w:type="dxa"/>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省份</w:t>
            </w:r>
          </w:p>
        </w:tc>
        <w:tc>
          <w:tcPr>
            <w:tcW w:w="1189" w:type="dxa"/>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技术效益TE</w:t>
            </w:r>
          </w:p>
        </w:tc>
        <w:tc>
          <w:tcPr>
            <w:tcW w:w="1455" w:type="dxa"/>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规模效益SE(k)</w:t>
            </w:r>
          </w:p>
        </w:tc>
        <w:tc>
          <w:tcPr>
            <w:tcW w:w="1488" w:type="dxa"/>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综合效益OE(θ)</w:t>
            </w:r>
          </w:p>
        </w:tc>
        <w:tc>
          <w:tcPr>
            <w:tcW w:w="1129" w:type="dxa"/>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松驰变量S-</w:t>
            </w:r>
          </w:p>
        </w:tc>
        <w:tc>
          <w:tcPr>
            <w:tcW w:w="1184" w:type="dxa"/>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松驰变量S+</w:t>
            </w:r>
          </w:p>
        </w:tc>
        <w:tc>
          <w:tcPr>
            <w:tcW w:w="1210" w:type="dxa"/>
            <w:tcBorders>
              <w:top w:val="single" w:color="auto" w:sz="4" w:space="0"/>
              <w:bottom w:val="single" w:color="auto" w:sz="4" w:space="0"/>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有效性</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657" w:type="dxa"/>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上海</w:t>
            </w:r>
          </w:p>
        </w:tc>
        <w:tc>
          <w:tcPr>
            <w:tcW w:w="1189" w:type="dxa"/>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1455" w:type="dxa"/>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1488" w:type="dxa"/>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1129" w:type="dxa"/>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1184" w:type="dxa"/>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1210" w:type="dxa"/>
            <w:tcBorders>
              <w:top w:val="single" w:color="auto" w:sz="4" w:space="0"/>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四川</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天津</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bookmarkEnd w:id="72"/>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西藏</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0.952</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0.952</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0.210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0.270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非DEA有效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新疆</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0.975</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0.965</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0.940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0.060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0.141</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非DEA有效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云南</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浙江</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5" w:hRule="atLeast"/>
        </w:trPr>
        <w:tc>
          <w:tcPr>
            <w:tcW w:w="3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重庆</w:t>
            </w:r>
          </w:p>
        </w:tc>
        <w:tc>
          <w:tcPr>
            <w:tcW w:w="71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7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895"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w:t>
            </w:r>
          </w:p>
        </w:tc>
        <w:tc>
          <w:tcPr>
            <w:tcW w:w="679"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12"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0.000</w:t>
            </w:r>
          </w:p>
        </w:tc>
        <w:tc>
          <w:tcPr>
            <w:tcW w:w="727" w:type="pct"/>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DEA强有效</w:t>
            </w:r>
          </w:p>
        </w:tc>
      </w:tr>
    </w:tbl>
    <w:p>
      <w:pPr>
        <w:jc w:val="center"/>
        <w:rPr>
          <w:rFonts w:hint="default" w:ascii="宋体" w:hAnsi="宋体" w:eastAsia="宋体" w:cs="宋体"/>
          <w:color w:val="000000"/>
          <w:kern w:val="0"/>
          <w:sz w:val="21"/>
          <w:szCs w:val="21"/>
          <w:lang w:val="en-US" w:eastAsia="zh-CN" w:bidi="ar"/>
        </w:rPr>
      </w:pPr>
    </w:p>
    <w:p>
      <w:pPr>
        <w:pStyle w:val="2"/>
        <w:rPr>
          <w:rFonts w:hint="default"/>
          <w:lang w:val="en-US" w:eastAsia="zh-CN"/>
        </w:rPr>
      </w:pPr>
    </w:p>
    <w:p>
      <w:pPr>
        <w:outlineLvl w:val="2"/>
        <w:rPr>
          <w:rFonts w:hint="default" w:ascii="宋体" w:hAnsi="宋体" w:eastAsia="宋体" w:cs="宋体"/>
          <w:b/>
          <w:bCs/>
          <w:color w:val="000000"/>
          <w:kern w:val="0"/>
          <w:sz w:val="24"/>
          <w:szCs w:val="24"/>
          <w:lang w:val="en-US" w:eastAsia="zh-CN" w:bidi="ar"/>
        </w:rPr>
      </w:pPr>
      <w:bookmarkStart w:id="73" w:name="_Toc31705"/>
      <w:bookmarkStart w:id="74" w:name="_Toc8835"/>
      <w:r>
        <w:rPr>
          <w:rFonts w:hint="eastAsia" w:ascii="宋体" w:hAnsi="宋体" w:eastAsia="宋体" w:cs="宋体"/>
          <w:b/>
          <w:bCs/>
          <w:color w:val="000000"/>
          <w:kern w:val="0"/>
          <w:sz w:val="24"/>
          <w:szCs w:val="24"/>
          <w:lang w:val="en-US" w:eastAsia="zh-CN" w:bidi="ar"/>
        </w:rPr>
        <w:t>5</w:t>
      </w:r>
      <w:r>
        <w:rPr>
          <w:rFonts w:hint="default" w:ascii="宋体" w:hAnsi="宋体" w:eastAsia="宋体" w:cs="宋体"/>
          <w:b/>
          <w:bCs/>
          <w:color w:val="000000"/>
          <w:kern w:val="0"/>
          <w:sz w:val="24"/>
          <w:szCs w:val="24"/>
          <w:lang w:val="en-US" w:eastAsia="zh-CN" w:bidi="ar"/>
        </w:rPr>
        <w:t>.3.3 职高教育效率规模报酬分析</w:t>
      </w:r>
      <w:bookmarkEnd w:id="73"/>
      <w:bookmarkEnd w:id="74"/>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表5-5为2013年至2021年的规模报酬分析表，由表不难看出，我国自2013年起规模报酬系数不断攀升，最终于2018年达到一并维持至今。BBC模型假设规模报酬可变，这意味着我们可以通过规模报酬系数来研究规模报酬的情况。如果规模报酬系数等于1，那么说明规模收益不会变化，这是最佳状态。如果规模报酬系数小于1，说明规模收益递增，因此我们可以考虑扩大规模来提高收益。而如果规模报酬系数大于1，说明规模收益递减，这时如果规模过大则可能会减少收益，因此我们可以考虑减少规模来提高效益。我国规模报酬系数自2018年起大小便一直为一即规模报酬已达到最优形态，无需扩大或减少规模来增加收益。</w:t>
      </w:r>
    </w:p>
    <w:p>
      <w:pPr>
        <w:pStyle w:val="2"/>
        <w:rPr>
          <w:rFonts w:hint="default"/>
          <w:lang w:val="en-US" w:eastAsia="zh-CN"/>
        </w:rPr>
      </w:pPr>
    </w:p>
    <w:tbl>
      <w:tblPr>
        <w:tblStyle w:val="14"/>
        <w:tblW w:w="5000" w:type="pct"/>
        <w:tblInd w:w="0" w:type="dxa"/>
        <w:shd w:val="clear" w:color="auto" w:fill="FFFFFF"/>
        <w:tblLayout w:type="autofit"/>
        <w:tblCellMar>
          <w:top w:w="0" w:type="dxa"/>
          <w:left w:w="0" w:type="dxa"/>
          <w:bottom w:w="0" w:type="dxa"/>
          <w:right w:w="0" w:type="dxa"/>
        </w:tblCellMar>
      </w:tblPr>
      <w:tblGrid>
        <w:gridCol w:w="1687"/>
        <w:gridCol w:w="3312"/>
        <w:gridCol w:w="3313"/>
      </w:tblGrid>
      <w:tr>
        <w:tblPrEx>
          <w:shd w:val="clear" w:color="auto" w:fill="FFFFFF"/>
          <w:tblCellMar>
            <w:top w:w="0" w:type="dxa"/>
            <w:left w:w="0" w:type="dxa"/>
            <w:bottom w:w="0" w:type="dxa"/>
            <w:right w:w="0" w:type="dxa"/>
          </w:tblCellMar>
        </w:tblPrEx>
        <w:trPr>
          <w:trHeight w:val="405" w:hRule="atLeast"/>
          <w:tblHeader/>
        </w:trPr>
        <w:tc>
          <w:tcPr>
            <w:tcW w:w="5000" w:type="pct"/>
            <w:gridSpan w:val="3"/>
            <w:tcBorders>
              <w:bottom w:val="single" w:color="auto" w:sz="12" w:space="0"/>
            </w:tcBorders>
            <w:shd w:val="clear" w:color="auto" w:fill="FFFFFF"/>
            <w:vAlign w:val="center"/>
          </w:tcPr>
          <w:p>
            <w:pPr>
              <w:pStyle w:val="6"/>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表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bookmarkStart w:id="75" w:name="_Toc982"/>
            <w:r>
              <w:rPr>
                <w:rFonts w:hint="eastAsia" w:asciiTheme="majorEastAsia" w:hAnsiTheme="majorEastAsia" w:eastAsiaTheme="majorEastAsia" w:cstheme="majorEastAsia"/>
                <w:sz w:val="24"/>
                <w:szCs w:val="24"/>
                <w:lang w:eastAsia="zh-CN"/>
              </w:rPr>
              <w:t xml:space="preserve"> 2013-2021年规模报酬分析</w:t>
            </w:r>
            <w:bookmarkEnd w:id="75"/>
          </w:p>
        </w:tc>
      </w:tr>
      <w:tr>
        <w:tblPrEx>
          <w:shd w:val="clear" w:color="auto" w:fill="FFFFFF"/>
          <w:tblCellMar>
            <w:top w:w="0" w:type="dxa"/>
            <w:left w:w="0" w:type="dxa"/>
            <w:bottom w:w="0" w:type="dxa"/>
            <w:right w:w="0" w:type="dxa"/>
          </w:tblCellMar>
        </w:tblPrEx>
        <w:trPr>
          <w:trHeight w:val="405" w:hRule="atLeast"/>
          <w:tblHeader/>
        </w:trPr>
        <w:tc>
          <w:tcPr>
            <w:tcW w:w="1015"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项</w:t>
            </w:r>
          </w:p>
        </w:tc>
        <w:tc>
          <w:tcPr>
            <w:tcW w:w="1992"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规模报酬系数</w:t>
            </w:r>
          </w:p>
        </w:tc>
        <w:tc>
          <w:tcPr>
            <w:tcW w:w="1992" w:type="pct"/>
            <w:tcBorders>
              <w:bottom w:val="single" w:color="auto" w:sz="6" w:space="0"/>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类型</w:t>
            </w:r>
          </w:p>
        </w:tc>
      </w:tr>
      <w:tr>
        <w:tblPrEx>
          <w:shd w:val="clear" w:color="auto" w:fill="FFFFFF"/>
          <w:tblCellMar>
            <w:top w:w="0" w:type="dxa"/>
            <w:left w:w="0" w:type="dxa"/>
            <w:bottom w:w="0" w:type="dxa"/>
            <w:right w:w="0" w:type="dxa"/>
          </w:tblCellMar>
        </w:tblPrEx>
        <w:trPr>
          <w:trHeight w:val="405" w:hRule="atLeast"/>
        </w:trPr>
        <w:tc>
          <w:tcPr>
            <w:tcW w:w="1015"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2021.0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规模报酬固定</w:t>
            </w:r>
          </w:p>
        </w:tc>
      </w:tr>
      <w:tr>
        <w:tblPrEx>
          <w:shd w:val="clear" w:color="auto" w:fill="FFFFFF"/>
          <w:tblCellMar>
            <w:top w:w="0" w:type="dxa"/>
            <w:left w:w="0" w:type="dxa"/>
            <w:bottom w:w="0" w:type="dxa"/>
            <w:right w:w="0" w:type="dxa"/>
          </w:tblCellMar>
        </w:tblPrEx>
        <w:trPr>
          <w:trHeight w:val="405" w:hRule="atLeast"/>
        </w:trPr>
        <w:tc>
          <w:tcPr>
            <w:tcW w:w="1015"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2020.0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规模报酬固定</w:t>
            </w:r>
          </w:p>
        </w:tc>
      </w:tr>
      <w:tr>
        <w:tblPrEx>
          <w:shd w:val="clear" w:color="auto" w:fill="FFFFFF"/>
          <w:tblCellMar>
            <w:top w:w="0" w:type="dxa"/>
            <w:left w:w="0" w:type="dxa"/>
            <w:bottom w:w="0" w:type="dxa"/>
            <w:right w:w="0" w:type="dxa"/>
          </w:tblCellMar>
        </w:tblPrEx>
        <w:trPr>
          <w:trHeight w:val="405" w:hRule="atLeast"/>
        </w:trPr>
        <w:tc>
          <w:tcPr>
            <w:tcW w:w="1015"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2019.0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规模报酬固定</w:t>
            </w:r>
          </w:p>
        </w:tc>
      </w:tr>
      <w:tr>
        <w:tblPrEx>
          <w:tblCellMar>
            <w:top w:w="0" w:type="dxa"/>
            <w:left w:w="0" w:type="dxa"/>
            <w:bottom w:w="0" w:type="dxa"/>
            <w:right w:w="0" w:type="dxa"/>
          </w:tblCellMar>
        </w:tblPrEx>
        <w:trPr>
          <w:trHeight w:val="405" w:hRule="atLeast"/>
        </w:trPr>
        <w:tc>
          <w:tcPr>
            <w:tcW w:w="1015"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2018.0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1.000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规模报酬固定</w:t>
            </w:r>
          </w:p>
        </w:tc>
      </w:tr>
      <w:tr>
        <w:tblPrEx>
          <w:shd w:val="clear" w:color="auto" w:fill="FFFFFF"/>
          <w:tblCellMar>
            <w:top w:w="0" w:type="dxa"/>
            <w:left w:w="0" w:type="dxa"/>
            <w:bottom w:w="0" w:type="dxa"/>
            <w:right w:w="0" w:type="dxa"/>
          </w:tblCellMar>
        </w:tblPrEx>
        <w:trPr>
          <w:trHeight w:val="405" w:hRule="atLeast"/>
        </w:trPr>
        <w:tc>
          <w:tcPr>
            <w:tcW w:w="1015"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2017.0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0.968</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规模报酬递增</w:t>
            </w:r>
          </w:p>
        </w:tc>
      </w:tr>
    </w:tbl>
    <w:p/>
    <w:p>
      <w:pPr>
        <w:pStyle w:val="2"/>
        <w:ind w:left="0" w:leftChars="0" w:firstLine="0" w:firstLineChars="0"/>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表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续表</w:t>
      </w:r>
      <w:r>
        <w:rPr>
          <w:rFonts w:hint="eastAsia" w:asciiTheme="majorEastAsia" w:hAnsiTheme="majorEastAsia" w:eastAsiaTheme="majorEastAsia" w:cstheme="majorEastAsia"/>
          <w:sz w:val="24"/>
          <w:szCs w:val="24"/>
          <w:lang w:eastAsia="zh-CN"/>
        </w:rPr>
        <w:t>） 2013-2021年规模报酬分析</w:t>
      </w:r>
    </w:p>
    <w:tbl>
      <w:tblPr>
        <w:tblStyle w:val="14"/>
        <w:tblW w:w="5000" w:type="pct"/>
        <w:tblInd w:w="0" w:type="dxa"/>
        <w:shd w:val="clear" w:color="auto" w:fill="FFFFFF"/>
        <w:tblLayout w:type="autofit"/>
        <w:tblCellMar>
          <w:top w:w="0" w:type="dxa"/>
          <w:left w:w="0" w:type="dxa"/>
          <w:bottom w:w="0" w:type="dxa"/>
          <w:right w:w="0" w:type="dxa"/>
        </w:tblCellMar>
      </w:tblPr>
      <w:tblGrid>
        <w:gridCol w:w="1688"/>
        <w:gridCol w:w="3312"/>
        <w:gridCol w:w="3312"/>
      </w:tblGrid>
      <w:tr>
        <w:tblPrEx>
          <w:shd w:val="clear" w:color="auto" w:fill="FFFFFF"/>
          <w:tblCellMar>
            <w:top w:w="0" w:type="dxa"/>
            <w:left w:w="0" w:type="dxa"/>
            <w:bottom w:w="0" w:type="dxa"/>
            <w:right w:w="0" w:type="dxa"/>
          </w:tblCellMar>
        </w:tblPrEx>
        <w:trPr>
          <w:trHeight w:val="405" w:hRule="atLeast"/>
        </w:trPr>
        <w:tc>
          <w:tcPr>
            <w:tcW w:w="1688" w:type="dxa"/>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项</w:t>
            </w:r>
          </w:p>
        </w:tc>
        <w:tc>
          <w:tcPr>
            <w:tcW w:w="3312" w:type="dxa"/>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规模报酬系数</w:t>
            </w:r>
          </w:p>
        </w:tc>
        <w:tc>
          <w:tcPr>
            <w:tcW w:w="3312" w:type="dxa"/>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类型</w:t>
            </w:r>
          </w:p>
        </w:tc>
      </w:tr>
      <w:tr>
        <w:tblPrEx>
          <w:shd w:val="clear" w:color="auto" w:fill="FFFFFF"/>
          <w:tblCellMar>
            <w:top w:w="0" w:type="dxa"/>
            <w:left w:w="0" w:type="dxa"/>
            <w:bottom w:w="0" w:type="dxa"/>
            <w:right w:w="0" w:type="dxa"/>
          </w:tblCellMar>
        </w:tblPrEx>
        <w:trPr>
          <w:trHeight w:val="405" w:hRule="atLeast"/>
        </w:trPr>
        <w:tc>
          <w:tcPr>
            <w:tcW w:w="1015" w:type="pct"/>
            <w:tcBorders>
              <w:top w:val="single" w:color="auto" w:sz="4" w:space="0"/>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2016.0</w:t>
            </w:r>
          </w:p>
        </w:tc>
        <w:tc>
          <w:tcPr>
            <w:tcW w:w="1992" w:type="pct"/>
            <w:tcBorders>
              <w:top w:val="single" w:color="auto" w:sz="4" w:space="0"/>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0.953</w:t>
            </w:r>
          </w:p>
        </w:tc>
        <w:tc>
          <w:tcPr>
            <w:tcW w:w="1992" w:type="pct"/>
            <w:tcBorders>
              <w:top w:val="single" w:color="auto" w:sz="4" w:space="0"/>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规模报酬递增</w:t>
            </w:r>
          </w:p>
        </w:tc>
      </w:tr>
      <w:tr>
        <w:tblPrEx>
          <w:shd w:val="clear" w:color="auto" w:fill="FFFFFF"/>
          <w:tblCellMar>
            <w:top w:w="0" w:type="dxa"/>
            <w:left w:w="0" w:type="dxa"/>
            <w:bottom w:w="0" w:type="dxa"/>
            <w:right w:w="0" w:type="dxa"/>
          </w:tblCellMar>
        </w:tblPrEx>
        <w:trPr>
          <w:trHeight w:val="405" w:hRule="atLeast"/>
        </w:trPr>
        <w:tc>
          <w:tcPr>
            <w:tcW w:w="1015"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2015.0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0.911</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规模报酬递增</w:t>
            </w:r>
          </w:p>
        </w:tc>
      </w:tr>
      <w:tr>
        <w:tblPrEx>
          <w:shd w:val="clear" w:color="auto" w:fill="FFFFFF"/>
          <w:tblCellMar>
            <w:top w:w="0" w:type="dxa"/>
            <w:left w:w="0" w:type="dxa"/>
            <w:bottom w:w="0" w:type="dxa"/>
            <w:right w:w="0" w:type="dxa"/>
          </w:tblCellMar>
        </w:tblPrEx>
        <w:trPr>
          <w:trHeight w:val="405" w:hRule="atLeast"/>
        </w:trPr>
        <w:tc>
          <w:tcPr>
            <w:tcW w:w="1015"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2014.0</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0.859</w:t>
            </w:r>
          </w:p>
        </w:tc>
        <w:tc>
          <w:tcPr>
            <w:tcW w:w="1992" w:type="pct"/>
            <w:tcBorders>
              <w:top w:val="nil"/>
              <w:left w:val="nil"/>
              <w:bottom w:val="nil"/>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规模报酬递增</w:t>
            </w:r>
          </w:p>
        </w:tc>
      </w:tr>
      <w:tr>
        <w:tblPrEx>
          <w:shd w:val="clear" w:color="auto" w:fill="FFFFFF"/>
          <w:tblCellMar>
            <w:top w:w="0" w:type="dxa"/>
            <w:left w:w="0" w:type="dxa"/>
            <w:bottom w:w="0" w:type="dxa"/>
            <w:right w:w="0" w:type="dxa"/>
          </w:tblCellMar>
        </w:tblPrEx>
        <w:trPr>
          <w:trHeight w:val="405" w:hRule="atLeast"/>
        </w:trPr>
        <w:tc>
          <w:tcPr>
            <w:tcW w:w="1015"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2013.0</w:t>
            </w:r>
          </w:p>
        </w:tc>
        <w:tc>
          <w:tcPr>
            <w:tcW w:w="1992"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0.790</w:t>
            </w:r>
          </w:p>
        </w:tc>
        <w:tc>
          <w:tcPr>
            <w:tcW w:w="1992" w:type="pct"/>
            <w:tcBorders>
              <w:top w:val="nil"/>
              <w:left w:val="nil"/>
              <w:bottom w:val="single" w:color="auto" w:sz="12" w:space="0"/>
              <w:right w:val="nil"/>
            </w:tcBorders>
            <w:shd w:val="clear" w:color="auto" w:fill="FFFFFF"/>
            <w:vAlign w:val="center"/>
          </w:tcPr>
          <w:p>
            <w:pPr>
              <w:widowControl/>
              <w:jc w:val="center"/>
              <w:rPr>
                <w:rFonts w:hint="eastAsia" w:asciiTheme="majorEastAsia" w:hAnsiTheme="majorEastAsia" w:eastAsiaTheme="majorEastAsia" w:cstheme="majorEastAsia"/>
                <w:color w:val="000000"/>
                <w:kern w:val="0"/>
                <w:sz w:val="24"/>
                <w:szCs w:val="24"/>
              </w:rPr>
            </w:pPr>
            <w:r>
              <w:rPr>
                <w:rFonts w:hint="eastAsia" w:asciiTheme="majorEastAsia" w:hAnsiTheme="majorEastAsia" w:eastAsiaTheme="majorEastAsia" w:cstheme="majorEastAsia"/>
                <w:color w:val="000000"/>
                <w:kern w:val="0"/>
                <w:sz w:val="24"/>
                <w:szCs w:val="24"/>
              </w:rPr>
              <w:t>规模报酬递增</w:t>
            </w:r>
          </w:p>
        </w:tc>
      </w:tr>
    </w:tbl>
    <w:p>
      <w:pPr>
        <w:jc w:val="center"/>
        <w:rPr>
          <w:rFonts w:hint="default" w:ascii="等线" w:hAnsi="等线" w:eastAsia="等线" w:cs="Times New Roman"/>
          <w:szCs w:val="22"/>
          <w:lang w:val="en-US" w:eastAsia="zh-CN"/>
        </w:rPr>
      </w:pPr>
      <w:r>
        <w:rPr>
          <w:rFonts w:hint="eastAsia" w:ascii="等线" w:hAnsi="等线" w:eastAsia="等线" w:cs="Times New Roman"/>
          <w:szCs w:val="22"/>
          <w:lang w:val="en-US" w:eastAsia="zh-CN"/>
        </w:rPr>
        <w:t> </w:t>
      </w:r>
    </w:p>
    <w:p>
      <w:pPr>
        <w:pStyle w:val="2"/>
        <w:rPr>
          <w:rFonts w:hint="eastAsia"/>
        </w:rPr>
      </w:pPr>
    </w:p>
    <w:p>
      <w:pPr>
        <w:outlineLvl w:val="2"/>
        <w:rPr>
          <w:rFonts w:hint="eastAsia" w:ascii="宋体" w:hAnsi="宋体" w:eastAsia="宋体" w:cs="宋体"/>
          <w:b/>
          <w:bCs/>
          <w:sz w:val="24"/>
          <w:szCs w:val="24"/>
        </w:rPr>
      </w:pPr>
      <w:bookmarkStart w:id="76" w:name="_Toc25096"/>
      <w:bookmarkStart w:id="77" w:name="_Toc3750"/>
      <w:r>
        <w:rPr>
          <w:rFonts w:hint="eastAsia" w:ascii="宋体" w:hAnsi="宋体" w:eastAsia="宋体" w:cs="宋体"/>
          <w:b/>
          <w:bCs/>
          <w:sz w:val="24"/>
          <w:szCs w:val="24"/>
          <w:lang w:val="en-US" w:eastAsia="zh-CN"/>
        </w:rPr>
        <w:t>5</w:t>
      </w:r>
      <w:r>
        <w:rPr>
          <w:rFonts w:hint="eastAsia" w:ascii="宋体" w:hAnsi="宋体" w:eastAsia="宋体" w:cs="宋体"/>
          <w:b/>
          <w:bCs/>
          <w:sz w:val="24"/>
          <w:szCs w:val="24"/>
        </w:rPr>
        <w:t>.3.4 职高教育效率Malmquist指数分析</w:t>
      </w:r>
      <w:bookmarkEnd w:id="76"/>
      <w:bookmarkEnd w:id="77"/>
    </w:p>
    <w:p>
      <w:pPr>
        <w:pStyle w:val="2"/>
        <w:rPr>
          <w:rFonts w:hint="eastAsia"/>
        </w:rPr>
      </w:pPr>
    </w:p>
    <w:p>
      <w:pPr>
        <w:pStyle w:val="6"/>
        <w:jc w:val="center"/>
        <w:rPr>
          <w:rFonts w:hint="eastAsia" w:asciiTheme="majorEastAsia" w:hAnsiTheme="majorEastAsia" w:eastAsiaTheme="majorEastAsia" w:cstheme="majorEastAsia"/>
          <w:sz w:val="24"/>
          <w:szCs w:val="24"/>
        </w:rPr>
      </w:pPr>
    </w:p>
    <w:p>
      <w:pPr>
        <w:pStyle w:val="6"/>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表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bookmarkStart w:id="78" w:name="_Toc10058"/>
      <w:r>
        <w:rPr>
          <w:rFonts w:hint="eastAsia" w:asciiTheme="majorEastAsia" w:hAnsiTheme="majorEastAsia" w:eastAsiaTheme="majorEastAsia" w:cstheme="majorEastAsia"/>
          <w:sz w:val="24"/>
          <w:szCs w:val="24"/>
          <w:lang w:eastAsia="zh-CN"/>
        </w:rPr>
        <w:t xml:space="preserve"> Malmquist指数结果(2020 -&gt; 2021)</w:t>
      </w:r>
      <w:bookmarkEnd w:id="78"/>
    </w:p>
    <w:tbl>
      <w:tblPr>
        <w:tblStyle w:val="14"/>
        <w:tblW w:w="5000" w:type="pct"/>
        <w:tblInd w:w="0" w:type="dxa"/>
        <w:shd w:val="clear" w:color="auto" w:fill="FFFFFF"/>
        <w:tblLayout w:type="autofit"/>
        <w:tblCellMar>
          <w:top w:w="0" w:type="dxa"/>
          <w:left w:w="0" w:type="dxa"/>
          <w:bottom w:w="0" w:type="dxa"/>
          <w:right w:w="0" w:type="dxa"/>
        </w:tblCellMar>
      </w:tblPr>
      <w:tblGrid>
        <w:gridCol w:w="775"/>
        <w:gridCol w:w="1202"/>
        <w:gridCol w:w="1445"/>
        <w:gridCol w:w="1558"/>
        <w:gridCol w:w="1405"/>
        <w:gridCol w:w="1927"/>
      </w:tblGrid>
      <w:tr>
        <w:tblPrEx>
          <w:shd w:val="clear" w:color="auto" w:fill="FFFFFF"/>
          <w:tblCellMar>
            <w:top w:w="0" w:type="dxa"/>
            <w:left w:w="0" w:type="dxa"/>
            <w:bottom w:w="0" w:type="dxa"/>
            <w:right w:w="0" w:type="dxa"/>
          </w:tblCellMar>
        </w:tblPrEx>
        <w:trPr>
          <w:trHeight w:val="405" w:hRule="atLeast"/>
          <w:tblHeader/>
        </w:trPr>
        <w:tc>
          <w:tcPr>
            <w:tcW w:w="466" w:type="pct"/>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DMU</w:t>
            </w:r>
          </w:p>
        </w:tc>
        <w:tc>
          <w:tcPr>
            <w:tcW w:w="723" w:type="pct"/>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Effch技术效率（EC）</w:t>
            </w:r>
          </w:p>
        </w:tc>
        <w:tc>
          <w:tcPr>
            <w:tcW w:w="869" w:type="pct"/>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Techch技术进步(TC)</w:t>
            </w:r>
          </w:p>
        </w:tc>
        <w:tc>
          <w:tcPr>
            <w:tcW w:w="937" w:type="pct"/>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Pech纯技术效率(PEC)</w:t>
            </w:r>
          </w:p>
        </w:tc>
        <w:tc>
          <w:tcPr>
            <w:tcW w:w="845" w:type="pct"/>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Sech规模效率(SEC)</w:t>
            </w:r>
          </w:p>
        </w:tc>
        <w:tc>
          <w:tcPr>
            <w:tcW w:w="1159" w:type="pct"/>
            <w:tcBorders>
              <w:top w:val="single" w:color="auto" w:sz="4" w:space="0"/>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Tfpch全要素生产率（TFP）</w:t>
            </w:r>
          </w:p>
        </w:tc>
      </w:tr>
      <w:tr>
        <w:tblPrEx>
          <w:shd w:val="clear" w:color="auto" w:fill="FFFFFF"/>
          <w:tblCellMar>
            <w:top w:w="0" w:type="dxa"/>
            <w:left w:w="0" w:type="dxa"/>
            <w:bottom w:w="0" w:type="dxa"/>
            <w:right w:w="0" w:type="dxa"/>
          </w:tblCellMar>
        </w:tblPrEx>
        <w:trPr>
          <w:trHeight w:val="405" w:hRule="atLeast"/>
        </w:trPr>
        <w:tc>
          <w:tcPr>
            <w:tcW w:w="466"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云南</w:t>
            </w:r>
          </w:p>
        </w:tc>
        <w:tc>
          <w:tcPr>
            <w:tcW w:w="723"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1.0279</w:t>
            </w:r>
          </w:p>
        </w:tc>
        <w:tc>
          <w:tcPr>
            <w:tcW w:w="869"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1.0704</w:t>
            </w:r>
          </w:p>
        </w:tc>
        <w:tc>
          <w:tcPr>
            <w:tcW w:w="937"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1.0279</w:t>
            </w:r>
          </w:p>
        </w:tc>
        <w:tc>
          <w:tcPr>
            <w:tcW w:w="845"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1.1002</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四川</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宁夏</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0.7782</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0.7782</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山东</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1.0335</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1.0001</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1.0335</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1.0336</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广东</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1.0418</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1.0418</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广西</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1.0485</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0.9827</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1.0485</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1.0304</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新疆</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1.0091</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1.0609</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1.0091</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1.0706</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江西</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河南</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1.0712</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0.9487</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1.0712</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1.0162</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海南</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1.0650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0.9364</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1.0650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0.9973</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湖北</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1.0038</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1.0064</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1.0038</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1.0103</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湖南</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1.0580</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1.0580</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甘肃</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1.0268</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1.0100</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1.0268</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1.0370</w:t>
            </w:r>
          </w:p>
        </w:tc>
      </w:tr>
      <w:tr>
        <w:tblPrEx>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福建</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1.0329</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1.0062</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1.0329</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1.0393</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西藏</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1.0381</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1.0381</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贵州</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bl>
    <w:p>
      <w:pPr>
        <w:jc w:val="both"/>
        <w:rPr>
          <w:rFonts w:hint="eastAsia" w:asciiTheme="majorEastAsia" w:hAnsiTheme="majorEastAsia" w:eastAsiaTheme="majorEastAsia" w:cstheme="majorEastAsia"/>
          <w:sz w:val="24"/>
          <w:szCs w:val="24"/>
        </w:rPr>
      </w:pPr>
    </w:p>
    <w:p>
      <w:pPr>
        <w:jc w:val="center"/>
        <w:rPr>
          <w:rFonts w:hint="eastAsia" w:asciiTheme="majorEastAsia" w:hAnsiTheme="majorEastAsia" w:eastAsiaTheme="majorEastAsia" w:cstheme="majorEastAsia"/>
          <w:sz w:val="24"/>
          <w:szCs w:val="24"/>
        </w:rPr>
      </w:pPr>
    </w:p>
    <w:p>
      <w:pPr>
        <w:jc w:val="center"/>
        <w:rPr>
          <w:rFonts w:hint="eastAsia" w:asciiTheme="majorEastAsia" w:hAnsiTheme="majorEastAsia" w:eastAsiaTheme="majorEastAsia" w:cstheme="majorEastAsia"/>
          <w:sz w:val="24"/>
          <w:szCs w:val="24"/>
        </w:rPr>
      </w:pPr>
    </w:p>
    <w:p>
      <w:pPr>
        <w:jc w:val="center"/>
      </w:pPr>
      <w:r>
        <w:rPr>
          <w:rFonts w:hint="eastAsia" w:asciiTheme="majorEastAsia" w:hAnsiTheme="majorEastAsia" w:eastAsiaTheme="majorEastAsia" w:cstheme="majorEastAsia"/>
          <w:sz w:val="24"/>
          <w:szCs w:val="24"/>
        </w:rPr>
        <w:t>表</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SEQ 表 \* ARABIC \s 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续表</w:t>
      </w:r>
      <w:r>
        <w:rPr>
          <w:rFonts w:hint="eastAsia" w:asciiTheme="majorEastAsia" w:hAnsiTheme="majorEastAsia" w:eastAsiaTheme="majorEastAsia" w:cstheme="majorEastAsia"/>
          <w:sz w:val="24"/>
          <w:szCs w:val="24"/>
          <w:lang w:eastAsia="zh-CN"/>
        </w:rPr>
        <w:t>） Malmquist指数结果(2020 -&gt; 2021)</w:t>
      </w:r>
    </w:p>
    <w:tbl>
      <w:tblPr>
        <w:tblStyle w:val="14"/>
        <w:tblW w:w="5000" w:type="pct"/>
        <w:tblInd w:w="0" w:type="dxa"/>
        <w:shd w:val="clear" w:color="auto" w:fill="FFFFFF"/>
        <w:tblLayout w:type="autofit"/>
        <w:tblCellMar>
          <w:top w:w="0" w:type="dxa"/>
          <w:left w:w="0" w:type="dxa"/>
          <w:bottom w:w="0" w:type="dxa"/>
          <w:right w:w="0" w:type="dxa"/>
        </w:tblCellMar>
      </w:tblPr>
      <w:tblGrid>
        <w:gridCol w:w="775"/>
        <w:gridCol w:w="1202"/>
        <w:gridCol w:w="1445"/>
        <w:gridCol w:w="1558"/>
        <w:gridCol w:w="1405"/>
        <w:gridCol w:w="1927"/>
      </w:tblGrid>
      <w:tr>
        <w:tblPrEx>
          <w:shd w:val="clear" w:color="auto" w:fill="FFFFFF"/>
          <w:tblCellMar>
            <w:top w:w="0" w:type="dxa"/>
            <w:left w:w="0" w:type="dxa"/>
            <w:bottom w:w="0" w:type="dxa"/>
            <w:right w:w="0" w:type="dxa"/>
          </w:tblCellMar>
        </w:tblPrEx>
        <w:trPr>
          <w:trHeight w:val="405" w:hRule="atLeast"/>
        </w:trPr>
        <w:tc>
          <w:tcPr>
            <w:tcW w:w="775" w:type="dxa"/>
            <w:tcBorders>
              <w:top w:val="nil"/>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DMU</w:t>
            </w:r>
          </w:p>
        </w:tc>
        <w:tc>
          <w:tcPr>
            <w:tcW w:w="1202" w:type="dxa"/>
            <w:tcBorders>
              <w:top w:val="nil"/>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Effch技术效率（EC）</w:t>
            </w:r>
          </w:p>
        </w:tc>
        <w:tc>
          <w:tcPr>
            <w:tcW w:w="1445" w:type="dxa"/>
            <w:tcBorders>
              <w:top w:val="nil"/>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Techch技术进步(TC)</w:t>
            </w:r>
          </w:p>
        </w:tc>
        <w:tc>
          <w:tcPr>
            <w:tcW w:w="1558" w:type="dxa"/>
            <w:tcBorders>
              <w:top w:val="nil"/>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Pech纯技术效率(PEC)</w:t>
            </w:r>
          </w:p>
        </w:tc>
        <w:tc>
          <w:tcPr>
            <w:tcW w:w="1405" w:type="dxa"/>
            <w:tcBorders>
              <w:top w:val="nil"/>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Sech规模效率(SEC)</w:t>
            </w:r>
          </w:p>
        </w:tc>
        <w:tc>
          <w:tcPr>
            <w:tcW w:w="1927" w:type="dxa"/>
            <w:tcBorders>
              <w:top w:val="nil"/>
              <w:left w:val="nil"/>
              <w:bottom w:val="single" w:color="auto" w:sz="4" w:space="0"/>
              <w:right w:val="nil"/>
            </w:tcBorders>
            <w:shd w:val="clear" w:color="auto" w:fill="FFFFFF"/>
            <w:vAlign w:val="center"/>
          </w:tcPr>
          <w:p>
            <w:pPr>
              <w:widowControl/>
              <w:spacing w:after="150" w:line="450" w:lineRule="atLeast"/>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Tfpch全要素生产率（TFP）</w:t>
            </w:r>
          </w:p>
        </w:tc>
      </w:tr>
      <w:tr>
        <w:tblPrEx>
          <w:shd w:val="clear" w:color="auto" w:fill="FFFFFF"/>
          <w:tblCellMar>
            <w:top w:w="0" w:type="dxa"/>
            <w:left w:w="0" w:type="dxa"/>
            <w:bottom w:w="0" w:type="dxa"/>
            <w:right w:w="0" w:type="dxa"/>
          </w:tblCellMar>
        </w:tblPrEx>
        <w:trPr>
          <w:trHeight w:val="405" w:hRule="atLeast"/>
        </w:trPr>
        <w:tc>
          <w:tcPr>
            <w:tcW w:w="466"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重庆</w:t>
            </w:r>
          </w:p>
        </w:tc>
        <w:tc>
          <w:tcPr>
            <w:tcW w:w="723"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1.0391</w:t>
            </w:r>
          </w:p>
        </w:tc>
        <w:tc>
          <w:tcPr>
            <w:tcW w:w="869"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1.0178</w:t>
            </w:r>
          </w:p>
        </w:tc>
        <w:tc>
          <w:tcPr>
            <w:tcW w:w="937"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1.0391</w:t>
            </w:r>
          </w:p>
        </w:tc>
        <w:tc>
          <w:tcPr>
            <w:tcW w:w="845"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single" w:color="auto" w:sz="4" w:space="0"/>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1.0576</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陕西</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1.0268</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1.0268</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青海</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1.0705</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1.0705</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上海</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内蒙古</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北京</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吉林</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天津</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安徽</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1.0515</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1.0515</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山西</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0.9964</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1.0312</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0.9964</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1.0275</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江苏</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1.0398</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1.0398</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河北</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1.1239</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1.1239</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浙江</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1.0350</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1.0350</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辽宁</w:t>
            </w:r>
          </w:p>
        </w:tc>
        <w:tc>
          <w:tcPr>
            <w:tcW w:w="723"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0.9970</w:t>
            </w:r>
          </w:p>
        </w:tc>
        <w:tc>
          <w:tcPr>
            <w:tcW w:w="86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0.9970</w:t>
            </w:r>
          </w:p>
        </w:tc>
        <w:tc>
          <w:tcPr>
            <w:tcW w:w="845"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nil"/>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r>
        <w:tblPrEx>
          <w:shd w:val="clear" w:color="auto" w:fill="FFFFFF"/>
          <w:tblCellMar>
            <w:top w:w="0" w:type="dxa"/>
            <w:left w:w="0" w:type="dxa"/>
            <w:bottom w:w="0" w:type="dxa"/>
            <w:right w:w="0" w:type="dxa"/>
          </w:tblCellMar>
        </w:tblPrEx>
        <w:trPr>
          <w:trHeight w:val="405" w:hRule="atLeast"/>
        </w:trPr>
        <w:tc>
          <w:tcPr>
            <w:tcW w:w="466" w:type="pct"/>
            <w:tcBorders>
              <w:top w:val="nil"/>
              <w:left w:val="nil"/>
              <w:bottom w:val="single" w:color="auto" w:sz="12" w:space="0"/>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黑龙江</w:t>
            </w:r>
          </w:p>
        </w:tc>
        <w:tc>
          <w:tcPr>
            <w:tcW w:w="723" w:type="pct"/>
            <w:tcBorders>
              <w:top w:val="nil"/>
              <w:left w:val="nil"/>
              <w:bottom w:val="single" w:color="auto" w:sz="12" w:space="0"/>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69" w:type="pct"/>
            <w:tcBorders>
              <w:top w:val="nil"/>
              <w:left w:val="nil"/>
              <w:bottom w:val="single" w:color="auto" w:sz="12" w:space="0"/>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c>
          <w:tcPr>
            <w:tcW w:w="937" w:type="pct"/>
            <w:tcBorders>
              <w:top w:val="nil"/>
              <w:left w:val="nil"/>
              <w:bottom w:val="single" w:color="auto" w:sz="12" w:space="0"/>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845" w:type="pct"/>
            <w:tcBorders>
              <w:top w:val="nil"/>
              <w:left w:val="nil"/>
              <w:bottom w:val="single" w:color="auto" w:sz="12" w:space="0"/>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1.0000</w:t>
            </w:r>
          </w:p>
        </w:tc>
        <w:tc>
          <w:tcPr>
            <w:tcW w:w="1159" w:type="pct"/>
            <w:tcBorders>
              <w:top w:val="nil"/>
              <w:left w:val="nil"/>
              <w:bottom w:val="single" w:color="auto" w:sz="12" w:space="0"/>
              <w:right w:val="nil"/>
            </w:tcBorders>
            <w:shd w:val="clear" w:color="auto" w:fill="FFFFFF"/>
            <w:vAlign w:val="center"/>
          </w:tcPr>
          <w:p>
            <w:pPr>
              <w:widowControl/>
              <w:jc w:val="center"/>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null</w:t>
            </w:r>
          </w:p>
        </w:tc>
      </w:tr>
    </w:tbl>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表5-6为2020年至2021年Malmquist指数结果表。由表可以看出，2020至2021年，我国各个省份技术效率基本保持稳定，部分省份仍有小幅度增长，仅辽宁省和江西省有极小幅度的减少。技术进步方面则参差不齐，大部分省市有小幅进步，但宁夏有明显的衰退。纯技术效率整体与技术效率相同，规模效率则全国各个省市都达到了1.0000。全国大部分省市的全要素生产率有所提升，提升幅度最大的为河北省，但是仍有少部分省份有所衰退，其中宁夏衰退最为明显。</w:t>
      </w:r>
    </w:p>
    <w:p>
      <w:pPr>
        <w:rPr>
          <w:rFonts w:hint="eastAsia" w:ascii="宋体" w:hAnsi="宋体" w:eastAsia="宋体" w:cs="宋体"/>
          <w:b w:val="0"/>
          <w:bCs w:val="0"/>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outlineLvl w:val="0"/>
        <w:rPr>
          <w:rFonts w:hint="eastAsia" w:ascii="黑体" w:hAnsi="黑体" w:eastAsia="黑体" w:cs="黑体"/>
          <w:b/>
          <w:bCs/>
          <w:color w:val="000000"/>
          <w:kern w:val="0"/>
          <w:sz w:val="30"/>
          <w:szCs w:val="30"/>
          <w:lang w:val="en-US" w:eastAsia="zh-CN" w:bidi="ar"/>
        </w:rPr>
      </w:pPr>
      <w:bookmarkStart w:id="79" w:name="_Toc20360"/>
      <w:bookmarkStart w:id="80" w:name="_Toc27849"/>
      <w:r>
        <w:rPr>
          <w:rFonts w:hint="eastAsia" w:ascii="黑体" w:hAnsi="黑体" w:eastAsia="黑体" w:cs="黑体"/>
          <w:b/>
          <w:bCs/>
          <w:color w:val="000000"/>
          <w:kern w:val="0"/>
          <w:sz w:val="30"/>
          <w:szCs w:val="30"/>
          <w:lang w:val="en-US" w:eastAsia="zh-CN" w:bidi="ar"/>
        </w:rPr>
        <w:t>第六章 研究结论与对策建议</w:t>
      </w:r>
      <w:bookmarkEnd w:id="79"/>
      <w:bookmarkEnd w:id="80"/>
    </w:p>
    <w:p>
      <w:pPr>
        <w:outlineLvl w:val="1"/>
        <w:rPr>
          <w:rFonts w:hint="eastAsia" w:ascii="楷体" w:hAnsi="楷体" w:eastAsia="楷体" w:cs="楷体"/>
          <w:color w:val="000000"/>
          <w:kern w:val="0"/>
          <w:sz w:val="28"/>
          <w:szCs w:val="28"/>
          <w:lang w:val="en-US" w:eastAsia="zh-CN" w:bidi="ar"/>
        </w:rPr>
      </w:pPr>
      <w:bookmarkStart w:id="81" w:name="_Toc29644"/>
      <w:bookmarkStart w:id="82" w:name="_Toc25579"/>
      <w:r>
        <w:rPr>
          <w:rFonts w:hint="eastAsia" w:ascii="楷体" w:hAnsi="楷体" w:eastAsia="楷体" w:cs="楷体"/>
          <w:color w:val="000000"/>
          <w:kern w:val="0"/>
          <w:sz w:val="28"/>
          <w:szCs w:val="28"/>
          <w:lang w:val="en-US" w:eastAsia="zh-CN" w:bidi="ar"/>
        </w:rPr>
        <w:t>6.1研究结论</w:t>
      </w:r>
      <w:bookmarkEnd w:id="81"/>
      <w:bookmarkEnd w:id="82"/>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第一，通过对近几年中职教育效率有效性分析，可得出近几年由于中国式现代化进程的加快，我国职业高中教育投入产出效率得到了很大的提升。在2018年前，中职教育的投入产出效率都没有达到最好，尤其是在教育事业费支出方面，并没有达到使用效率最大化。其次就到科研仪器的投入方面，分析得出来的结果是当时科研仪器设备资产值方面严重溢出。</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到了2018年以后，中国加快实现现代化的过程中，逐渐重视中职教育，优化中职教育领域的财政分配，加强中职教育的管理，让中职教育投入产出效率得到了提高。</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第二，通过分析近几年的规模报酬可以知道，与效率有效性同步。我国的中职教育规模收益效率在稳定提升，终于在2018年及以后达到了最优形态，无需通过扩大或减小规模来增加收益。不过我们国家不同省份之间还存在着差异，通过分析可以知道中西部一些省份的中职教育正在逐步完善，并且已经趋于最优形态。其中在2013-2015年期间，规模报酬系数增长最快，这是由于中国式现代化进程突然加快，国家政策的导向更加重视中职教育，使得中职教育的教育系统优化，效率有效性的提高。</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第三，综合上面两种分析结果，再使用malmquist指数模型进行评估，最终从全国来看，我国各个省份的技术效率基本保持稳定增长。但是技术进步速率则有差距，也就是说不同省份达到最优形态，实现效率有效性最优，规模报酬最大化的速率不一样。从malmquist指数就可以知道，因为malmquist指数就是反映综合生产率的，通过对malmquist的查看可以得出全国大部分省市的全要素生产率有所提升，中职教育的规模报酬增大。</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第四，总的来说，近年来中国的中职教育配套措施逐渐完善，各种资源都得到了有效利用，规模报酬达到了最优状态，这都离不开中国式现代化的各种措施。近年来强调的重视中职教育，随着各种政策落地，各种方案的实行，使得中职教育系统相较于以前有了很大的进步。通过使用DEA-CCR，DEA-BCC，malmquist等模型的分析，可以得出近年来中职教育的快速发展，离不开中国式现代化的影响。</w:t>
      </w:r>
    </w:p>
    <w:p>
      <w:pPr>
        <w:outlineLvl w:val="1"/>
        <w:rPr>
          <w:rFonts w:hint="default" w:ascii="楷体" w:hAnsi="楷体" w:eastAsia="楷体" w:cs="楷体"/>
          <w:color w:val="000000"/>
          <w:kern w:val="0"/>
          <w:sz w:val="28"/>
          <w:szCs w:val="28"/>
          <w:lang w:val="en-US" w:eastAsia="zh-CN" w:bidi="ar"/>
        </w:rPr>
      </w:pPr>
      <w:bookmarkStart w:id="83" w:name="_Toc7766"/>
      <w:bookmarkStart w:id="84" w:name="_Toc6628"/>
      <w:r>
        <w:rPr>
          <w:rFonts w:hint="eastAsia" w:ascii="楷体" w:hAnsi="楷体" w:eastAsia="楷体" w:cs="楷体"/>
          <w:color w:val="000000"/>
          <w:kern w:val="0"/>
          <w:sz w:val="28"/>
          <w:szCs w:val="28"/>
          <w:lang w:val="en-US" w:eastAsia="zh-CN" w:bidi="ar"/>
        </w:rPr>
        <w:t xml:space="preserve">6.2 </w:t>
      </w:r>
      <w:bookmarkEnd w:id="83"/>
      <w:r>
        <w:rPr>
          <w:rFonts w:hint="eastAsia" w:ascii="楷体" w:hAnsi="楷体" w:eastAsia="楷体" w:cs="楷体"/>
          <w:color w:val="000000"/>
          <w:kern w:val="0"/>
          <w:sz w:val="28"/>
          <w:szCs w:val="28"/>
          <w:lang w:val="en-US" w:eastAsia="zh-CN" w:bidi="ar"/>
        </w:rPr>
        <w:t>未来展望</w:t>
      </w:r>
      <w:bookmarkEnd w:id="84"/>
    </w:p>
    <w:p>
      <w:pPr>
        <w:outlineLvl w:val="2"/>
        <w:rPr>
          <w:rFonts w:hint="default" w:ascii="宋体" w:hAnsi="宋体" w:eastAsia="宋体" w:cs="宋体"/>
          <w:b/>
          <w:bCs/>
          <w:color w:val="000000"/>
          <w:kern w:val="0"/>
          <w:sz w:val="24"/>
          <w:szCs w:val="24"/>
          <w:lang w:val="en-US" w:eastAsia="zh-CN" w:bidi="ar"/>
        </w:rPr>
      </w:pPr>
      <w:bookmarkStart w:id="85" w:name="_Toc9059"/>
      <w:bookmarkStart w:id="86" w:name="_Toc21074"/>
      <w:r>
        <w:rPr>
          <w:rFonts w:hint="eastAsia" w:ascii="宋体" w:hAnsi="宋体" w:eastAsia="宋体" w:cs="宋体"/>
          <w:b/>
          <w:bCs/>
          <w:color w:val="000000"/>
          <w:kern w:val="0"/>
          <w:sz w:val="24"/>
          <w:szCs w:val="24"/>
          <w:lang w:val="en-US" w:eastAsia="zh-CN" w:bidi="ar"/>
        </w:rPr>
        <w:t>6</w:t>
      </w:r>
      <w:r>
        <w:rPr>
          <w:rFonts w:hint="default" w:ascii="宋体" w:hAnsi="宋体" w:eastAsia="宋体" w:cs="宋体"/>
          <w:b/>
          <w:bCs/>
          <w:color w:val="000000"/>
          <w:kern w:val="0"/>
          <w:sz w:val="24"/>
          <w:szCs w:val="24"/>
          <w:lang w:val="en-US" w:eastAsia="zh-CN" w:bidi="ar"/>
        </w:rPr>
        <w:t>.2.1完善中职教育资金投入政策</w:t>
      </w:r>
      <w:bookmarkEnd w:id="85"/>
      <w:bookmarkEnd w:id="86"/>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将资金花在重点上，每一笔资金要落到实处。加大对中职教育资源方面的资金投入还有科研仪器方面的资金投入，提高教学条件和教学质量，加快构建中国式现代化中职教育体系，培养更多的拥有高素质高技术类型的人才。实行学生激励计划，增加奖学金的金额，鼓励中职学生努力学习。引进优质教育资源，利用资金引进国内外优质的教育资源，如先进的教学方法、教材和教师培训项目，提高教育教学水平。</w:t>
      </w:r>
    </w:p>
    <w:p>
      <w:pPr>
        <w:rPr>
          <w:rFonts w:hint="default" w:ascii="宋体" w:hAnsi="宋体" w:eastAsia="宋体" w:cs="宋体"/>
          <w:color w:val="000000"/>
          <w:kern w:val="0"/>
          <w:sz w:val="24"/>
          <w:szCs w:val="24"/>
          <w:lang w:val="en-US" w:eastAsia="zh-CN" w:bidi="ar"/>
        </w:rPr>
      </w:pPr>
    </w:p>
    <w:p>
      <w:pPr>
        <w:outlineLvl w:val="2"/>
        <w:rPr>
          <w:rFonts w:hint="default" w:ascii="宋体" w:hAnsi="宋体" w:eastAsia="宋体" w:cs="宋体"/>
          <w:b/>
          <w:bCs/>
          <w:color w:val="000000"/>
          <w:kern w:val="0"/>
          <w:sz w:val="24"/>
          <w:szCs w:val="24"/>
          <w:lang w:val="en-US" w:eastAsia="zh-CN" w:bidi="ar"/>
        </w:rPr>
      </w:pPr>
      <w:bookmarkStart w:id="87" w:name="_Toc13884"/>
      <w:bookmarkStart w:id="88" w:name="_Toc1173"/>
      <w:r>
        <w:rPr>
          <w:rFonts w:hint="eastAsia" w:ascii="宋体" w:hAnsi="宋体" w:eastAsia="宋体" w:cs="宋体"/>
          <w:b/>
          <w:bCs/>
          <w:color w:val="000000"/>
          <w:kern w:val="0"/>
          <w:sz w:val="24"/>
          <w:szCs w:val="24"/>
          <w:lang w:val="en-US" w:eastAsia="zh-CN" w:bidi="ar"/>
        </w:rPr>
        <w:t>6</w:t>
      </w:r>
      <w:r>
        <w:rPr>
          <w:rFonts w:hint="default" w:ascii="宋体" w:hAnsi="宋体" w:eastAsia="宋体" w:cs="宋体"/>
          <w:b/>
          <w:bCs/>
          <w:color w:val="000000"/>
          <w:kern w:val="0"/>
          <w:sz w:val="24"/>
          <w:szCs w:val="24"/>
          <w:lang w:val="en-US" w:eastAsia="zh-CN" w:bidi="ar"/>
        </w:rPr>
        <w:t>.2.2重视中职学生的教学内容和质量</w:t>
      </w:r>
      <w:bookmarkEnd w:id="87"/>
      <w:bookmarkEnd w:id="88"/>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ab/>
      </w:r>
      <w:r>
        <w:rPr>
          <w:rFonts w:hint="default" w:ascii="宋体" w:hAnsi="宋体" w:eastAsia="宋体" w:cs="宋体"/>
          <w:b w:val="0"/>
          <w:bCs w:val="0"/>
          <w:color w:val="000000"/>
          <w:kern w:val="0"/>
          <w:sz w:val="24"/>
          <w:szCs w:val="24"/>
          <w:lang w:val="en-US" w:eastAsia="zh-CN" w:bidi="ar"/>
        </w:rPr>
        <w:t>跟随中国式现代化改变职业教育课程，根据行业需求和技术发展，及时更新职业教育课程，确保学生学习到最新的知识和技能。加强实践教学，增加实践教学的比重，开设更多的实训课程和实践项目，让学生能够在真实场景中运用所学知识。增加产业合作项目，与行业企业合作，开展产学合作项目，让学生参与真实的工作项目，提高他们的职业素养和实际操作能力，让学生真正地参与到中国式现代化的建设中来。</w:t>
      </w:r>
    </w:p>
    <w:p>
      <w:pPr>
        <w:outlineLvl w:val="2"/>
        <w:rPr>
          <w:rFonts w:hint="default" w:ascii="宋体" w:hAnsi="宋体" w:eastAsia="宋体" w:cs="宋体"/>
          <w:b/>
          <w:bCs/>
          <w:color w:val="000000"/>
          <w:kern w:val="0"/>
          <w:sz w:val="24"/>
          <w:szCs w:val="24"/>
          <w:lang w:val="en-US" w:eastAsia="zh-CN" w:bidi="ar"/>
        </w:rPr>
      </w:pPr>
      <w:bookmarkStart w:id="89" w:name="_Toc18339"/>
      <w:bookmarkStart w:id="90" w:name="_Toc23381"/>
      <w:r>
        <w:rPr>
          <w:rFonts w:hint="eastAsia" w:ascii="宋体" w:hAnsi="宋体" w:eastAsia="宋体" w:cs="宋体"/>
          <w:b/>
          <w:bCs/>
          <w:color w:val="000000"/>
          <w:kern w:val="0"/>
          <w:sz w:val="24"/>
          <w:szCs w:val="24"/>
          <w:lang w:val="en-US" w:eastAsia="zh-CN" w:bidi="ar"/>
        </w:rPr>
        <w:t>6</w:t>
      </w:r>
      <w:r>
        <w:rPr>
          <w:rFonts w:hint="default" w:ascii="宋体" w:hAnsi="宋体" w:eastAsia="宋体" w:cs="宋体"/>
          <w:b/>
          <w:bCs/>
          <w:color w:val="000000"/>
          <w:kern w:val="0"/>
          <w:sz w:val="24"/>
          <w:szCs w:val="24"/>
          <w:lang w:val="en-US" w:eastAsia="zh-CN" w:bidi="ar"/>
        </w:rPr>
        <w:t>.2.3保证中职教师的人才培养</w:t>
      </w:r>
      <w:bookmarkEnd w:id="89"/>
      <w:bookmarkEnd w:id="90"/>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ab/>
      </w:r>
      <w:r>
        <w:rPr>
          <w:rFonts w:hint="default" w:ascii="宋体" w:hAnsi="宋体" w:eastAsia="宋体" w:cs="宋体"/>
          <w:color w:val="000000"/>
          <w:kern w:val="0"/>
          <w:sz w:val="24"/>
          <w:szCs w:val="24"/>
          <w:lang w:val="en-US" w:eastAsia="zh-CN" w:bidi="ar"/>
        </w:rPr>
        <w:t>建立特殊的技术师范大学，为中职学院源源不断地输送高素质师资。提供师范教育培训，为中职教师提供师范教育培训课程，提高他们的专业知识和教学能力，使其成为高素质的教育者。实施中职教师鼓励政策，鼓励人们成为中职教师，保障中职教师的福利。</w:t>
      </w:r>
    </w:p>
    <w:p>
      <w:pPr>
        <w:outlineLvl w:val="2"/>
        <w:rPr>
          <w:rFonts w:hint="default" w:ascii="宋体" w:hAnsi="宋体" w:eastAsia="宋体" w:cs="宋体"/>
          <w:color w:val="000000"/>
          <w:kern w:val="0"/>
          <w:sz w:val="24"/>
          <w:szCs w:val="24"/>
          <w:lang w:val="en-US" w:eastAsia="zh-CN" w:bidi="ar"/>
        </w:rPr>
      </w:pPr>
      <w:bookmarkStart w:id="91" w:name="_Toc17902"/>
      <w:bookmarkStart w:id="92" w:name="_Toc28108"/>
      <w:r>
        <w:rPr>
          <w:rFonts w:hint="eastAsia" w:ascii="宋体" w:hAnsi="宋体" w:eastAsia="宋体" w:cs="宋体"/>
          <w:b/>
          <w:bCs/>
          <w:color w:val="000000"/>
          <w:kern w:val="0"/>
          <w:sz w:val="24"/>
          <w:szCs w:val="24"/>
          <w:lang w:val="en-US" w:eastAsia="zh-CN" w:bidi="ar"/>
        </w:rPr>
        <w:t>6</w:t>
      </w:r>
      <w:r>
        <w:rPr>
          <w:rFonts w:hint="default" w:ascii="宋体" w:hAnsi="宋体" w:eastAsia="宋体" w:cs="宋体"/>
          <w:b/>
          <w:bCs/>
          <w:color w:val="000000"/>
          <w:kern w:val="0"/>
          <w:sz w:val="24"/>
          <w:szCs w:val="24"/>
          <w:lang w:val="en-US" w:eastAsia="zh-CN" w:bidi="ar"/>
        </w:rPr>
        <w:t>.2.4推动产学研结合</w:t>
      </w:r>
      <w:bookmarkEnd w:id="91"/>
      <w:bookmarkEnd w:id="92"/>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建立产学研合作平台，搭建产学研合作的平台，促进中职学校、高等学校、企业之间的交流与合作。实施联合培养计划，开展联合培养计划，将学生培养与实际工作需求相结合，提高学生的就业能力和竞争力。鼓励创新研究项目，鼓励教师和学生参与产学研合作的创新研究项目，推动职业教育的创新发展。</w:t>
      </w:r>
    </w:p>
    <w:p>
      <w:pPr>
        <w:outlineLvl w:val="2"/>
        <w:rPr>
          <w:rFonts w:hint="default" w:ascii="宋体" w:hAnsi="宋体" w:eastAsia="宋体" w:cs="宋体"/>
          <w:color w:val="000000"/>
          <w:kern w:val="0"/>
          <w:sz w:val="24"/>
          <w:szCs w:val="24"/>
          <w:lang w:val="en-US" w:eastAsia="zh-CN" w:bidi="ar"/>
        </w:rPr>
      </w:pPr>
      <w:bookmarkStart w:id="93" w:name="_Toc21316"/>
      <w:bookmarkStart w:id="94" w:name="_Toc932"/>
      <w:r>
        <w:rPr>
          <w:rFonts w:hint="eastAsia" w:ascii="宋体" w:hAnsi="宋体" w:eastAsia="宋体" w:cs="宋体"/>
          <w:b/>
          <w:bCs/>
          <w:color w:val="000000"/>
          <w:kern w:val="0"/>
          <w:sz w:val="24"/>
          <w:szCs w:val="24"/>
          <w:lang w:val="en-US" w:eastAsia="zh-CN" w:bidi="ar"/>
        </w:rPr>
        <w:t>6</w:t>
      </w:r>
      <w:r>
        <w:rPr>
          <w:rFonts w:hint="default" w:ascii="宋体" w:hAnsi="宋体" w:eastAsia="宋体" w:cs="宋体"/>
          <w:b/>
          <w:bCs/>
          <w:color w:val="000000"/>
          <w:kern w:val="0"/>
          <w:sz w:val="24"/>
          <w:szCs w:val="24"/>
          <w:lang w:val="en-US" w:eastAsia="zh-CN" w:bidi="ar"/>
        </w:rPr>
        <w:t>.2.5重视学生的职业规划</w:t>
      </w:r>
      <w:bookmarkEnd w:id="93"/>
      <w:bookmarkEnd w:id="94"/>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ab/>
      </w:r>
      <w:r>
        <w:rPr>
          <w:rFonts w:hint="default" w:ascii="宋体" w:hAnsi="宋体" w:eastAsia="宋体" w:cs="宋体"/>
          <w:color w:val="000000"/>
          <w:kern w:val="0"/>
          <w:sz w:val="24"/>
          <w:szCs w:val="24"/>
          <w:lang w:val="en-US" w:eastAsia="zh-CN" w:bidi="ar"/>
        </w:rPr>
        <w:t>开展学生创新创业系列课程，引导学生做好自己的职业规划。建立职业规划辅导机构，为中职学生提供职业规划辅导服务，帮助他们更好地了解自己，找到自己合适的岗位。除了职业技能之外，创新能力、沟通能力、团队合作能力等综合素质也是属于学生的职业规划范畴，所以还要拓宽学生的综合素质培养，让学生能够提前适应工作环境。</w:t>
      </w: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val="en-US" w:eastAsia="zh-CN" w:bidi="ar"/>
        </w:rPr>
      </w:pPr>
    </w:p>
    <w:p>
      <w:pPr>
        <w:rPr>
          <w:rFonts w:hint="default" w:ascii="宋体" w:hAnsi="宋体" w:eastAsia="宋体" w:cs="宋体"/>
          <w:b w:val="0"/>
          <w:bCs w:val="0"/>
          <w:color w:val="000000"/>
          <w:kern w:val="0"/>
          <w:sz w:val="24"/>
          <w:szCs w:val="24"/>
          <w:lang w:val="en-US" w:eastAsia="zh-CN" w:bidi="ar"/>
        </w:rPr>
      </w:pPr>
    </w:p>
    <w:p>
      <w:pPr>
        <w:numPr>
          <w:ilvl w:val="0"/>
          <w:numId w:val="0"/>
        </w:numPr>
        <w:outlineLvl w:val="0"/>
        <w:rPr>
          <w:rFonts w:hint="eastAsia" w:ascii="黑体" w:hAnsi="黑体" w:eastAsia="黑体" w:cs="黑体"/>
          <w:b/>
          <w:bCs/>
          <w:color w:val="000000"/>
          <w:kern w:val="0"/>
          <w:sz w:val="30"/>
          <w:szCs w:val="30"/>
          <w:lang w:val="en-US" w:eastAsia="zh-CN" w:bidi="ar"/>
        </w:rPr>
      </w:pPr>
      <w:bookmarkStart w:id="95" w:name="_Toc8915"/>
      <w:bookmarkStart w:id="96" w:name="_Toc14032"/>
      <w:r>
        <w:rPr>
          <w:rFonts w:hint="eastAsia" w:ascii="黑体" w:hAnsi="黑体" w:eastAsia="黑体" w:cs="黑体"/>
          <w:b/>
          <w:bCs/>
          <w:color w:val="000000"/>
          <w:kern w:val="0"/>
          <w:sz w:val="30"/>
          <w:szCs w:val="30"/>
          <w:lang w:val="en-US" w:eastAsia="zh-CN" w:bidi="ar"/>
        </w:rPr>
        <w:t>第七章 模型的不足与改进</w:t>
      </w:r>
      <w:bookmarkEnd w:id="95"/>
      <w:bookmarkEnd w:id="96"/>
    </w:p>
    <w:p>
      <w:pPr>
        <w:numPr>
          <w:ilvl w:val="0"/>
          <w:numId w:val="0"/>
        </w:numPr>
        <w:outlineLvl w:val="1"/>
        <w:rPr>
          <w:rFonts w:hint="eastAsia" w:ascii="楷体" w:hAnsi="楷体" w:eastAsia="楷体" w:cs="楷体"/>
          <w:b w:val="0"/>
          <w:bCs w:val="0"/>
          <w:color w:val="000000"/>
          <w:kern w:val="0"/>
          <w:sz w:val="28"/>
          <w:szCs w:val="28"/>
          <w:lang w:val="en-US" w:eastAsia="zh-CN" w:bidi="ar"/>
        </w:rPr>
      </w:pPr>
      <w:bookmarkStart w:id="97" w:name="_Toc30223"/>
      <w:bookmarkStart w:id="98" w:name="_Toc20652"/>
      <w:r>
        <w:rPr>
          <w:rFonts w:hint="eastAsia" w:ascii="楷体" w:hAnsi="楷体" w:eastAsia="楷体" w:cs="楷体"/>
          <w:b w:val="0"/>
          <w:bCs w:val="0"/>
          <w:color w:val="000000"/>
          <w:kern w:val="0"/>
          <w:sz w:val="28"/>
          <w:szCs w:val="28"/>
          <w:lang w:val="en-US" w:eastAsia="zh-CN" w:bidi="ar"/>
        </w:rPr>
        <w:t>7.1不足点</w:t>
      </w:r>
      <w:bookmarkEnd w:id="97"/>
      <w:bookmarkEnd w:id="98"/>
    </w:p>
    <w:p>
      <w:pPr>
        <w:outlineLvl w:val="2"/>
        <w:rPr>
          <w:rFonts w:hint="default" w:ascii="宋体" w:hAnsi="宋体" w:eastAsia="宋体" w:cs="宋体"/>
          <w:b/>
          <w:bCs/>
          <w:color w:val="000000"/>
          <w:kern w:val="0"/>
          <w:sz w:val="24"/>
          <w:szCs w:val="24"/>
          <w:lang w:val="en-US" w:eastAsia="zh-CN" w:bidi="ar"/>
        </w:rPr>
      </w:pPr>
      <w:bookmarkStart w:id="99" w:name="_Toc16393"/>
      <w:bookmarkStart w:id="100" w:name="_Toc12594"/>
      <w:r>
        <w:rPr>
          <w:rFonts w:hint="eastAsia" w:ascii="宋体" w:hAnsi="宋体" w:eastAsia="宋体" w:cs="宋体"/>
          <w:b/>
          <w:bCs/>
          <w:color w:val="000000"/>
          <w:kern w:val="0"/>
          <w:sz w:val="24"/>
          <w:szCs w:val="24"/>
          <w:lang w:val="en-US" w:eastAsia="zh-CN" w:bidi="ar"/>
        </w:rPr>
        <w:t>7</w:t>
      </w:r>
      <w:r>
        <w:rPr>
          <w:rFonts w:hint="default" w:ascii="宋体" w:hAnsi="宋体" w:eastAsia="宋体" w:cs="宋体"/>
          <w:b/>
          <w:bCs/>
          <w:color w:val="000000"/>
          <w:kern w:val="0"/>
          <w:sz w:val="24"/>
          <w:szCs w:val="24"/>
          <w:lang w:val="en-US" w:eastAsia="zh-CN" w:bidi="ar"/>
        </w:rPr>
        <w:t>.1.1数据库选取单一问题</w:t>
      </w:r>
      <w:bookmarkEnd w:id="99"/>
      <w:bookmarkEnd w:id="100"/>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文的数据选取均来自国家教育局官网，虽说确保了数据权威可信，但是数据库选取过于单一。国家统计局个别数据有差错导致数据选取时难以取舍，以及可能因为统计标准变化导致各数据出入较为明显且个别数据缺失导致可能影响结果。</w:t>
      </w:r>
    </w:p>
    <w:p>
      <w:pPr>
        <w:numPr>
          <w:ilvl w:val="0"/>
          <w:numId w:val="0"/>
        </w:numPr>
        <w:outlineLvl w:val="2"/>
        <w:rPr>
          <w:rFonts w:hint="default" w:ascii="宋体" w:hAnsi="宋体" w:eastAsia="宋体" w:cs="宋体"/>
          <w:b w:val="0"/>
          <w:bCs w:val="0"/>
          <w:color w:val="000000"/>
          <w:kern w:val="0"/>
          <w:sz w:val="24"/>
          <w:szCs w:val="24"/>
          <w:lang w:val="en-US" w:eastAsia="zh-CN" w:bidi="ar"/>
        </w:rPr>
      </w:pPr>
      <w:bookmarkStart w:id="101" w:name="_Toc19377"/>
      <w:bookmarkStart w:id="102" w:name="_Toc23505"/>
      <w:r>
        <w:rPr>
          <w:rFonts w:hint="eastAsia" w:ascii="宋体" w:hAnsi="宋体" w:eastAsia="宋体" w:cs="宋体"/>
          <w:b/>
          <w:bCs/>
          <w:color w:val="000000"/>
          <w:kern w:val="0"/>
          <w:sz w:val="24"/>
          <w:szCs w:val="24"/>
          <w:lang w:val="en-US" w:eastAsia="zh-CN" w:bidi="ar"/>
        </w:rPr>
        <w:t>7</w:t>
      </w:r>
      <w:r>
        <w:rPr>
          <w:rFonts w:hint="default" w:ascii="宋体" w:hAnsi="宋体" w:eastAsia="宋体" w:cs="宋体"/>
          <w:b/>
          <w:bCs/>
          <w:color w:val="000000"/>
          <w:kern w:val="0"/>
          <w:sz w:val="24"/>
          <w:szCs w:val="24"/>
          <w:lang w:val="en-US" w:eastAsia="zh-CN" w:bidi="ar"/>
        </w:rPr>
        <w:t>.1.2 投入产出指标选取较少问题</w:t>
      </w:r>
      <w:bookmarkEnd w:id="101"/>
      <w:bookmarkEnd w:id="102"/>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为了便于计算，本文选取了较为少的投入产出指标，特别是产出指标仅选择了两个，测度结果可能存在一定的偏差，如若想进行更深一步的研究，可以多选取几个指标特别是产出指标再次进行DEA模型计算。</w:t>
      </w:r>
    </w:p>
    <w:p>
      <w:pPr>
        <w:numPr>
          <w:ilvl w:val="0"/>
          <w:numId w:val="0"/>
        </w:numPr>
        <w:outlineLvl w:val="1"/>
        <w:rPr>
          <w:rFonts w:hint="eastAsia" w:ascii="楷体" w:hAnsi="楷体" w:eastAsia="楷体" w:cs="楷体"/>
          <w:b w:val="0"/>
          <w:bCs w:val="0"/>
          <w:color w:val="000000"/>
          <w:kern w:val="0"/>
          <w:sz w:val="28"/>
          <w:szCs w:val="28"/>
          <w:lang w:val="en-US" w:eastAsia="zh-CN" w:bidi="ar"/>
        </w:rPr>
      </w:pPr>
      <w:bookmarkStart w:id="103" w:name="_Toc10446"/>
      <w:bookmarkStart w:id="104" w:name="_Toc6443"/>
      <w:r>
        <w:rPr>
          <w:rFonts w:hint="eastAsia" w:ascii="楷体" w:hAnsi="楷体" w:eastAsia="楷体" w:cs="楷体"/>
          <w:b w:val="0"/>
          <w:bCs w:val="0"/>
          <w:color w:val="000000"/>
          <w:kern w:val="0"/>
          <w:sz w:val="28"/>
          <w:szCs w:val="28"/>
          <w:lang w:val="en-US" w:eastAsia="zh-CN" w:bidi="ar"/>
        </w:rPr>
        <w:t>7.2 模型的改进</w:t>
      </w:r>
      <w:bookmarkEnd w:id="103"/>
      <w:bookmarkEnd w:id="104"/>
    </w:p>
    <w:p>
      <w:pPr>
        <w:numPr>
          <w:ilvl w:val="0"/>
          <w:numId w:val="0"/>
        </w:numPr>
        <w:outlineLvl w:val="2"/>
        <w:rPr>
          <w:rFonts w:hint="default" w:ascii="宋体" w:hAnsi="宋体" w:eastAsia="宋体" w:cs="宋体"/>
          <w:b w:val="0"/>
          <w:bCs w:val="0"/>
          <w:color w:val="000000"/>
          <w:kern w:val="0"/>
          <w:sz w:val="24"/>
          <w:szCs w:val="24"/>
          <w:lang w:val="en-US" w:eastAsia="zh-CN" w:bidi="ar"/>
        </w:rPr>
      </w:pPr>
      <w:bookmarkStart w:id="105" w:name="_Toc1803"/>
      <w:bookmarkStart w:id="106" w:name="_Toc6089"/>
      <w:r>
        <w:rPr>
          <w:rFonts w:hint="eastAsia" w:ascii="宋体" w:hAnsi="宋体" w:eastAsia="宋体" w:cs="宋体"/>
          <w:b/>
          <w:bCs/>
          <w:color w:val="000000"/>
          <w:kern w:val="0"/>
          <w:sz w:val="24"/>
          <w:szCs w:val="24"/>
          <w:lang w:val="en-US" w:eastAsia="zh-CN" w:bidi="ar"/>
        </w:rPr>
        <w:t>7</w:t>
      </w:r>
      <w:r>
        <w:rPr>
          <w:rFonts w:hint="default" w:ascii="宋体" w:hAnsi="宋体" w:eastAsia="宋体" w:cs="宋体"/>
          <w:b/>
          <w:bCs/>
          <w:color w:val="000000"/>
          <w:kern w:val="0"/>
          <w:sz w:val="24"/>
          <w:szCs w:val="24"/>
          <w:lang w:val="en-US" w:eastAsia="zh-CN" w:bidi="ar"/>
        </w:rPr>
        <w:t>.2.1 对决策单元间无法排序的改进</w:t>
      </w:r>
      <w:bookmarkEnd w:id="105"/>
      <w:bookmarkEnd w:id="106"/>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textAlignment w:val="auto"/>
        <w:rPr>
          <w:rFonts w:hint="eastAsia"/>
          <w:lang w:val="en-US" w:eastAsia="zh-CN"/>
        </w:rPr>
      </w:pPr>
      <w:r>
        <w:rPr>
          <w:rFonts w:hint="eastAsia" w:ascii="宋体" w:hAnsi="宋体" w:eastAsia="宋体" w:cs="宋体"/>
          <w:b w:val="0"/>
          <w:bCs w:val="0"/>
          <w:color w:val="000000"/>
          <w:kern w:val="0"/>
          <w:sz w:val="24"/>
          <w:szCs w:val="24"/>
          <w:lang w:val="en-US" w:eastAsia="zh-CN" w:bidi="ar"/>
        </w:rPr>
        <w:t>普通DEA模型无法实现决策单元间的排序，故无法知晓决策元间的重要性，同时无法实现无效决策元的统一。因此可以改用超效率DEA模型，该模型能够在评价某个决策单元时将其排除在决策单元集合外，能够保证决策单元的相对有效。该模型还可以实现各决策单元的比较和排序，计算得出的效率值也可超过1。</w:t>
      </w:r>
      <w:bookmarkStart w:id="107" w:name="_Toc27174"/>
    </w:p>
    <w:bookmarkEnd w:id="107"/>
    <w:p>
      <w:pPr>
        <w:jc w:val="both"/>
        <w:rPr>
          <w:rFonts w:hint="eastAsia" w:ascii="宋体" w:hAnsi="宋体" w:eastAsia="宋体" w:cs="宋体"/>
          <w:b w:val="0"/>
          <w:bCs w:val="0"/>
          <w:sz w:val="24"/>
          <w:szCs w:val="32"/>
          <w:lang w:val="en-US" w:eastAsia="zh-CN"/>
        </w:rPr>
      </w:pPr>
    </w:p>
    <w:p>
      <w:pPr>
        <w:jc w:val="both"/>
        <w:rPr>
          <w:rFonts w:hint="eastAsia" w:ascii="宋体" w:hAnsi="宋体" w:eastAsia="宋体" w:cs="宋体"/>
          <w:b w:val="0"/>
          <w:bCs w:val="0"/>
          <w:sz w:val="24"/>
          <w:szCs w:val="32"/>
          <w:lang w:val="en-US" w:eastAsia="zh-CN"/>
        </w:rPr>
      </w:pP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br w:type="page"/>
      </w:r>
    </w:p>
    <w:p>
      <w:pPr>
        <w:tabs>
          <w:tab w:val="left" w:pos="1015"/>
          <w:tab w:val="center" w:pos="4216"/>
        </w:tabs>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参考文献</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[1]陈丹辉.中等职业教育内涵初探[J].北京成人教育,2001(11):6-8.</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[2]姜大源.现代职业教育体系构建的理性追问[J].教育研究,2011,32(11):70-75.</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[3]陶蕾,杨欣.我国中等职业教育资源配置效率评价及分析——基于DEA-Malmquist指数模型[J].教育科学,2015,31(04):26-31.</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[4]石伟平,徐国庆.以就业为导向的中等职业教育教学改革理论探索[J].中国职业技术教育,2008(11):18-22.</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[5]孙琳.中等职业教育财政支出效率研究——基于省级面板数据的DEA分析[J].地方财政研究,2018(04):66-70+86.</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[6]刘春妤. 我国职业高中教育投入产出效率测度及影响因素研究[D].河北大学,2021.DOI:10.27103/d.cnki.ghebu.2021.000885.</w:t>
      </w:r>
    </w:p>
    <w:p>
      <w:pPr>
        <w:jc w:val="left"/>
        <w:rPr>
          <w:rFonts w:hint="eastAsia" w:asciiTheme="majorEastAsia" w:hAnsiTheme="majorEastAsia" w:eastAsiaTheme="majorEastAsia" w:cstheme="majorEastAsia"/>
          <w:b w:val="0"/>
          <w:bCs w:val="0"/>
          <w:color w:val="auto"/>
          <w:sz w:val="24"/>
          <w:szCs w:val="24"/>
          <w:lang w:val="en-US" w:eastAsia="zh-CN"/>
        </w:rPr>
      </w:pPr>
      <w:r>
        <w:rPr>
          <w:rFonts w:hint="eastAsia" w:ascii="宋体" w:hAnsi="宋体" w:eastAsia="宋体" w:cs="宋体"/>
          <w:b w:val="0"/>
          <w:bCs w:val="0"/>
          <w:color w:val="auto"/>
          <w:sz w:val="24"/>
          <w:szCs w:val="24"/>
          <w:lang w:val="en-US" w:eastAsia="zh-CN"/>
        </w:rPr>
        <w:t>[7</w:t>
      </w:r>
      <w:r>
        <w:rPr>
          <w:rFonts w:hint="eastAsia" w:asciiTheme="majorEastAsia" w:hAnsiTheme="majorEastAsia" w:eastAsiaTheme="majorEastAsia" w:cstheme="majorEastAsia"/>
          <w:b w:val="0"/>
          <w:bCs w:val="0"/>
          <w:color w:val="auto"/>
          <w:sz w:val="24"/>
          <w:szCs w:val="24"/>
          <w:lang w:val="en-US" w:eastAsia="zh-CN"/>
        </w:rPr>
        <w:t>]</w:t>
      </w:r>
      <w:r>
        <w:rPr>
          <w:rFonts w:hint="eastAsia" w:asciiTheme="majorEastAsia" w:hAnsiTheme="majorEastAsia" w:eastAsiaTheme="majorEastAsia" w:cstheme="majorEastAsia"/>
          <w:b w:val="0"/>
          <w:bCs w:val="0"/>
          <w:i w:val="0"/>
          <w:iCs w:val="0"/>
          <w:caps w:val="0"/>
          <w:color w:val="auto"/>
          <w:spacing w:val="0"/>
          <w:sz w:val="24"/>
          <w:szCs w:val="24"/>
          <w:shd w:val="clear" w:fill="FFFFFF"/>
        </w:rPr>
        <w:t>沈中彦.中国式职业教育现代化的演进逻辑、基本经验与时代特征[J].职业技术教育,2023,44(01):14-20.</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shd w:val="clear" w:fill="FFFFFF"/>
          <w:lang w:val="en-US" w:eastAsia="zh-CN"/>
        </w:rPr>
        <w:t>8</w:t>
      </w:r>
      <w:r>
        <w:rPr>
          <w:rFonts w:hint="eastAsia" w:ascii="宋体" w:hAnsi="宋体" w:eastAsia="宋体" w:cs="宋体"/>
          <w:i w:val="0"/>
          <w:iCs w:val="0"/>
          <w:caps w:val="0"/>
          <w:color w:val="auto"/>
          <w:spacing w:val="0"/>
          <w:sz w:val="24"/>
          <w:szCs w:val="24"/>
          <w:shd w:val="clear" w:fill="FFFFFF"/>
        </w:rPr>
        <w:t>]徐慧芳. 基于DEA的汽车制造企业经营效率评价与改进[D].天津商业大学,2022.DOI:10.27362/d.cnki.gtsxy.2022.000344.</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shd w:val="clear" w:fill="FFFFFF"/>
          <w:lang w:val="en-US" w:eastAsia="zh-CN"/>
        </w:rPr>
        <w:t>9</w:t>
      </w:r>
      <w:r>
        <w:rPr>
          <w:rFonts w:hint="eastAsia" w:ascii="宋体" w:hAnsi="宋体" w:eastAsia="宋体" w:cs="宋体"/>
          <w:i w:val="0"/>
          <w:iCs w:val="0"/>
          <w:caps w:val="0"/>
          <w:color w:val="auto"/>
          <w:spacing w:val="0"/>
          <w:sz w:val="24"/>
          <w:szCs w:val="24"/>
          <w:shd w:val="clear" w:fill="FFFFFF"/>
        </w:rPr>
        <w:t>]翟桂龙.推动职业教育创新发展 打造新时代职教齐鲁标杆[J].中国商人,2022(07):110-111.</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[1</w:t>
      </w:r>
      <w:r>
        <w:rPr>
          <w:rFonts w:hint="eastAsia" w:ascii="宋体" w:hAnsi="宋体" w:eastAsia="宋体" w:cs="宋体"/>
          <w:i w:val="0"/>
          <w:iCs w:val="0"/>
          <w:caps w:val="0"/>
          <w:color w:val="auto"/>
          <w:spacing w:val="0"/>
          <w:sz w:val="24"/>
          <w:szCs w:val="24"/>
          <w:shd w:val="clear" w:fill="FFFFFF"/>
          <w:lang w:val="en-US" w:eastAsia="zh-CN"/>
        </w:rPr>
        <w:t>0</w:t>
      </w:r>
      <w:r>
        <w:rPr>
          <w:rFonts w:hint="eastAsia" w:ascii="宋体" w:hAnsi="宋体" w:eastAsia="宋体" w:cs="宋体"/>
          <w:i w:val="0"/>
          <w:iCs w:val="0"/>
          <w:caps w:val="0"/>
          <w:color w:val="auto"/>
          <w:spacing w:val="0"/>
          <w:sz w:val="24"/>
          <w:szCs w:val="24"/>
          <w:shd w:val="clear" w:fill="FFFFFF"/>
        </w:rPr>
        <w:t>]董平.粤港澳大湾区职业教育科教融汇发展研究[J].中国多媒体与网络教学学报(中旬刊),2023(01):209-212.</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shd w:val="clear" w:fill="FFFFFF"/>
          <w:lang w:val="en-US" w:eastAsia="zh-CN"/>
        </w:rPr>
        <w:t>1</w:t>
      </w:r>
      <w:r>
        <w:rPr>
          <w:rFonts w:hint="eastAsia" w:ascii="宋体" w:hAnsi="宋体" w:eastAsia="宋体" w:cs="宋体"/>
          <w:i w:val="0"/>
          <w:iCs w:val="0"/>
          <w:caps w:val="0"/>
          <w:color w:val="auto"/>
          <w:spacing w:val="0"/>
          <w:sz w:val="24"/>
          <w:szCs w:val="24"/>
          <w:shd w:val="clear" w:fill="FFFFFF"/>
        </w:rPr>
        <w:t>1]佘一鸣. 湖南省对贫困县金融精准扶贫效率及影响因素研究[D].湖南大学,2020.DOI:10.27135/d.cnki.ghudu.2020.002808.</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[1</w:t>
      </w:r>
      <w:r>
        <w:rPr>
          <w:rFonts w:hint="eastAsia" w:ascii="宋体" w:hAnsi="宋体" w:eastAsia="宋体" w:cs="宋体"/>
          <w:i w:val="0"/>
          <w:iCs w:val="0"/>
          <w:caps w:val="0"/>
          <w:color w:val="auto"/>
          <w:spacing w:val="0"/>
          <w:sz w:val="24"/>
          <w:szCs w:val="24"/>
          <w:shd w:val="clear" w:fill="FFFFFF"/>
          <w:lang w:val="en-US" w:eastAsia="zh-CN"/>
        </w:rPr>
        <w:t>2</w:t>
      </w:r>
      <w:r>
        <w:rPr>
          <w:rFonts w:hint="eastAsia" w:ascii="宋体" w:hAnsi="宋体" w:eastAsia="宋体" w:cs="宋体"/>
          <w:i w:val="0"/>
          <w:iCs w:val="0"/>
          <w:caps w:val="0"/>
          <w:color w:val="auto"/>
          <w:spacing w:val="0"/>
          <w:sz w:val="24"/>
          <w:szCs w:val="24"/>
          <w:shd w:val="clear" w:fill="FFFFFF"/>
        </w:rPr>
        <w:t>]蔡文伯,翟柳淅.我国中等职业教育经费投入效率及影响因素分析——基于DEA-Malmquist指数模型与空间面板计量模型[J].职业技术教育,2018,39(01):55-59.</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[1</w:t>
      </w:r>
      <w:r>
        <w:rPr>
          <w:rFonts w:hint="eastAsia" w:ascii="宋体" w:hAnsi="宋体" w:eastAsia="宋体" w:cs="宋体"/>
          <w:i w:val="0"/>
          <w:iCs w:val="0"/>
          <w:caps w:val="0"/>
          <w:color w:val="auto"/>
          <w:spacing w:val="0"/>
          <w:sz w:val="24"/>
          <w:szCs w:val="24"/>
          <w:shd w:val="clear" w:fill="FFFFFF"/>
          <w:lang w:val="en-US" w:eastAsia="zh-CN"/>
        </w:rPr>
        <w:t>3</w:t>
      </w:r>
      <w:r>
        <w:rPr>
          <w:rFonts w:hint="eastAsia" w:ascii="宋体" w:hAnsi="宋体" w:eastAsia="宋体" w:cs="宋体"/>
          <w:i w:val="0"/>
          <w:iCs w:val="0"/>
          <w:caps w:val="0"/>
          <w:color w:val="auto"/>
          <w:spacing w:val="0"/>
          <w:sz w:val="24"/>
          <w:szCs w:val="24"/>
          <w:shd w:val="clear" w:fill="FFFFFF"/>
        </w:rPr>
        <w:t>]杨广俊.基于DEA的中等职业教育投入与产出相对有效性评价[J].职业技术教育,2011,32(25):60-63.</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[1</w:t>
      </w:r>
      <w:r>
        <w:rPr>
          <w:rFonts w:hint="eastAsia" w:ascii="宋体" w:hAnsi="宋体" w:eastAsia="宋体" w:cs="宋体"/>
          <w:i w:val="0"/>
          <w:iCs w:val="0"/>
          <w:caps w:val="0"/>
          <w:color w:val="auto"/>
          <w:spacing w:val="0"/>
          <w:sz w:val="24"/>
          <w:szCs w:val="24"/>
          <w:shd w:val="clear" w:fill="FFFFFF"/>
          <w:lang w:val="en-US" w:eastAsia="zh-CN"/>
        </w:rPr>
        <w:t>4</w:t>
      </w:r>
      <w:r>
        <w:rPr>
          <w:rFonts w:hint="eastAsia" w:ascii="宋体" w:hAnsi="宋体" w:eastAsia="宋体" w:cs="宋体"/>
          <w:i w:val="0"/>
          <w:iCs w:val="0"/>
          <w:caps w:val="0"/>
          <w:color w:val="auto"/>
          <w:spacing w:val="0"/>
          <w:sz w:val="24"/>
          <w:szCs w:val="24"/>
          <w:shd w:val="clear" w:fill="FFFFFF"/>
        </w:rPr>
        <w:t>]魏权龄.数据包络分析(DEA)[J].科学通报,2000(17):1793-1808.</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[1</w:t>
      </w:r>
      <w:r>
        <w:rPr>
          <w:rFonts w:hint="eastAsia" w:ascii="宋体" w:hAnsi="宋体" w:eastAsia="宋体" w:cs="宋体"/>
          <w:i w:val="0"/>
          <w:iCs w:val="0"/>
          <w:caps w:val="0"/>
          <w:color w:val="auto"/>
          <w:spacing w:val="0"/>
          <w:sz w:val="24"/>
          <w:szCs w:val="24"/>
          <w:shd w:val="clear" w:fill="FFFFFF"/>
          <w:lang w:val="en-US" w:eastAsia="zh-CN"/>
        </w:rPr>
        <w:t>5</w:t>
      </w:r>
      <w:r>
        <w:rPr>
          <w:rFonts w:hint="eastAsia" w:ascii="宋体" w:hAnsi="宋体" w:eastAsia="宋体" w:cs="宋体"/>
          <w:i w:val="0"/>
          <w:iCs w:val="0"/>
          <w:caps w:val="0"/>
          <w:color w:val="auto"/>
          <w:spacing w:val="0"/>
          <w:sz w:val="24"/>
          <w:szCs w:val="24"/>
          <w:shd w:val="clear" w:fill="FFFFFF"/>
        </w:rPr>
        <w:t>]郭昌鹏,吴国献.中职生生涯规划存在的问题及对策探讨[J].黑龙江科技信息,2011(31):193.</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[1</w:t>
      </w:r>
      <w:r>
        <w:rPr>
          <w:rFonts w:hint="eastAsia" w:ascii="宋体" w:hAnsi="宋体" w:eastAsia="宋体" w:cs="宋体"/>
          <w:i w:val="0"/>
          <w:iCs w:val="0"/>
          <w:caps w:val="0"/>
          <w:color w:val="auto"/>
          <w:spacing w:val="0"/>
          <w:sz w:val="24"/>
          <w:szCs w:val="24"/>
          <w:shd w:val="clear" w:fill="FFFFFF"/>
          <w:lang w:val="en-US" w:eastAsia="zh-CN"/>
        </w:rPr>
        <w:t>6</w:t>
      </w:r>
      <w:r>
        <w:rPr>
          <w:rFonts w:hint="eastAsia" w:ascii="宋体" w:hAnsi="宋体" w:eastAsia="宋体" w:cs="宋体"/>
          <w:i w:val="0"/>
          <w:iCs w:val="0"/>
          <w:caps w:val="0"/>
          <w:color w:val="auto"/>
          <w:spacing w:val="0"/>
          <w:sz w:val="24"/>
          <w:szCs w:val="24"/>
          <w:shd w:val="clear" w:fill="FFFFFF"/>
        </w:rPr>
        <w:t>].2021年全国教育事业发展统计公报[J].中国地质教育,2022,31(03):109-112.DOI:10.16244/j.cnki.1006-9372.2022.03.014.</w:t>
      </w:r>
    </w:p>
    <w:p>
      <w:pPr>
        <w:jc w:val="left"/>
        <w:rPr>
          <w:rFonts w:hint="eastAsia" w:ascii="宋体" w:hAnsi="宋体" w:eastAsia="宋体" w:cs="宋体"/>
          <w:i w:val="0"/>
          <w:iCs w:val="0"/>
          <w:caps w:val="0"/>
          <w:color w:val="auto"/>
          <w:spacing w:val="0"/>
          <w:sz w:val="24"/>
          <w:szCs w:val="24"/>
          <w:shd w:val="clear" w:fill="FFFFFF"/>
        </w:rPr>
      </w:pPr>
      <w:r>
        <w:rPr>
          <w:rFonts w:hint="eastAsia" w:ascii="宋体" w:hAnsi="宋体" w:eastAsia="宋体" w:cs="宋体"/>
          <w:i w:val="0"/>
          <w:iCs w:val="0"/>
          <w:caps w:val="0"/>
          <w:color w:val="auto"/>
          <w:spacing w:val="0"/>
          <w:sz w:val="24"/>
          <w:szCs w:val="24"/>
          <w:shd w:val="clear" w:fill="FFFFFF"/>
        </w:rPr>
        <w:t>[1</w:t>
      </w:r>
      <w:r>
        <w:rPr>
          <w:rFonts w:hint="eastAsia" w:ascii="宋体" w:hAnsi="宋体" w:eastAsia="宋体" w:cs="宋体"/>
          <w:i w:val="0"/>
          <w:iCs w:val="0"/>
          <w:caps w:val="0"/>
          <w:color w:val="auto"/>
          <w:spacing w:val="0"/>
          <w:sz w:val="24"/>
          <w:szCs w:val="24"/>
          <w:shd w:val="clear" w:fill="FFFFFF"/>
          <w:lang w:val="en-US" w:eastAsia="zh-CN"/>
        </w:rPr>
        <w:t>7</w:t>
      </w:r>
      <w:r>
        <w:rPr>
          <w:rFonts w:hint="eastAsia" w:ascii="宋体" w:hAnsi="宋体" w:eastAsia="宋体" w:cs="宋体"/>
          <w:i w:val="0"/>
          <w:iCs w:val="0"/>
          <w:caps w:val="0"/>
          <w:color w:val="auto"/>
          <w:spacing w:val="0"/>
          <w:sz w:val="24"/>
          <w:szCs w:val="24"/>
          <w:shd w:val="clear" w:fill="FFFFFF"/>
        </w:rPr>
        <w:t>]郝佩瑜. 学校教育技术装备绩效评价研究[D].河北师范大学,2022.DOI:10.27110/d.cnki.ghsfu.2022.000353.</w:t>
      </w: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jc w:val="both"/>
        <w:rPr>
          <w:rFonts w:hint="eastAsia" w:ascii="微软雅黑" w:hAnsi="微软雅黑" w:eastAsia="微软雅黑" w:cs="微软雅黑"/>
          <w:b w:val="0"/>
          <w:bCs w:val="0"/>
          <w:sz w:val="24"/>
          <w:szCs w:val="32"/>
          <w:lang w:val="en-US" w:eastAsia="zh-CN"/>
        </w:rPr>
      </w:pPr>
    </w:p>
    <w:p>
      <w:pPr>
        <w:pStyle w:val="2"/>
        <w:ind w:left="0" w:leftChars="0" w:firstLine="0" w:firstLineChars="0"/>
        <w:rPr>
          <w:rFonts w:hint="eastAsia" w:ascii="微软雅黑" w:hAnsi="微软雅黑" w:eastAsia="微软雅黑" w:cs="微软雅黑"/>
          <w:b w:val="0"/>
          <w:bCs w:val="0"/>
          <w:sz w:val="24"/>
          <w:szCs w:val="32"/>
          <w:lang w:val="en-US" w:eastAsia="zh-CN"/>
        </w:rPr>
      </w:pPr>
    </w:p>
    <w:p>
      <w:pPr>
        <w:pStyle w:val="3"/>
        <w:keepNext/>
        <w:keepLines/>
        <w:pageBreakBefore w:val="0"/>
        <w:widowControl w:val="0"/>
        <w:kinsoku/>
        <w:wordWrap/>
        <w:overflowPunct/>
        <w:topLinePunct w:val="0"/>
        <w:autoSpaceDE/>
        <w:autoSpaceDN/>
        <w:bidi w:val="0"/>
        <w:adjustRightInd/>
        <w:snapToGrid/>
        <w:spacing w:line="480" w:lineRule="exact"/>
        <w:jc w:val="center"/>
        <w:textAlignment w:val="auto"/>
        <w:outlineLvl w:val="0"/>
        <w:rPr>
          <w:rFonts w:hint="eastAsia" w:ascii="宋体" w:hAnsi="宋体" w:eastAsia="宋体" w:cs="宋体"/>
          <w:color w:val="000000"/>
          <w:kern w:val="0"/>
          <w:sz w:val="24"/>
          <w:szCs w:val="24"/>
          <w:lang w:val="en-US" w:eastAsia="zh-CN" w:bidi="ar"/>
        </w:rPr>
      </w:pPr>
      <w:bookmarkStart w:id="108" w:name="_Toc27899"/>
      <w:r>
        <w:rPr>
          <w:rFonts w:hint="eastAsia"/>
          <w:sz w:val="32"/>
          <w:szCs w:val="32"/>
          <w:lang w:val="en-US" w:eastAsia="zh-CN"/>
        </w:rPr>
        <w:t>致谢</w:t>
      </w:r>
      <w:bookmarkEnd w:id="108"/>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本次研究完成，离不开很多人的帮助和支持，我们想在这里向所有为本次研究提供帮助的人表示真挚的感谢。</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首先，我们要感谢我们的指导老师徐圣兵，感谢他在分析研究过程中给予我们的耐心指导、鼓励和帮助。在他的指导下，让我们更好地理解相关理论知识，并为研究做出了很多宝贵的建议和意见。</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其次，特别感谢实验室的师兄师姐们，感谢他们在研究中的陪伴和帮助。他们充分发挥着“师兄师姐”的作用，为研究提供了无私的技术和文献支持。感谢他们每一个人的无私帮助，为我们提供了数据支持以及对研究中的困难和问题提供解决方案。</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同时，感谢我们的家人在研究期间对我们的关爱和支持，感谢他们在生活和学习中给予的无私支持和关心。他们在我们孜孜不倦地研究和写作时给与了很多鼓励，无论我们遭遇多少困难，他们始终在我身后支持着我们。</w:t>
      </w:r>
    </w:p>
    <w:p>
      <w:pPr>
        <w:keepNext w:val="0"/>
        <w:keepLines w:val="0"/>
        <w:pageBreakBefore w:val="0"/>
        <w:widowControl w:val="0"/>
        <w:kinsoku/>
        <w:wordWrap/>
        <w:overflowPunct/>
        <w:topLinePunct w:val="0"/>
        <w:autoSpaceDE/>
        <w:autoSpaceDN/>
        <w:bidi w:val="0"/>
        <w:adjustRightInd/>
        <w:snapToGrid/>
        <w:spacing w:line="480" w:lineRule="exact"/>
        <w:ind w:firstLine="420" w:firstLineChars="0"/>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最后，我们要感谢所有为本次研究提供帮助的人，在他们的协助下，让我们能有更多的数据和信息来分析研究的结果。感谢他们的支持，为我们的研究做出重要的贡献。</w:t>
      </w:r>
    </w:p>
    <w:p>
      <w:pPr>
        <w:rPr>
          <w:rFonts w:hint="default" w:ascii="宋体" w:hAnsi="宋体" w:eastAsia="宋体" w:cs="宋体"/>
          <w:color w:val="000000"/>
          <w:kern w:val="0"/>
          <w:sz w:val="24"/>
          <w:szCs w:val="24"/>
          <w:lang w:val="en-US" w:eastAsia="zh-CN" w:bidi="ar"/>
        </w:rPr>
      </w:pPr>
    </w:p>
    <w:p>
      <w:pPr>
        <w:pStyle w:val="2"/>
        <w:rPr>
          <w:rFonts w:hint="default" w:ascii="宋体" w:hAnsi="宋体" w:eastAsia="宋体" w:cs="宋体"/>
          <w:color w:val="000000"/>
          <w:kern w:val="0"/>
          <w:sz w:val="24"/>
          <w:szCs w:val="24"/>
          <w:lang w:val="en-US" w:eastAsia="zh-CN" w:bidi="ar"/>
        </w:rPr>
      </w:pPr>
    </w:p>
    <w:p>
      <w:pPr>
        <w:pStyle w:val="2"/>
        <w:rPr>
          <w:rFonts w:hint="default" w:ascii="宋体" w:hAnsi="宋体" w:eastAsia="宋体" w:cs="宋体"/>
          <w:color w:val="000000"/>
          <w:kern w:val="0"/>
          <w:sz w:val="24"/>
          <w:szCs w:val="24"/>
          <w:lang w:val="en-US" w:eastAsia="zh-CN" w:bidi="ar"/>
        </w:rPr>
      </w:pPr>
    </w:p>
    <w:p>
      <w:pPr>
        <w:pStyle w:val="2"/>
        <w:rPr>
          <w:rFonts w:hint="default" w:ascii="宋体" w:hAnsi="宋体" w:eastAsia="宋体" w:cs="宋体"/>
          <w:color w:val="000000"/>
          <w:kern w:val="0"/>
          <w:sz w:val="24"/>
          <w:szCs w:val="24"/>
          <w:lang w:val="en-US" w:eastAsia="zh-CN" w:bidi="ar"/>
        </w:rPr>
      </w:pPr>
    </w:p>
    <w:p>
      <w:pPr>
        <w:pStyle w:val="2"/>
        <w:rPr>
          <w:rFonts w:hint="default" w:ascii="宋体" w:hAnsi="宋体" w:eastAsia="宋体" w:cs="宋体"/>
          <w:color w:val="000000"/>
          <w:kern w:val="0"/>
          <w:sz w:val="24"/>
          <w:szCs w:val="24"/>
          <w:lang w:val="en-US" w:eastAsia="zh-CN" w:bidi="ar"/>
        </w:rPr>
      </w:pPr>
    </w:p>
    <w:p>
      <w:pPr>
        <w:pStyle w:val="2"/>
        <w:rPr>
          <w:rFonts w:hint="default" w:ascii="宋体" w:hAnsi="宋体" w:eastAsia="宋体" w:cs="宋体"/>
          <w:color w:val="000000"/>
          <w:kern w:val="0"/>
          <w:sz w:val="24"/>
          <w:szCs w:val="24"/>
          <w:lang w:val="en-US" w:eastAsia="zh-CN" w:bidi="ar"/>
        </w:rPr>
      </w:pPr>
    </w:p>
    <w:p>
      <w:pPr>
        <w:pStyle w:val="2"/>
        <w:rPr>
          <w:rFonts w:hint="default" w:ascii="宋体" w:hAnsi="宋体" w:eastAsia="宋体" w:cs="宋体"/>
          <w:color w:val="000000"/>
          <w:kern w:val="0"/>
          <w:sz w:val="24"/>
          <w:szCs w:val="24"/>
          <w:lang w:val="en-US" w:eastAsia="zh-CN" w:bidi="ar"/>
        </w:rPr>
      </w:pPr>
    </w:p>
    <w:p>
      <w:pPr>
        <w:pStyle w:val="2"/>
        <w:rPr>
          <w:rFonts w:hint="default" w:ascii="宋体" w:hAnsi="宋体" w:eastAsia="宋体" w:cs="宋体"/>
          <w:color w:val="000000"/>
          <w:kern w:val="0"/>
          <w:sz w:val="24"/>
          <w:szCs w:val="24"/>
          <w:lang w:val="en-US" w:eastAsia="zh-CN" w:bidi="ar"/>
        </w:rPr>
      </w:pPr>
    </w:p>
    <w:p>
      <w:pPr>
        <w:pStyle w:val="2"/>
        <w:rPr>
          <w:rFonts w:hint="default" w:ascii="宋体" w:hAnsi="宋体" w:eastAsia="宋体" w:cs="宋体"/>
          <w:color w:val="000000"/>
          <w:kern w:val="0"/>
          <w:sz w:val="24"/>
          <w:szCs w:val="24"/>
          <w:lang w:val="en-US" w:eastAsia="zh-CN" w:bidi="ar"/>
        </w:rPr>
      </w:pPr>
    </w:p>
    <w:p>
      <w:pPr>
        <w:pStyle w:val="2"/>
        <w:rPr>
          <w:rFonts w:hint="default" w:ascii="宋体" w:hAnsi="宋体" w:eastAsia="宋体" w:cs="宋体"/>
          <w:color w:val="000000"/>
          <w:kern w:val="0"/>
          <w:sz w:val="24"/>
          <w:szCs w:val="24"/>
          <w:lang w:val="en-US" w:eastAsia="zh-CN" w:bidi="ar"/>
        </w:rPr>
      </w:pPr>
    </w:p>
    <w:p>
      <w:pPr>
        <w:rPr>
          <w:rFonts w:hint="eastAsia"/>
          <w:lang w:val="en-US" w:eastAsia="zh-CN"/>
        </w:rPr>
      </w:pPr>
      <w:bookmarkStart w:id="109" w:name="_Toc7951"/>
    </w:p>
    <w:p>
      <w:pPr>
        <w:pStyle w:val="3"/>
        <w:bidi w:val="0"/>
        <w:jc w:val="center"/>
        <w:outlineLvl w:val="0"/>
        <w:rPr>
          <w:rFonts w:hint="eastAsia"/>
          <w:lang w:val="en-US" w:eastAsia="zh-CN"/>
        </w:rPr>
      </w:pPr>
      <w:bookmarkStart w:id="110" w:name="_Toc10160"/>
      <w:r>
        <w:rPr>
          <w:rFonts w:hint="eastAsia"/>
          <w:lang w:val="en-US" w:eastAsia="zh-CN"/>
        </w:rPr>
        <w:t>附录</w:t>
      </w:r>
      <w:bookmarkEnd w:id="109"/>
      <w:bookmarkEnd w:id="110"/>
    </w:p>
    <w:p>
      <w:pPr>
        <w:pStyle w:val="2"/>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除本文应用到的模型与指标外，研究小组还借助了spssau（网址：</w:t>
      </w:r>
      <w:r>
        <w:rPr>
          <w:rStyle w:val="20"/>
          <w:rFonts w:hint="eastAsia" w:ascii="宋体" w:hAnsi="宋体" w:eastAsia="宋体" w:cs="宋体"/>
          <w:sz w:val="24"/>
          <w:szCs w:val="24"/>
          <w:lang w:val="en-US" w:eastAsia="zh-CN"/>
        </w:rPr>
        <w:fldChar w:fldCharType="begin"/>
      </w:r>
      <w:r>
        <w:rPr>
          <w:rStyle w:val="20"/>
          <w:rFonts w:hint="eastAsia" w:ascii="宋体" w:hAnsi="宋体" w:eastAsia="宋体" w:cs="宋体"/>
          <w:sz w:val="24"/>
          <w:szCs w:val="24"/>
          <w:lang w:val="en-US" w:eastAsia="zh-CN"/>
        </w:rPr>
        <w:instrText xml:space="preserve"> HYPERLINK "https://spssau.com/indexs.html）进行数据预分析，建模过程中所获得的原始统计数据" </w:instrText>
      </w:r>
      <w:r>
        <w:rPr>
          <w:rStyle w:val="20"/>
          <w:rFonts w:hint="eastAsia" w:ascii="宋体" w:hAnsi="宋体" w:eastAsia="宋体" w:cs="宋体"/>
          <w:sz w:val="24"/>
          <w:szCs w:val="24"/>
          <w:lang w:val="en-US" w:eastAsia="zh-CN"/>
        </w:rPr>
        <w:fldChar w:fldCharType="separate"/>
      </w:r>
      <w:r>
        <w:rPr>
          <w:rStyle w:val="20"/>
          <w:rFonts w:hint="eastAsia" w:ascii="宋体" w:hAnsi="宋体" w:eastAsia="宋体" w:cs="宋体"/>
          <w:sz w:val="24"/>
          <w:szCs w:val="24"/>
          <w:lang w:val="en-US" w:eastAsia="zh-CN"/>
        </w:rPr>
        <w:t>https://spssau.com/indexs.html）进行数据预分析，本次建模中所用到的统计数据</w:t>
      </w:r>
      <w:r>
        <w:rPr>
          <w:rStyle w:val="20"/>
          <w:rFonts w:hint="eastAsia" w:ascii="宋体" w:hAnsi="宋体" w:eastAsia="宋体" w:cs="宋体"/>
          <w:sz w:val="24"/>
          <w:szCs w:val="24"/>
          <w:lang w:val="en-US" w:eastAsia="zh-CN"/>
        </w:rPr>
        <w:fldChar w:fldCharType="end"/>
      </w:r>
      <w:r>
        <w:rPr>
          <w:rFonts w:hint="eastAsia" w:ascii="宋体" w:hAnsi="宋体" w:eastAsia="宋体" w:cs="宋体"/>
          <w:color w:val="000000"/>
          <w:kern w:val="0"/>
          <w:sz w:val="24"/>
          <w:szCs w:val="24"/>
          <w:lang w:val="en-US" w:eastAsia="zh-CN" w:bidi="ar"/>
        </w:rPr>
        <w:t>表如下所示：</w:t>
      </w:r>
    </w:p>
    <w:p>
      <w:pPr>
        <w:pStyle w:val="2"/>
        <w:jc w:val="both"/>
        <w:rPr>
          <w:rFonts w:hint="eastAsia" w:ascii="宋体" w:hAnsi="宋体" w:eastAsia="宋体" w:cs="宋体"/>
          <w:color w:val="000000"/>
          <w:kern w:val="0"/>
          <w:sz w:val="24"/>
          <w:szCs w:val="24"/>
          <w:lang w:val="en-US" w:eastAsia="zh-CN" w:bidi="ar"/>
        </w:rPr>
      </w:pPr>
    </w:p>
    <w:p>
      <w:pPr>
        <w:pStyle w:val="2"/>
        <w:spacing w:line="240" w:lineRule="auto"/>
        <w:ind w:left="0" w:leftChars="0" w:firstLine="0" w:firstLineChars="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表1 2013-2021年全国中职教育指标数据</w:t>
      </w:r>
    </w:p>
    <w:tbl>
      <w:tblPr>
        <w:tblStyle w:val="14"/>
        <w:tblpPr w:leftFromText="180" w:rightFromText="180" w:vertAnchor="text" w:horzAnchor="page" w:tblpX="873" w:tblpY="602"/>
        <w:tblOverlap w:val="never"/>
        <w:tblW w:w="10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68"/>
        <w:gridCol w:w="984"/>
        <w:gridCol w:w="1728"/>
        <w:gridCol w:w="1548"/>
        <w:gridCol w:w="1572"/>
        <w:gridCol w:w="1248"/>
        <w:gridCol w:w="1188"/>
        <w:gridCol w:w="1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6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年份</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教职工总数</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生师比</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科研仪器</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校舍建筑面积</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教育事业费支出</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在校生数</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职业资格证数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827727</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15.84839687</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10274061.06</w:t>
            </w:r>
          </w:p>
        </w:tc>
        <w:tc>
          <w:tcPr>
            <w:tcW w:w="1572" w:type="dxa"/>
            <w:tcBorders>
              <w:tl2br w:val="nil"/>
              <w:tr2bl w:val="nil"/>
            </w:tcBorders>
            <w:shd w:val="clear" w:color="auto" w:fill="FFFFFF"/>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218262740.2</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17095.26</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13118146</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1934190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803752</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15.77399372</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9669683.78</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212978547</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17446.93</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12678379</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2579124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801482</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15.17396897</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9021418.88</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210523864.3</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17282.42</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12161663</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2839511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799593</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15.17807184</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8443552.5</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210782395.9</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16446.71</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12136280</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2997739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811147</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15.46315649</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7797421.54</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212069097.3</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13272.66</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12542893</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3218321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2016</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821047</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15.53943197</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7094397.43</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212502660.1</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12227.7</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12758604</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3547673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2015</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841495</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15.8674906</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6528462.28</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213114059.5</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10961.07</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13352414</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3813336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2014</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866905</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16.33757678</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6074550.07</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215500935</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9128.83</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14163127</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4032975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2013</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883959</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17.38071788</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5558781.52</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214011336</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8784.64</w:t>
            </w:r>
          </w:p>
        </w:tc>
        <w:tc>
          <w:tcPr>
            <w:tcW w:w="1188" w:type="dxa"/>
            <w:tcBorders>
              <w:tl2br w:val="nil"/>
              <w:tr2bl w:val="nil"/>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15363842</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4336937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平均值</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828567.4444</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15.84031168</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7829147.673</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213305070.6</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13627.35778</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13141705.33</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3255534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2" w:hRule="atLeast"/>
        </w:trPr>
        <w:tc>
          <w:tcPr>
            <w:tcW w:w="10392" w:type="dxa"/>
            <w:gridSpan w:val="8"/>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数据处理结果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年份</w:t>
            </w:r>
          </w:p>
        </w:tc>
        <w:tc>
          <w:tcPr>
            <w:tcW w:w="984"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教职工总数</w:t>
            </w:r>
          </w:p>
        </w:tc>
        <w:tc>
          <w:tcPr>
            <w:tcW w:w="172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生师比</w:t>
            </w:r>
          </w:p>
        </w:tc>
        <w:tc>
          <w:tcPr>
            <w:tcW w:w="154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科研仪器</w:t>
            </w:r>
          </w:p>
        </w:tc>
        <w:tc>
          <w:tcPr>
            <w:tcW w:w="1572"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校舍建筑面积</w:t>
            </w:r>
          </w:p>
        </w:tc>
        <w:tc>
          <w:tcPr>
            <w:tcW w:w="124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教育事业费支出</w:t>
            </w:r>
          </w:p>
        </w:tc>
        <w:tc>
          <w:tcPr>
            <w:tcW w:w="118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在校生数</w:t>
            </w:r>
          </w:p>
        </w:tc>
        <w:tc>
          <w:tcPr>
            <w:tcW w:w="1356"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职业资格证数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1.001015364</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0.999489842</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0.762030479</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0.977285772</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0.79714247</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1.001795935</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1.683151087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1.030874504</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1.004204259</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0.809659121</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1.001533129</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0.781074824</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1.036544603</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1.262263466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1.033794202</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1.043913541</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0.867839946</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1.013210884</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0.788509814</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1.080584566</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1.146512199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1.036236491</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1.043631355</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0.927233848</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1.011968147</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0.828576522</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1.082844606</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1.085996479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1.02147631</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1.024390569</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1.004068798</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1.005828163</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1.026723941</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1.047741166</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1.011562862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2016</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1.009159578</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1.019362337</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1.103567674</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1.003776002</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1.114466153</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1.030026901</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0.917653346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2015</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0.984637395</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0.998287132</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1.199233041</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1.000896286</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1.243250684</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0.984219433</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0.853723354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2014</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0.95577652</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0.969563106</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1.288844043</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0.989810418</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1.492782512</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0.927881628</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0.807228907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3" w:hRule="atLeast"/>
        </w:trPr>
        <w:tc>
          <w:tcPr>
            <w:tcW w:w="768" w:type="dxa"/>
            <w:tcBorders>
              <w:tl2br w:val="nil"/>
              <w:tr2bl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2013</w:t>
            </w:r>
          </w:p>
        </w:tc>
        <w:tc>
          <w:tcPr>
            <w:tcW w:w="984"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0.937336963</w:t>
            </w:r>
          </w:p>
        </w:tc>
        <w:tc>
          <w:tcPr>
            <w:tcW w:w="172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0.911372694</w:t>
            </w:r>
          </w:p>
        </w:tc>
        <w:tc>
          <w:tcPr>
            <w:tcW w:w="15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1.408428744</w:t>
            </w:r>
          </w:p>
        </w:tc>
        <w:tc>
          <w:tcPr>
            <w:tcW w:w="1572"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0.996699869</w:t>
            </w:r>
          </w:p>
        </w:tc>
        <w:tc>
          <w:tcPr>
            <w:tcW w:w="124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1.551271057</w:t>
            </w:r>
          </w:p>
        </w:tc>
        <w:tc>
          <w:tcPr>
            <w:tcW w:w="1188"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0.855365821</w:t>
            </w:r>
          </w:p>
        </w:tc>
        <w:tc>
          <w:tcPr>
            <w:tcW w:w="1356" w:type="dxa"/>
            <w:tcBorders>
              <w:tl2br w:val="nil"/>
              <w:tr2bl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0.750652822</w:t>
            </w:r>
          </w:p>
        </w:tc>
      </w:tr>
    </w:tbl>
    <w:p>
      <w:pPr>
        <w:pStyle w:val="2"/>
        <w:ind w:left="0" w:leftChars="0" w:firstLine="0" w:firstLineChars="0"/>
        <w:jc w:val="center"/>
        <w:rPr>
          <w:rFonts w:hint="eastAsia" w:ascii="宋体" w:hAnsi="宋体" w:eastAsia="宋体" w:cs="宋体"/>
          <w:color w:val="000000"/>
          <w:kern w:val="0"/>
          <w:sz w:val="24"/>
          <w:szCs w:val="24"/>
          <w:lang w:val="en-US" w:eastAsia="zh-CN" w:bidi="ar"/>
        </w:rPr>
      </w:pPr>
    </w:p>
    <w:p>
      <w:pPr>
        <w:pStyle w:val="2"/>
        <w:ind w:left="0" w:leftChars="0" w:firstLine="0" w:firstLineChars="0"/>
        <w:jc w:val="center"/>
        <w:rPr>
          <w:rFonts w:hint="eastAsia" w:ascii="宋体" w:hAnsi="宋体" w:eastAsia="宋体" w:cs="宋体"/>
          <w:color w:val="000000"/>
          <w:kern w:val="0"/>
          <w:sz w:val="24"/>
          <w:szCs w:val="24"/>
          <w:lang w:val="en-US" w:eastAsia="zh-CN" w:bidi="ar"/>
        </w:rPr>
      </w:pPr>
    </w:p>
    <w:p>
      <w:pPr>
        <w:pStyle w:val="2"/>
        <w:ind w:left="0" w:leftChars="0" w:firstLine="0" w:firstLineChars="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表2 2017-2021各省中职教育指标数据</w:t>
      </w:r>
      <w:bookmarkStart w:id="111" w:name="_GoBack"/>
      <w:bookmarkEnd w:id="111"/>
      <w:r>
        <w:rPr>
          <w:rFonts w:hint="eastAsia" w:ascii="宋体" w:hAnsi="宋体" w:eastAsia="宋体" w:cs="宋体"/>
          <w:color w:val="000000"/>
          <w:kern w:val="0"/>
          <w:sz w:val="24"/>
          <w:szCs w:val="24"/>
          <w:lang w:val="en-US" w:eastAsia="zh-CN" w:bidi="ar"/>
        </w:rPr>
        <w:t xml:space="preserve"> </w:t>
      </w:r>
    </w:p>
    <w:p>
      <w:pPr>
        <w:pStyle w:val="2"/>
        <w:ind w:left="0" w:leftChars="0" w:firstLine="0" w:firstLineChars="0"/>
        <w:jc w:val="center"/>
        <w:rPr>
          <w:rFonts w:hint="default" w:ascii="宋体" w:hAnsi="宋体" w:eastAsia="宋体" w:cs="宋体"/>
          <w:color w:val="000000"/>
          <w:kern w:val="0"/>
          <w:sz w:val="24"/>
          <w:szCs w:val="24"/>
          <w:lang w:val="en-US" w:eastAsia="zh-CN" w:bidi="ar"/>
        </w:rPr>
      </w:pPr>
    </w:p>
    <w:p>
      <w:pPr>
        <w:pStyle w:val="2"/>
        <w:ind w:left="0" w:leftChars="0" w:firstLine="0" w:firstLineChars="0"/>
        <w:rPr>
          <w:rFonts w:hint="eastAsia" w:ascii="宋体" w:hAnsi="宋体" w:eastAsia="宋体" w:cs="宋体"/>
          <w:color w:val="000000"/>
          <w:kern w:val="0"/>
          <w:sz w:val="24"/>
          <w:szCs w:val="24"/>
          <w:lang w:val="en-US" w:eastAsia="zh-CN" w:bidi="ar"/>
        </w:rPr>
      </w:pPr>
    </w:p>
    <w:tbl>
      <w:tblPr>
        <w:tblStyle w:val="14"/>
        <w:tblW w:w="10404" w:type="dxa"/>
        <w:tblInd w:w="-93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28"/>
        <w:gridCol w:w="892"/>
        <w:gridCol w:w="1644"/>
        <w:gridCol w:w="1380"/>
        <w:gridCol w:w="1620"/>
        <w:gridCol w:w="1356"/>
        <w:gridCol w:w="1164"/>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Style w:val="21"/>
                <w:rFonts w:hint="eastAsia" w:ascii="宋体" w:hAnsi="宋体" w:eastAsia="宋体" w:cs="宋体"/>
                <w:sz w:val="24"/>
                <w:szCs w:val="24"/>
                <w:lang w:val="en-US" w:eastAsia="zh-CN" w:bidi="ar"/>
              </w:rPr>
              <w:t xml:space="preserve">        </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教职工总数</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生师比</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科研仪器</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校舍建筑面积</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教育事业费支出</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在校生数</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职业资格证数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北京</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8621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5.571047442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340114.03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2215643.3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72116.02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48028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8928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5.194444444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336446.31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2348971.06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68451.66</w:t>
            </w:r>
          </w:p>
        </w:tc>
        <w:tc>
          <w:tcPr>
            <w:tcW w:w="116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46376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7759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9322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5.29457198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329546.55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2364298.69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69775.68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49356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9507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6.552960976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318991.49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2374730.69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57992.24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62299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9824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7.584588762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311461.62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2486314.39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57664.85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74511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天津</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7366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10.87659517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134773.27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1396063.68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25075.91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80117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11518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7541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10.39517305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134519.87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1435606.94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23422.83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78390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19264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7972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10.1532865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131089.12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1519622.18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26011.87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80942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8077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11.22520738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113528.84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1590068.28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25528.26</w:t>
            </w:r>
          </w:p>
        </w:tc>
        <w:tc>
          <w:tcPr>
            <w:tcW w:w="1164"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90666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8421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11.68685429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98306.05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1731191.95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25193.25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98415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23553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河北</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65294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13.94841793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419091.94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12204784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16220.53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910748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150655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62927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13.31471387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134519.87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11350080.92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15616.98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837855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198578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60704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12.76075712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338404.26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10875940.24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18861.9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774629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184967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59202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12.23407993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321789.7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10335936.54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17388.05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724282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167024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58789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12.01188998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307811.72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10567612.35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16036.44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706167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160310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山西</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30348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10.61328588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257918.84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7164894.59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16989.29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322092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73768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29490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10.21380129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228349.15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6996344.49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17802.56</w:t>
            </w:r>
          </w:p>
        </w:tc>
        <w:tc>
          <w:tcPr>
            <w:tcW w:w="116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301205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81645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29157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10.1750523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220293.42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6833955.77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18460.89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296674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91546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29445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10.26004415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215294.52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7093922.74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17959.65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302107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96798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31852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10.33815773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199910.94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7271496.63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15625.24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329291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97569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内蒙古</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17604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10.14928425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213369.84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3607118.93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23563.15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178668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17941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9.779053564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200580.9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3540773.08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21021.61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175446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18195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9.262764496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177671.75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3607336.39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21666.25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168536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31533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18192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9.976253298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166816.45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3556609.32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20117.85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181488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34780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18480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10.42316017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164125.68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3594374.85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18516.88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192620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46608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辽宁</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25364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10.55188456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271949.64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4479487.87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16081.64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267638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24094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25157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10.19553206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264385.11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4598157.57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15479.02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256489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43924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25604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10.35342134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261016.04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4857599.48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17407.16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265089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50529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26514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10.79033718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242295.94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5016468.26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15069.25</w:t>
            </w:r>
          </w:p>
        </w:tc>
        <w:tc>
          <w:tcPr>
            <w:tcW w:w="1164"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286095</w:t>
            </w:r>
          </w:p>
        </w:tc>
        <w:tc>
          <w:tcPr>
            <w:tcW w:w="1620"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54666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27464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11.4471672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224815.2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5192948.35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13677.29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314385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62861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吉林</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17483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7.497511869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166994.35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2122709.89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22036.45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131079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17673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6.728625587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157909.02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2228608.47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23239.53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118915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18289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6.444474821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148900.24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2312626.7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27264.52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117863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17636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17583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6.875789114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130581.45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2147885.26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27971.28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120897</w:t>
            </w:r>
          </w:p>
        </w:tc>
        <w:tc>
          <w:tcPr>
            <w:tcW w:w="1620"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17724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7.434777703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118110.38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2530802.28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27871.91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131774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黑龙江</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16496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10.7132032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153008.14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2691207.26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21307.44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176725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16279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16798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9.73639719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147428.79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2636289.49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20020.73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163552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17054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9.832766506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137227.83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2589991.39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20333.28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167688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18249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18480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9.761904762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131668.01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2806371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18431.05</w:t>
            </w:r>
          </w:p>
        </w:tc>
        <w:tc>
          <w:tcPr>
            <w:tcW w:w="1164"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180400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44729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19349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10.53429118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122315.92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2952586.02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17549.85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203828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11667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9.334619011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547144.73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2759620.46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62202.8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108907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15151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11350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9.230837004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516669.14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2838512.36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37337.85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104770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24747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11722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8.529175909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481841.6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2873748.8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60507.94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99979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26911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11947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8.585837449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432641.6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2862808.6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56146.03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102575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12289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8.634551225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388977.39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2862165.74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52278.17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106110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江苏</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52823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12.13834883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849965.15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16323937.16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21102.88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641184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120023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50639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12.33168112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785241.51</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16017464.95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19928.07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624464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172596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50609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12.28101721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720831.52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15892724.75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20131.46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621530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175617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50137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12.48602828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667343.72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16006335.4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19034.09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626012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179215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50288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12.95466115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646147.06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16246247.58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17778.19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651464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196727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浙江</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41525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13.39046358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646846.96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11389449.87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27749.26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556039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130864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40539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14.0378401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638766.62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11728656.6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24204.22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569080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155541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39836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13.60744051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581249.43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11193650.3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26260.31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542066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161622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38628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13.6201719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538544.52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10895865.06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24879.67</w:t>
            </w:r>
          </w:p>
        </w:tc>
        <w:tc>
          <w:tcPr>
            <w:tcW w:w="1164"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526120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163466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38324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13.87929235</w:t>
            </w:r>
          </w:p>
        </w:tc>
        <w:tc>
          <w:tcPr>
            <w:tcW w:w="1380"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487955.05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10844414.5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22500.46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531910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155182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安徽</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35082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21.43948464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464919.51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15896166.28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14888.45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752140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33762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23.43303122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412762.54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15656333.65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13173.47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791146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190796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32768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22.90994263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366167.78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14644516.32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15609.7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750713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207708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32291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23.31330711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355644.61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14869867.59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14839.15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752810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33157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22.94152064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345751.21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15503768.11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13123.28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760672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247163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福建</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21036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17.84402928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336761.03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6312320.25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18592.13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375367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53805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20094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17.82074251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316513.18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5784046.38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16741.55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358090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79712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19928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16.80178643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301602.69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5423769.122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20530.16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334826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97549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19629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17.10897142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283840.29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5296392.24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20718.53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335832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97232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19813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17.43804573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255013.38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5259020.41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19620.65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345500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109951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江西</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23413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22.17409132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268346.95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7373675.13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14599.46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519162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20905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21.31035637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212954.82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6522977.03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14254.08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445493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34738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19701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19.56717933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185056.71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5782324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14683.26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385493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105329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17758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19.99335511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174911.51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5537181.13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14376.94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355042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102514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17235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19.97928634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153286.34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5327284.04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11522.2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344343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52639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山东</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60026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13.97967547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695879.24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15996381.25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18924.71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839144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91898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58824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13.21596627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664536.5</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15085877.56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16707.52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777416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134605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58249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12.54036979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612357.2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14858231.92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19022.99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730464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164970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59304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12.64909618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587801.57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15601385.95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18182.65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750142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180701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60408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13.13331016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531365.35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15989598.91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16787.36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793357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206220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河南</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57525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20.51356801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421418.53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14070559.98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9086.79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1180043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164577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56209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20.45375296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386309.4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14172750.15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8827.44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1149685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202421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58995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18.82595135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374784.62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14757118.86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10233.6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1110637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219728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60030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18.3508579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374059.02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15025525.15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10249.32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1101602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229460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62705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16.98797544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335481.73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14994596.79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9389.57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1065231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249485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湖北</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27024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16.3267466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302836.65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8021141.5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15802.69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441214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26002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16.16521806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279399.61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7716729.44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16193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420328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85869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25951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15.10192285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255036.33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7833015.95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15489.44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391910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83438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25937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14.24312758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232076.74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8002696.62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15992.25</w:t>
            </w:r>
          </w:p>
        </w:tc>
        <w:tc>
          <w:tcPr>
            <w:tcW w:w="1164"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369424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89694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26595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13.95773642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202064.74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8078618.03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16551.53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371206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94647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湖南</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43575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17.13257602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398019.82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11227590.4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14836.41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746552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128403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40486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16.86881885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373011.17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10677652.34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12429.85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682951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154130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39075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17.14630838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332787.75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10194564.56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13904.02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669992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161591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36678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17.94593489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288760.27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9300033.02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12380.55</w:t>
            </w:r>
          </w:p>
        </w:tc>
        <w:tc>
          <w:tcPr>
            <w:tcW w:w="1164"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658221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34447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19.92820855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258311.38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8682743.35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11464.12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686467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159209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广东</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57214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15.78370679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872452.68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12881834.65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20743.52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903049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154005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55946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15.49406571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873480.47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13208754.88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18908.31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866831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173277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56252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15.28244329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826466.47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13230560.09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19872.37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859668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185207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56750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15.28200881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784719.29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13380558.41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17961.78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867254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231492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58112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17.10231966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746391.93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13929598.1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15994.28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993850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232485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广西</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27724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24.92111528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469104.92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8118030.55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10918.91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690913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85233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26867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26.05017307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450676.32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7849580.97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9817.15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699890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102092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27023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25.17433298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431675.88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8020113.28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11446.29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680286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113794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27407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24.7217864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398003.99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8470396.96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10672.02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677550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111712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28095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24.44552411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356143.78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8074436.63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10656.33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686797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131593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海南</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5050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24.01108911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98686.5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1406532.32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13253.86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121256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5653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21.81832655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103115.05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1587589.88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12977.33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123339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9164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6034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19.44199536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110045.16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1705723.86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15436.3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117313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10802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6293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18.94819641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103987.28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1723562.6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14623.72</w:t>
            </w:r>
          </w:p>
        </w:tc>
        <w:tc>
          <w:tcPr>
            <w:tcW w:w="1164"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119241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6378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18.62950768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79460.8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1710153.02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13893.77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118819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重庆</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19738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18.45176816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243104.24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5525964.77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14784.31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364201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18573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18.43423249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227711.11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5831887.96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12879.8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342379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69568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18190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17.43831776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213013.79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5999778.58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14036.62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317203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71461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17979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16.68107236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204949.06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6601134.6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13268.34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299909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72003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18156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16.97796872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199177.17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6651726.02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11611.95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308252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78360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四川</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49987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17.45073719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480501.17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12299819.22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13660.75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872310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143691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47261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17.28975265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440005.05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11392978.63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13137.15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817131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236981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47098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16.90286212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408649.78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11344098.34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13759.41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796091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269076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48342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16.96371685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389344.36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11557732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12402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820060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292927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48804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17.62177281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369460.51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11430597.16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11402.2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860013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329562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贵州</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20617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19.28093321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236053.89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7611151.39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8789.75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397515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66780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20046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20.13234561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231236.5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7583640.22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7977.93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403573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86762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20976</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20.88677536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225557.19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7748363.92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8846.18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438121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94041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21003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22.48164548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222029.99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7587988.08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7635.91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472182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107925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21839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23.0375933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206353.62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7508004.34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7770.97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503118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122463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云南</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24347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2.384614121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252643.2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7333087.1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13268.8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550892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56876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24860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0.44118745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240031.48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6833843.01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12308.71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599212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103444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23948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21.43110072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230823.45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6615303.13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12608.46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513232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24941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20.26442404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210797.1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6262007.77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12670.68</w:t>
            </w:r>
          </w:p>
        </w:tc>
        <w:tc>
          <w:tcPr>
            <w:tcW w:w="1164" w:type="dxa"/>
            <w:tcBorders>
              <w:top w:val="single" w:color="auto" w:sz="4" w:space="0"/>
              <w:left w:val="single" w:color="auto" w:sz="4" w:space="0"/>
              <w:bottom w:val="single" w:color="auto" w:sz="4" w:space="0"/>
              <w:right w:val="single" w:color="auto" w:sz="4" w:space="0"/>
            </w:tcBorders>
            <w:shd w:val="clear" w:color="auto" w:fill="FFFFFF"/>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505415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91732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26342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19.01962645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183751.04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6169565.54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11752.73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501015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西藏</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2645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12.55047259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28725.94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909657.94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41306.52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33196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2668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12.03898051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24490.31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868375.52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31006.09</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32120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1905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13.3343832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23849.12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690486.43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48928.38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25402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1869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12.20813269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22970.78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655448.94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53705.74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22817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1631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11.83323115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21675.79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540863.75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58058.2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19300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陕西</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20961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14.16893278</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156916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4813487.67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14117.67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296995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19741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14.17288891</w:t>
            </w: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147216.97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4869212.96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13498.43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279787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49960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18900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13.62587302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142642.14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5132065.4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13764.53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257529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51756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18590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12.55169446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138027.53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4910303.97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12861.45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233336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63690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18671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14.03974077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142353.59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5200724.61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10967.92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262136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75713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甘肃</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4"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15817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12.78219637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157277.26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3774005.8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18217.16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202176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15824</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12.29783873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145159.78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3685001.2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16279.74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194601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42280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16153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11.56026744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124925.98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3617114.54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18496.11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186733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47652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16877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11.20139835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122217.7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3928051.35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18710.07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189046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50991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16659</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11.63689297</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97669.26</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3575014.61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15354.08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193859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60848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青海</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2778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32.07991361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113226.57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1094005.29</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18585.13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89118</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2827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30.39334984</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105050.29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1128840.08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18391.65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85922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2920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27.95239726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82007.37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1144137.38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21444.76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81621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11143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2940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26.18333333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64194.13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1120486.77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15715.03</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76979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3041</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24.67839526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58625.44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1102896.02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18758.85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75047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12851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宁夏</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3950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18.92202532</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84487.72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1725781.78</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15365.67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76339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3733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63.94160193</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71062.87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1582450.16</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15890.81</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75524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3702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20.16207455</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69533.91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1643370.45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15981.77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74640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13766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3605</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20.19972261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61408.35</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1619312.2</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15938.47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72820</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14721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3482</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21.46524986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53225.43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1504879.03</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15229.52</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74742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19452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新疆</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2021</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14627</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16.77302249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191522.33</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5516629.94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17672.4</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245339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29721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2020</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14488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17.69871618</w:t>
            </w:r>
          </w:p>
        </w:tc>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187929.04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5220559.04</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14627.97</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256419</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37217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2019</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15250</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16.74996721</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176363.81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5217713.47</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15908.35</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255437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37289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2018</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13658</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18.57204569</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144312.71</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4645329.41</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14707.26</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253657</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47120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72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2017</w:t>
            </w:r>
          </w:p>
        </w:tc>
        <w:tc>
          <w:tcPr>
            <w:tcW w:w="89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12773</w:t>
            </w:r>
          </w:p>
        </w:tc>
        <w:tc>
          <w:tcPr>
            <w:tcW w:w="16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18.68738746</w:t>
            </w:r>
          </w:p>
        </w:tc>
        <w:tc>
          <w:tcPr>
            <w:tcW w:w="138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131922.02</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4554854.15</w:t>
            </w:r>
          </w:p>
        </w:tc>
        <w:tc>
          <w:tcPr>
            <w:tcW w:w="135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14758.08</w:t>
            </w:r>
          </w:p>
        </w:tc>
        <w:tc>
          <w:tcPr>
            <w:tcW w:w="116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238694</w:t>
            </w:r>
          </w:p>
        </w:tc>
        <w:tc>
          <w:tcPr>
            <w:tcW w:w="162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47649</w:t>
            </w:r>
          </w:p>
        </w:tc>
      </w:tr>
    </w:tbl>
    <w:p>
      <w:pPr>
        <w:pStyle w:val="2"/>
        <w:spacing w:line="240" w:lineRule="auto"/>
        <w:ind w:left="0" w:leftChars="0" w:firstLine="0" w:firstLineChars="0"/>
        <w:rPr>
          <w:rFonts w:hint="default" w:ascii="宋体" w:hAnsi="宋体" w:eastAsia="宋体" w:cs="宋体"/>
          <w:color w:val="000000"/>
          <w:kern w:val="0"/>
          <w:sz w:val="24"/>
          <w:szCs w:val="24"/>
          <w:lang w:val="en-US" w:eastAsia="zh-CN" w:bidi="ar"/>
        </w:rPr>
      </w:pPr>
    </w:p>
    <w:sectPr>
      <w:pgSz w:w="11906" w:h="16838"/>
      <w:pgMar w:top="1440" w:right="1797" w:bottom="1440" w:left="1797" w:header="851" w:footer="992" w:gutter="0"/>
      <w:pgBorders>
        <w:top w:val="single" w:color="auto" w:sz="4" w:space="1"/>
        <w:left w:val="none" w:sz="0" w:space="0"/>
        <w:bottom w:val="single" w:color="auto" w:sz="4" w:space="1"/>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隶书">
    <w:panose1 w:val="02010509060101010101"/>
    <w:charset w:val="86"/>
    <w:family w:val="modern"/>
    <w:pitch w:val="default"/>
    <w:sig w:usb0="00000001" w:usb1="080E0000" w:usb2="00000000" w:usb3="00000000" w:csb0="00040000" w:csb1="00000000"/>
  </w:font>
  <w:font w:name="方正小标宋_GBK">
    <w:altName w:val="微软雅黑"/>
    <w:panose1 w:val="02000000000000000000"/>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方正小标宋简体">
    <w:altName w:val="方正舒体"/>
    <w:panose1 w:val="02000000000000000000"/>
    <w:charset w:val="86"/>
    <w:family w:val="auto"/>
    <w:pitch w:val="default"/>
    <w:sig w:usb0="00000000" w:usb1="00000000" w:usb2="00000012"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153"/>
      </w:tabs>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0lY7tAAAAAFAQAADwAAAAAAAAABACAAAAAiAAAAZHJzL2Rvd25yZXYueG1sUEsBAhQAFAAA&#10;AAgAh07iQDp+ypgwAgAAYwQAAA4AAAAAAAAAAQAgAAAAHwEAAGRycy9lMm9Eb2MueG1sUEsFBgAA&#10;AAAGAAYAWQEAAME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DTdpAzAgAAYwQAAA4AAABkcnMvZTJvRG9jLnhtbK1UzY7TMBC+I/EO&#10;lu80aWFX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69oU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LDTdpAzAgAAYwQAAA4AAAAAAAAAAQAgAAAAHwEAAGRycy9lMm9Eb2MueG1sUEsF&#10;BgAAAAAGAAYAWQEAAMQFAAAAAA==&#10;">
              <v:fill on="f" focussize="0,0"/>
              <v:stroke on="f" weight="0.5pt"/>
              <v:imagedata o:title=""/>
              <o:lock v:ext="edit" aspectratio="f"/>
              <v:textbox inset="0mm,0mm,0mm,0mm" style="mso-fit-shape-to-text:t;">
                <w:txbxContent>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J74X8zAgAAYw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ryd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PJ74X8zAgAAYwQAAA4AAAAAAAAAAQAgAAAAHwEAAGRycy9lMm9Eb2MueG1sUEsF&#10;BgAAAAAGAAYAWQEAAMQFAAAAAA==&#10;">
              <v:fill on="f" focussize="0,0"/>
              <v:stroke on="f" weight="0.5pt"/>
              <v:imagedata o:title=""/>
              <o:lock v:ext="edit" aspectratio="f"/>
              <v:textbox inset="0mm,0mm,0mm,0mm" style="mso-fit-shape-to-text:t;">
                <w:txbxContent>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none" w:color="auto" w:sz="0" w:space="0"/>
        <w:left w:val="none" w:color="auto" w:sz="0" w:space="0"/>
        <w:bottom w:val="none" w:color="auto" w:sz="0" w:space="1"/>
        <w:right w:val="none" w:color="auto" w:sz="0" w:space="0"/>
        <w:between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xNDRkMzg4YzdjNDY4MDExZDMyNjBkNjAwODUzNzIifQ=="/>
  </w:docVars>
  <w:rsids>
    <w:rsidRoot w:val="3D3C62F1"/>
    <w:rsid w:val="00045ADB"/>
    <w:rsid w:val="006F128B"/>
    <w:rsid w:val="007A2020"/>
    <w:rsid w:val="00CD3536"/>
    <w:rsid w:val="00E90A6C"/>
    <w:rsid w:val="01BC48C3"/>
    <w:rsid w:val="027A5940"/>
    <w:rsid w:val="02987070"/>
    <w:rsid w:val="02E05800"/>
    <w:rsid w:val="03CC07A2"/>
    <w:rsid w:val="040354C1"/>
    <w:rsid w:val="04051239"/>
    <w:rsid w:val="043F3EEC"/>
    <w:rsid w:val="04850756"/>
    <w:rsid w:val="04A0060D"/>
    <w:rsid w:val="053C3524"/>
    <w:rsid w:val="05697348"/>
    <w:rsid w:val="061500F8"/>
    <w:rsid w:val="067F1777"/>
    <w:rsid w:val="0882554E"/>
    <w:rsid w:val="08D833C0"/>
    <w:rsid w:val="08DD4532"/>
    <w:rsid w:val="09EF2671"/>
    <w:rsid w:val="0A69272D"/>
    <w:rsid w:val="0B304DED"/>
    <w:rsid w:val="0B5136FF"/>
    <w:rsid w:val="0B523F94"/>
    <w:rsid w:val="0B564AC6"/>
    <w:rsid w:val="0CB93942"/>
    <w:rsid w:val="0CD93263"/>
    <w:rsid w:val="0CEA0937"/>
    <w:rsid w:val="0DB846FD"/>
    <w:rsid w:val="0E04740F"/>
    <w:rsid w:val="0E3A0D47"/>
    <w:rsid w:val="0E3F3599"/>
    <w:rsid w:val="0E5A0711"/>
    <w:rsid w:val="0E89077F"/>
    <w:rsid w:val="0EE83E79"/>
    <w:rsid w:val="10CD30DE"/>
    <w:rsid w:val="11577B17"/>
    <w:rsid w:val="126006AE"/>
    <w:rsid w:val="13250FB0"/>
    <w:rsid w:val="13373D29"/>
    <w:rsid w:val="134E0103"/>
    <w:rsid w:val="135A630C"/>
    <w:rsid w:val="13C95DDF"/>
    <w:rsid w:val="1527393E"/>
    <w:rsid w:val="15877D00"/>
    <w:rsid w:val="15C50828"/>
    <w:rsid w:val="16DF42FA"/>
    <w:rsid w:val="17093BC9"/>
    <w:rsid w:val="171531FB"/>
    <w:rsid w:val="17BD3A8B"/>
    <w:rsid w:val="17F829AF"/>
    <w:rsid w:val="183D4FEE"/>
    <w:rsid w:val="1A6A0EBB"/>
    <w:rsid w:val="1A7F3E24"/>
    <w:rsid w:val="1AC265D8"/>
    <w:rsid w:val="1B2D30F7"/>
    <w:rsid w:val="1B607D62"/>
    <w:rsid w:val="1C221494"/>
    <w:rsid w:val="1C735482"/>
    <w:rsid w:val="1D8F16F3"/>
    <w:rsid w:val="1E62130A"/>
    <w:rsid w:val="1EE41F6C"/>
    <w:rsid w:val="1F107771"/>
    <w:rsid w:val="205C2B53"/>
    <w:rsid w:val="209150AE"/>
    <w:rsid w:val="20C75D9C"/>
    <w:rsid w:val="20F34A91"/>
    <w:rsid w:val="21997739"/>
    <w:rsid w:val="22292C78"/>
    <w:rsid w:val="223E5468"/>
    <w:rsid w:val="23A45F21"/>
    <w:rsid w:val="25A16BBC"/>
    <w:rsid w:val="26551754"/>
    <w:rsid w:val="268D5107"/>
    <w:rsid w:val="26BF775F"/>
    <w:rsid w:val="27767BD4"/>
    <w:rsid w:val="27F93E1B"/>
    <w:rsid w:val="28A10C81"/>
    <w:rsid w:val="28B60BD0"/>
    <w:rsid w:val="29627907"/>
    <w:rsid w:val="29BB6F90"/>
    <w:rsid w:val="2A39180B"/>
    <w:rsid w:val="2A4A0F51"/>
    <w:rsid w:val="2B3D7387"/>
    <w:rsid w:val="2C9B7ADD"/>
    <w:rsid w:val="2D3E43D9"/>
    <w:rsid w:val="2D692A9D"/>
    <w:rsid w:val="2E3A2D78"/>
    <w:rsid w:val="2E474078"/>
    <w:rsid w:val="2E4C5B33"/>
    <w:rsid w:val="2E6A7D67"/>
    <w:rsid w:val="2E76670C"/>
    <w:rsid w:val="2F670DFE"/>
    <w:rsid w:val="2FEC3129"/>
    <w:rsid w:val="309335A5"/>
    <w:rsid w:val="30A17F98"/>
    <w:rsid w:val="31102E48"/>
    <w:rsid w:val="31BB1005"/>
    <w:rsid w:val="320F4299"/>
    <w:rsid w:val="32230959"/>
    <w:rsid w:val="32943604"/>
    <w:rsid w:val="33925D96"/>
    <w:rsid w:val="34264730"/>
    <w:rsid w:val="343D48CA"/>
    <w:rsid w:val="34CC7014"/>
    <w:rsid w:val="35225BD7"/>
    <w:rsid w:val="35466E38"/>
    <w:rsid w:val="35B04BF9"/>
    <w:rsid w:val="35F30A6F"/>
    <w:rsid w:val="35F9034E"/>
    <w:rsid w:val="36BF3346"/>
    <w:rsid w:val="36FF3742"/>
    <w:rsid w:val="39FE4837"/>
    <w:rsid w:val="3ABF4072"/>
    <w:rsid w:val="3B242F1F"/>
    <w:rsid w:val="3BC92571"/>
    <w:rsid w:val="3C15060C"/>
    <w:rsid w:val="3C683B38"/>
    <w:rsid w:val="3C683C2C"/>
    <w:rsid w:val="3C830972"/>
    <w:rsid w:val="3CD45671"/>
    <w:rsid w:val="3D3C62F1"/>
    <w:rsid w:val="3D632551"/>
    <w:rsid w:val="3E2E5A79"/>
    <w:rsid w:val="3E3127CE"/>
    <w:rsid w:val="3F1F1178"/>
    <w:rsid w:val="40073668"/>
    <w:rsid w:val="40207CD9"/>
    <w:rsid w:val="4041301D"/>
    <w:rsid w:val="404F181C"/>
    <w:rsid w:val="40667C89"/>
    <w:rsid w:val="408E3D89"/>
    <w:rsid w:val="41970A1B"/>
    <w:rsid w:val="427A6B3A"/>
    <w:rsid w:val="42BA6B2B"/>
    <w:rsid w:val="43197030"/>
    <w:rsid w:val="44B244EA"/>
    <w:rsid w:val="4614088C"/>
    <w:rsid w:val="46991C9B"/>
    <w:rsid w:val="46A16C6C"/>
    <w:rsid w:val="4721575D"/>
    <w:rsid w:val="47215957"/>
    <w:rsid w:val="47395D01"/>
    <w:rsid w:val="48D07D3F"/>
    <w:rsid w:val="48EB08C3"/>
    <w:rsid w:val="496D6134"/>
    <w:rsid w:val="49BA7540"/>
    <w:rsid w:val="49D51101"/>
    <w:rsid w:val="49F6359B"/>
    <w:rsid w:val="4A062BE2"/>
    <w:rsid w:val="4A253068"/>
    <w:rsid w:val="4CBE6125"/>
    <w:rsid w:val="4CD82614"/>
    <w:rsid w:val="4E366A62"/>
    <w:rsid w:val="4E3A4E87"/>
    <w:rsid w:val="4EA74993"/>
    <w:rsid w:val="4FB01B8D"/>
    <w:rsid w:val="4FCD042A"/>
    <w:rsid w:val="502C20BC"/>
    <w:rsid w:val="51AC48EC"/>
    <w:rsid w:val="52B256B5"/>
    <w:rsid w:val="52D32EF5"/>
    <w:rsid w:val="53A019B1"/>
    <w:rsid w:val="53E2021C"/>
    <w:rsid w:val="5420040B"/>
    <w:rsid w:val="54756E52"/>
    <w:rsid w:val="566B44F9"/>
    <w:rsid w:val="57541431"/>
    <w:rsid w:val="57A26B81"/>
    <w:rsid w:val="57B840D4"/>
    <w:rsid w:val="589D0FF8"/>
    <w:rsid w:val="591043AD"/>
    <w:rsid w:val="5A31112E"/>
    <w:rsid w:val="5A7D0C9E"/>
    <w:rsid w:val="5BD1630F"/>
    <w:rsid w:val="5BE60685"/>
    <w:rsid w:val="5BF907F8"/>
    <w:rsid w:val="5C340679"/>
    <w:rsid w:val="5C405C0D"/>
    <w:rsid w:val="5CF07506"/>
    <w:rsid w:val="5D015BB7"/>
    <w:rsid w:val="5D825EEF"/>
    <w:rsid w:val="5DE6548E"/>
    <w:rsid w:val="5F443B39"/>
    <w:rsid w:val="5FCF78A6"/>
    <w:rsid w:val="6035022A"/>
    <w:rsid w:val="607629D0"/>
    <w:rsid w:val="60981382"/>
    <w:rsid w:val="60BD51CB"/>
    <w:rsid w:val="615139B3"/>
    <w:rsid w:val="61996579"/>
    <w:rsid w:val="61B37CD9"/>
    <w:rsid w:val="61E1636B"/>
    <w:rsid w:val="62901C5C"/>
    <w:rsid w:val="62985977"/>
    <w:rsid w:val="63506A17"/>
    <w:rsid w:val="64813139"/>
    <w:rsid w:val="64957EB7"/>
    <w:rsid w:val="6759214B"/>
    <w:rsid w:val="67955879"/>
    <w:rsid w:val="67B74A0C"/>
    <w:rsid w:val="682B3AE8"/>
    <w:rsid w:val="69513A22"/>
    <w:rsid w:val="69C064B2"/>
    <w:rsid w:val="6A21367E"/>
    <w:rsid w:val="6AA10091"/>
    <w:rsid w:val="6AF503DD"/>
    <w:rsid w:val="6AF8564F"/>
    <w:rsid w:val="6B776465"/>
    <w:rsid w:val="6BAD3293"/>
    <w:rsid w:val="6C8F4E2F"/>
    <w:rsid w:val="6C9B1D8D"/>
    <w:rsid w:val="6D605FE2"/>
    <w:rsid w:val="6DB14A8F"/>
    <w:rsid w:val="6E6659AE"/>
    <w:rsid w:val="6E7C5C89"/>
    <w:rsid w:val="6ECB7DD2"/>
    <w:rsid w:val="6F0B6B39"/>
    <w:rsid w:val="70153C4F"/>
    <w:rsid w:val="70455D70"/>
    <w:rsid w:val="70BB79D3"/>
    <w:rsid w:val="70E64A50"/>
    <w:rsid w:val="7122497D"/>
    <w:rsid w:val="722E4F10"/>
    <w:rsid w:val="730168F4"/>
    <w:rsid w:val="733C1EAE"/>
    <w:rsid w:val="733C4DFB"/>
    <w:rsid w:val="73BB6668"/>
    <w:rsid w:val="74AB05FB"/>
    <w:rsid w:val="752913AF"/>
    <w:rsid w:val="753B6681"/>
    <w:rsid w:val="757F36C5"/>
    <w:rsid w:val="75AF52D0"/>
    <w:rsid w:val="761756AB"/>
    <w:rsid w:val="76962A74"/>
    <w:rsid w:val="771148DC"/>
    <w:rsid w:val="77D73344"/>
    <w:rsid w:val="77E93077"/>
    <w:rsid w:val="7859644F"/>
    <w:rsid w:val="789E3E62"/>
    <w:rsid w:val="78D87422"/>
    <w:rsid w:val="7A293BFF"/>
    <w:rsid w:val="7A3C4FFA"/>
    <w:rsid w:val="7ABB1283"/>
    <w:rsid w:val="7BEE3352"/>
    <w:rsid w:val="7BEE6EAE"/>
    <w:rsid w:val="7BFA1CF7"/>
    <w:rsid w:val="7C773348"/>
    <w:rsid w:val="7CCC3693"/>
    <w:rsid w:val="7CF0542C"/>
    <w:rsid w:val="7DA63EE4"/>
    <w:rsid w:val="7E621231"/>
    <w:rsid w:val="7E8F5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customStyle="1" w:styleId="2">
    <w:name w:val="公文正文"/>
    <w:basedOn w:val="1"/>
    <w:link w:val="20"/>
    <w:qFormat/>
    <w:uiPriority w:val="0"/>
    <w:pPr>
      <w:spacing w:line="600" w:lineRule="exact"/>
      <w:ind w:firstLine="640" w:firstLineChars="200"/>
    </w:pPr>
    <w:rPr>
      <w:rFonts w:ascii="仿宋_GB2312" w:hAnsi="仿宋_GB2312" w:eastAsia="仿宋_GB2312"/>
      <w:sz w:val="32"/>
    </w:rPr>
  </w:style>
  <w:style w:type="paragraph" w:styleId="6">
    <w:name w:val="caption"/>
    <w:basedOn w:val="1"/>
    <w:next w:val="1"/>
    <w:semiHidden/>
    <w:unhideWhenUsed/>
    <w:qFormat/>
    <w:uiPriority w:val="0"/>
    <w:rPr>
      <w:rFonts w:ascii="Arial" w:hAnsi="Arial" w:eastAsia="黑体"/>
      <w:sz w:val="20"/>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able of figures"/>
    <w:basedOn w:val="1"/>
    <w:next w:val="1"/>
    <w:qFormat/>
    <w:uiPriority w:val="0"/>
    <w:pPr>
      <w:ind w:leftChars="200" w:hanging="200" w:hangingChars="200"/>
    </w:pPr>
  </w:style>
  <w:style w:type="paragraph" w:styleId="12">
    <w:name w:val="toc 2"/>
    <w:basedOn w:val="1"/>
    <w:next w:val="1"/>
    <w:qFormat/>
    <w:uiPriority w:val="0"/>
    <w:pPr>
      <w:ind w:left="420" w:leftChars="200"/>
    </w:pPr>
  </w:style>
  <w:style w:type="paragraph" w:styleId="13">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6">
    <w:name w:val="Hyperlink"/>
    <w:basedOn w:val="15"/>
    <w:qFormat/>
    <w:uiPriority w:val="0"/>
    <w:rPr>
      <w:color w:val="0000FF"/>
      <w:u w:val="single"/>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paragraph" w:customStyle="1" w:styleId="19">
    <w:name w:val="WPSOffice手动目录 3"/>
    <w:qFormat/>
    <w:uiPriority w:val="0"/>
    <w:pPr>
      <w:ind w:leftChars="400"/>
    </w:pPr>
    <w:rPr>
      <w:rFonts w:ascii="Times New Roman" w:hAnsi="Times New Roman" w:eastAsia="宋体" w:cs="Times New Roman"/>
      <w:sz w:val="20"/>
      <w:szCs w:val="20"/>
    </w:rPr>
  </w:style>
  <w:style w:type="character" w:customStyle="1" w:styleId="20">
    <w:name w:val="公文正文 Char"/>
    <w:link w:val="2"/>
    <w:uiPriority w:val="0"/>
    <w:rPr>
      <w:rFonts w:ascii="仿宋_GB2312" w:hAnsi="仿宋_GB2312" w:eastAsia="仿宋_GB2312"/>
      <w:sz w:val="32"/>
    </w:rPr>
  </w:style>
  <w:style w:type="character" w:customStyle="1" w:styleId="21">
    <w:name w:val="font01"/>
    <w:basedOn w:val="15"/>
    <w:qFormat/>
    <w:uiPriority w:val="0"/>
    <w:rPr>
      <w:rFonts w:hint="eastAsia" w:ascii="宋体" w:hAnsi="宋体" w:eastAsia="宋体" w:cs="宋体"/>
      <w:color w:val="000000"/>
      <w:sz w:val="32"/>
      <w:szCs w:val="32"/>
      <w:u w:val="none"/>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5.bin"/><Relationship Id="rId17" Type="http://schemas.openxmlformats.org/officeDocument/2006/relationships/image" Target="media/image8.wmf"/><Relationship Id="rId16" Type="http://schemas.openxmlformats.org/officeDocument/2006/relationships/oleObject" Target="embeddings/oleObject4.bin"/><Relationship Id="rId15" Type="http://schemas.openxmlformats.org/officeDocument/2006/relationships/image" Target="media/image7.wmf"/><Relationship Id="rId14" Type="http://schemas.openxmlformats.org/officeDocument/2006/relationships/oleObject" Target="embeddings/oleObject3.bin"/><Relationship Id="rId13" Type="http://schemas.openxmlformats.org/officeDocument/2006/relationships/image" Target="media/image6.wmf"/><Relationship Id="rId12" Type="http://schemas.openxmlformats.org/officeDocument/2006/relationships/oleObject" Target="embeddings/oleObject2.bin"/><Relationship Id="rId11" Type="http://schemas.openxmlformats.org/officeDocument/2006/relationships/image" Target="media/image5.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14844</Words>
  <Characters>27701</Characters>
  <Lines>0</Lines>
  <Paragraphs>0</Paragraphs>
  <TotalTime>0</TotalTime>
  <ScaleCrop>false</ScaleCrop>
  <LinksUpToDate>false</LinksUpToDate>
  <CharactersWithSpaces>28042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2023-05-25T19:00:00Z</dcterms:created>
  <dc:creator>杨昊林</dc:creator>
  <cp:lastModifiedBy>蒋卓然</cp:lastModifiedBy>
  <dcterms:modified xsi:type="dcterms:W3CDTF">2023-05-30T17:28:10Z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C4A7385AB238489BB6FAF1BE20518FB4_13</vt:lpwstr>
  </property>
</Properties>
</file>