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EEDD3">
      <w:pPr>
        <w:spacing w:line="360" w:lineRule="auto"/>
        <w:jc w:val="center"/>
        <w:rPr>
          <w:rFonts w:hint="default" w:ascii="Times New Roman" w:hAnsi="Times New Roman" w:eastAsia="宋体" w:cs="宋体"/>
          <w:b/>
          <w:bCs/>
          <w:color w:val="auto"/>
          <w:sz w:val="32"/>
          <w:szCs w:val="32"/>
          <w:lang w:val="en-US" w:eastAsia="zh-CN"/>
        </w:rPr>
      </w:pPr>
      <w:r>
        <w:rPr>
          <w:rFonts w:hint="eastAsia" w:ascii="Times New Roman" w:hAnsi="Times New Roman" w:eastAsia="宋体" w:cs="宋体"/>
          <w:b/>
          <w:bCs/>
          <w:color w:val="auto"/>
          <w:sz w:val="32"/>
          <w:szCs w:val="32"/>
          <w:lang w:val="en-US" w:eastAsia="zh-CN"/>
        </w:rPr>
        <w:t>胜任力测评开发方案</w:t>
      </w:r>
    </w:p>
    <w:p w14:paraId="3F844A29">
      <w:pPr>
        <w:spacing w:line="360" w:lineRule="auto"/>
        <w:ind w:firstLine="482" w:firstLineChars="200"/>
        <w:rPr>
          <w:rFonts w:hint="eastAsia" w:ascii="宋体" w:hAnsi="宋体" w:eastAsia="宋体" w:cs="宋体"/>
          <w:b/>
          <w:bCs/>
          <w:color w:val="auto"/>
          <w:sz w:val="24"/>
          <w:szCs w:val="32"/>
          <w:lang w:eastAsia="zh-CN"/>
        </w:rPr>
      </w:pPr>
      <w:r>
        <w:rPr>
          <w:rFonts w:hint="eastAsia" w:ascii="宋体" w:hAnsi="宋体" w:eastAsia="宋体" w:cs="宋体"/>
          <w:b/>
          <w:bCs/>
          <w:color w:val="auto"/>
          <w:sz w:val="24"/>
          <w:szCs w:val="32"/>
        </w:rPr>
        <w:t>一、</w:t>
      </w:r>
      <w:r>
        <w:rPr>
          <w:rFonts w:hint="eastAsia" w:ascii="宋体" w:hAnsi="宋体" w:eastAsia="宋体" w:cs="宋体"/>
          <w:b/>
          <w:bCs/>
          <w:color w:val="auto"/>
          <w:sz w:val="24"/>
          <w:szCs w:val="32"/>
          <w:lang w:val="en-US" w:eastAsia="zh-CN"/>
        </w:rPr>
        <w:t>测评介绍</w:t>
      </w:r>
    </w:p>
    <w:p w14:paraId="461653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为了科学、客观地评估员工与目标岗位或现任岗位的匹配程度，有效区分绩效优秀者与绩效一般者的深层特征，而非仅仅关注其表面的知识掌握与基础技能水平，因此开发员工胜任力测验。该测评采用标准化方法与客观量化的评估工具，不仅能够准确考察和衡量员工在日常岗位工作中的核心胜任力表现，还能为企业的招聘筛选、在岗绩效评估、培训需求分析以及全面的人才盘点提供参考，从而帮助组织更有效地进行人力资源优化配置与人才发展战略制定。</w:t>
      </w:r>
    </w:p>
    <w:p w14:paraId="1A05323C">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二、企业需求</w:t>
      </w:r>
    </w:p>
    <w:p w14:paraId="2607CFB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本测评的开发将缓解企业在员工管理过程中普遍面临的下述核心痛点：</w:t>
      </w:r>
    </w:p>
    <w:p w14:paraId="6067C3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痛点一：难以有效区分绩效优劣。传统知识考试与技能考核仅能评估员工“知道什么”“会做什么”，无法揭示绩效水平差异背后的深层成因。当前企业对基层员工和管理者的评估往往停留在表层能力考察，难以精准识别高潜人才与一般绩效员工的本质差异。</w:t>
      </w:r>
    </w:p>
    <w:p w14:paraId="4C2D745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痛点二：选人用人缺乏科学依据。招聘面试、主管主观评价等方式受评价者个人偏好与临场随机因素影响较大，难以建立统一、客观的评估标准，导致“人岗不匹配”现象频繁发生，进而造成企业资源浪费。</w:t>
      </w:r>
    </w:p>
    <w:p w14:paraId="134A6A3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痛点三：人才培养缺少精准方向。现有培训需求分析多依赖经验判断，缺乏对基层员工和管理者能力短板的系统性诊断，培训整体投入较大但针对性不足，难以真正转化为绩效水平提升。</w:t>
      </w:r>
    </w:p>
    <w:p w14:paraId="3AA0B6B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针对上述企业需求，本测评可实现如下目标：</w:t>
      </w:r>
    </w:p>
    <w:p w14:paraId="5CA6CD9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区分绩效优劣：重点考察鉴别性素质（冰山以下部分），而非仅测量知识与技能（基准性素质），直接回应“区分绩优者与一般者”的核心诉求。</w:t>
      </w:r>
    </w:p>
    <w:p w14:paraId="54B281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选人用人有据可依：提供标准化维度的量化评估结果，建立客观可比的人才评价标尺，消除主观判断偏差。</w:t>
      </w:r>
    </w:p>
    <w:p w14:paraId="4C0D47D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培养方向精准定位：通过各维度得分精准定位员工能力短板与发展优势，为制定个性化培养方案提供数据支撑。</w:t>
      </w:r>
    </w:p>
    <w:p w14:paraId="2CC813E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覆盖多元应用场景：支持招聘选拔、评估盘点、培训发展、潜才储备等多场景应用，企业可根据自身需求灵活选用。</w:t>
      </w:r>
    </w:p>
    <w:p w14:paraId="0ED439A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三、理论依据</w:t>
      </w:r>
    </w:p>
    <w:p w14:paraId="67FD4CD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（一）冰山模型（Iceberg Model）</w:t>
      </w:r>
    </w:p>
    <w:p w14:paraId="6B2B0A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冰山模型由美国心理学家戴维·麦克利兰（David C. McClelland，1973）提出，将个体素质的不同表现划分为表面的“冰山以上部分”与深藏的“冰山以下部分”。其中，“冰山以上部分”涵盖基本知识与基本技能，为外在表现；“冰山以下部分”包含社会角色、自我形象、人格特质、动机及价值观等，属个人内在要素。</w:t>
      </w:r>
    </w:p>
    <w:p w14:paraId="1E5260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由莱尔·M.斯潘塞（</w:t>
      </w:r>
      <w:r>
        <w:rPr>
          <w:rFonts w:hint="default" w:ascii="Times New Roman" w:hAnsi="Times New Roman" w:eastAsia="宋体" w:cs="宋体"/>
          <w:b w:val="0"/>
          <w:bCs w:val="0"/>
          <w:color w:val="auto"/>
          <w:sz w:val="24"/>
          <w:szCs w:val="24"/>
          <w:lang w:val="en-US" w:eastAsia="zh-CN"/>
        </w:rPr>
        <w:t>Lyle M.Spencer</w:t>
      </w:r>
      <w:r>
        <w:rPr>
          <w:rFonts w:hint="eastAsia" w:ascii="Times New Roman" w:hAnsi="Times New Roman" w:eastAsia="宋体" w:cs="宋体"/>
          <w:b w:val="0"/>
          <w:bCs w:val="0"/>
          <w:color w:val="auto"/>
          <w:sz w:val="24"/>
          <w:szCs w:val="24"/>
          <w:lang w:val="en-US" w:eastAsia="zh-CN"/>
        </w:rPr>
        <w:t>）与塞尼·M.斯潘塞</w:t>
      </w:r>
      <w:r>
        <w:rPr>
          <w:rFonts w:hint="default" w:ascii="Times New Roman" w:hAnsi="Times New Roman" w:eastAsia="宋体" w:cs="宋体"/>
          <w:b w:val="0"/>
          <w:bCs w:val="0"/>
          <w:color w:val="auto"/>
          <w:sz w:val="24"/>
          <w:szCs w:val="24"/>
          <w:lang w:val="en-US" w:eastAsia="zh-CN"/>
        </w:rPr>
        <w:t>（Signe M.Spencer）</w:t>
      </w:r>
      <w:r>
        <w:rPr>
          <w:rFonts w:hint="eastAsia" w:ascii="Times New Roman" w:hAnsi="Times New Roman" w:eastAsia="宋体" w:cs="宋体"/>
          <w:b w:val="0"/>
          <w:bCs w:val="0"/>
          <w:color w:val="auto"/>
          <w:sz w:val="24"/>
          <w:szCs w:val="24"/>
          <w:lang w:val="en-US" w:eastAsia="zh-CN"/>
        </w:rPr>
        <w:t>所著的《胜任力工作：卓越绩效模型》（1993），在麦克利兰冰山模型基础上系统化提出：胜任力是“能将特定工作中卓越绩效者与普通者区分开来的深层、潜在个体特征”。该定义聚焦‌鉴别性素质，即冰山以下的部分‌，而非仅知识与技能（基准性素质，即工作所要求具备的最基本的胜任特征）。‌‌</w:t>
      </w:r>
    </w:p>
    <w:p w14:paraId="2EA7E2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drawing>
          <wp:inline distT="0" distB="0" distL="114300" distR="114300">
            <wp:extent cx="3154680" cy="2327275"/>
            <wp:effectExtent l="0" t="0" r="7620" b="15875"/>
            <wp:docPr id="2" name="图片 2" descr="a1e626c3066d7f2eb7865e90eb389e11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1e626c3066d7f2eb7865e90eb389e11_0"/>
                    <pic:cNvPicPr>
                      <a:picLocks noChangeAspect="1"/>
                    </pic:cNvPicPr>
                  </pic:nvPicPr>
                  <pic:blipFill>
                    <a:blip r:embed="rId6"/>
                    <a:stretch>
                      <a:fillRect/>
                    </a:stretch>
                  </pic:blipFill>
                  <pic:spPr>
                    <a:xfrm>
                      <a:off x="0" y="0"/>
                      <a:ext cx="3154680" cy="2327275"/>
                    </a:xfrm>
                    <a:prstGeom prst="rect">
                      <a:avLst/>
                    </a:prstGeom>
                  </pic:spPr>
                </pic:pic>
              </a:graphicData>
            </a:graphic>
          </wp:inline>
        </w:drawing>
      </w:r>
    </w:p>
    <w:p w14:paraId="5A64918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图1  冰山模型</w:t>
      </w:r>
    </w:p>
    <w:p w14:paraId="19F565F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（二）</w:t>
      </w:r>
      <w:r>
        <w:rPr>
          <w:rFonts w:hint="default" w:ascii="Times New Roman" w:hAnsi="Times New Roman" w:eastAsia="宋体" w:cs="宋体"/>
          <w:b/>
          <w:bCs/>
          <w:color w:val="auto"/>
          <w:sz w:val="24"/>
          <w:szCs w:val="24"/>
          <w:lang w:val="en-US" w:eastAsia="zh-CN"/>
        </w:rPr>
        <w:t>洋葱模型</w:t>
      </w:r>
      <w:r>
        <w:rPr>
          <w:rFonts w:hint="eastAsia" w:ascii="Times New Roman" w:hAnsi="Times New Roman" w:eastAsia="宋体" w:cs="宋体"/>
          <w:b/>
          <w:bCs/>
          <w:color w:val="auto"/>
          <w:sz w:val="24"/>
          <w:szCs w:val="24"/>
          <w:lang w:val="en-US" w:eastAsia="zh-CN"/>
        </w:rPr>
        <w:t>‌（Onion Model）</w:t>
      </w:r>
    </w:p>
    <w:p w14:paraId="3B714F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洋葱模型由理查德·博亚特兹（Richard Boyatzis）在《胜任经理人：一个高绩效模型》（1982）中提出，将个体的胜任素质由内向外层层包裹，形象地展示了不同素质要素的可见性、可塑性及其对绩效的影响深度。将胜任力划分为从深层到表层的多个维度，最外层（表层/显性素质）包含知识、技能，中间层（中层/半隐性素质）包含‌自我形象、社会角色、态度、价值观，最内核（深层/隐性素质）包含动机、个性/特质。越往内部，素质越难以观察和改变；越往外部，素质越容易通过培训获得和衡量。</w:t>
      </w:r>
    </w:p>
    <w:p w14:paraId="5297F31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color w:val="auto"/>
          <w:sz w:val="24"/>
          <w:szCs w:val="24"/>
        </w:rPr>
      </w:pPr>
      <w:r>
        <w:rPr>
          <w:rFonts w:ascii="宋体" w:hAnsi="宋体" w:eastAsia="宋体" w:cs="宋体"/>
          <w:color w:val="auto"/>
          <w:sz w:val="24"/>
          <w:szCs w:val="24"/>
        </w:rPr>
        <w:drawing>
          <wp:inline distT="0" distB="0" distL="114300" distR="114300">
            <wp:extent cx="2023110" cy="1762125"/>
            <wp:effectExtent l="0" t="0" r="1524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2023110" cy="1762125"/>
                    </a:xfrm>
                    <a:prstGeom prst="rect">
                      <a:avLst/>
                    </a:prstGeom>
                    <a:noFill/>
                    <a:ln w="9525">
                      <a:noFill/>
                    </a:ln>
                  </pic:spPr>
                </pic:pic>
              </a:graphicData>
            </a:graphic>
          </wp:inline>
        </w:drawing>
      </w:r>
    </w:p>
    <w:p w14:paraId="0651E88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图2  洋葱模型</w:t>
      </w:r>
    </w:p>
    <w:p w14:paraId="477C8B13">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（三）鉴别性胜任力</w:t>
      </w:r>
    </w:p>
    <w:p w14:paraId="2E9E02A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b w:val="0"/>
          <w:bCs w:val="0"/>
          <w:color w:val="auto"/>
          <w:sz w:val="24"/>
          <w:szCs w:val="24"/>
          <w:lang w:val="en-US" w:eastAsia="zh-CN"/>
        </w:rPr>
      </w:pPr>
      <w:r>
        <w:rPr>
          <w:rFonts w:hint="default" w:ascii="Times New Roman" w:hAnsi="Times New Roman" w:eastAsia="宋体" w:cs="宋体"/>
          <w:b w:val="0"/>
          <w:bCs w:val="0"/>
          <w:color w:val="auto"/>
          <w:sz w:val="24"/>
          <w:szCs w:val="24"/>
          <w:lang w:val="en-US" w:eastAsia="zh-CN"/>
        </w:rPr>
        <w:t>鉴别性胜任力是能够将优秀绩效与一般绩效区分开来的胜任特征。已有的应用研究发现，在不同职位、不同行业、不同文化环境中的胜任力模型是不同的。基于麦克利兰及其团队20年、涵盖650个岗位的研究成果</w:t>
      </w:r>
      <w:r>
        <w:rPr>
          <w:rFonts w:hint="eastAsia" w:ascii="Times New Roman" w:hAnsi="Times New Roman" w:eastAsia="宋体" w:cs="宋体"/>
          <w:b w:val="0"/>
          <w:bCs w:val="0"/>
          <w:color w:val="auto"/>
          <w:sz w:val="24"/>
          <w:szCs w:val="24"/>
          <w:lang w:val="en-US" w:eastAsia="zh-CN"/>
        </w:rPr>
        <w:t>，</w:t>
      </w:r>
      <w:r>
        <w:rPr>
          <w:rFonts w:hint="default" w:ascii="Times New Roman" w:hAnsi="Times New Roman" w:eastAsia="宋体" w:cs="宋体"/>
          <w:b w:val="0"/>
          <w:bCs w:val="0"/>
          <w:color w:val="auto"/>
          <w:sz w:val="24"/>
          <w:szCs w:val="24"/>
          <w:lang w:val="en-US" w:eastAsia="zh-CN"/>
        </w:rPr>
        <w:t>斯班瑟（Spencer &amp; Spencer, 1993）在《工作中的胜任特征》中提炼出‌20个通用胜任力‌（部分文献计为21项），分为‌六大类‌，能预测跨行业高绩效。‌‌</w:t>
      </w:r>
    </w:p>
    <w:p w14:paraId="0734153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color w:val="auto"/>
          <w:sz w:val="24"/>
          <w:szCs w:val="24"/>
        </w:rPr>
      </w:pPr>
      <w:r>
        <w:rPr>
          <w:rFonts w:ascii="宋体" w:hAnsi="宋体" w:eastAsia="宋体" w:cs="宋体"/>
          <w:color w:val="auto"/>
          <w:sz w:val="24"/>
          <w:szCs w:val="24"/>
        </w:rPr>
        <w:drawing>
          <wp:inline distT="0" distB="0" distL="114300" distR="114300">
            <wp:extent cx="4334510" cy="2488565"/>
            <wp:effectExtent l="0" t="0" r="8890" b="698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8"/>
                    <a:stretch>
                      <a:fillRect/>
                    </a:stretch>
                  </pic:blipFill>
                  <pic:spPr>
                    <a:xfrm>
                      <a:off x="0" y="0"/>
                      <a:ext cx="4334510" cy="2488565"/>
                    </a:xfrm>
                    <a:prstGeom prst="rect">
                      <a:avLst/>
                    </a:prstGeom>
                    <a:noFill/>
                    <a:ln w="9525">
                      <a:noFill/>
                    </a:ln>
                  </pic:spPr>
                </pic:pic>
              </a:graphicData>
            </a:graphic>
          </wp:inline>
        </w:drawing>
      </w:r>
    </w:p>
    <w:p w14:paraId="6B6050B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图3  斯班瑟胜任力词典</w:t>
      </w:r>
    </w:p>
    <w:p w14:paraId="2F6B036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（四）本测验定位</w:t>
      </w:r>
    </w:p>
    <w:p w14:paraId="6C028C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冰山模型与洋葱模型本质呈现相近的胜任素质层级逻辑，均强调隐性深层素质对个体工作绩效的核心区分作用。本次开发的员工胜任力测验，围绕鉴别性素质构建评估框架，由内到外的层级划分逻辑，重点考察区分基层员工优秀绩效与一般绩效的特质，确保真实反映基层员工的岗位胜任潜力与实际能力水平。知识技能可通过考试、考核测量，不作为本测验开发内容。</w:t>
      </w:r>
    </w:p>
    <w:p w14:paraId="4301E74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四、维度设计</w:t>
      </w:r>
    </w:p>
    <w:p w14:paraId="49AFFD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聚焦鉴别性素质，员工胜任力测验的结构设计严格遵循由表及里、由易变到稳定的内在逻辑，通过层层深入的方式，系统性构建了通用能力、心理素养的两层评估框架，共计40个维度（维度矩阵见下图）。</w:t>
      </w:r>
    </w:p>
    <w:p w14:paraId="0033AFA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宋体"/>
          <w:b w:val="0"/>
          <w:bCs w:val="0"/>
          <w:color w:val="auto"/>
          <w:sz w:val="22"/>
          <w:szCs w:val="22"/>
          <w:lang w:val="en-US" w:eastAsia="zh-CN"/>
        </w:rPr>
      </w:pPr>
      <w:r>
        <w:rPr>
          <w:rFonts w:hint="eastAsia" w:ascii="Times New Roman" w:hAnsi="Times New Roman" w:eastAsia="宋体" w:cs="宋体"/>
          <w:b/>
          <w:bCs/>
          <w:color w:val="auto"/>
          <w:sz w:val="21"/>
          <w:szCs w:val="21"/>
          <w:lang w:val="en-US" w:eastAsia="zh-CN"/>
        </w:rPr>
        <w:t>胜任力测评维度矩阵图</w:t>
      </w:r>
    </w:p>
    <w:p w14:paraId="38578A4E">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宋体"/>
          <w:b w:val="0"/>
          <w:bCs w:val="0"/>
          <w:color w:val="auto"/>
          <w:sz w:val="24"/>
          <w:szCs w:val="24"/>
          <w:lang w:val="en-US" w:eastAsia="zh-CN"/>
        </w:rPr>
      </w:pPr>
      <w:r>
        <w:drawing>
          <wp:inline distT="0" distB="0" distL="114300" distR="114300">
            <wp:extent cx="5270500" cy="2823845"/>
            <wp:effectExtent l="0" t="0" r="2540" b="1079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5270500" cy="2823845"/>
                    </a:xfrm>
                    <a:prstGeom prst="rect">
                      <a:avLst/>
                    </a:prstGeom>
                    <a:noFill/>
                    <a:ln>
                      <a:noFill/>
                    </a:ln>
                  </pic:spPr>
                </pic:pic>
              </a:graphicData>
            </a:graphic>
          </wp:inline>
        </w:drawing>
      </w:r>
    </w:p>
    <w:p w14:paraId="4F848056">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bCs/>
          <w:color w:val="auto"/>
          <w:sz w:val="24"/>
          <w:szCs w:val="24"/>
          <w:lang w:val="en-US" w:eastAsia="zh-CN"/>
        </w:rPr>
        <w:t>第一层：通用能力</w:t>
      </w:r>
    </w:p>
    <w:p w14:paraId="305BB2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通用能力层评估的是对完成某些工作或任务所具备的潜在能力素质。本层相对表层、易于观察和培养的基础工作能力，这构成了员工履行岗位职责的直接工具库，是员工完成日常工作任务、应对常规挑战的基本保障。基于斯班瑟胜任力词典、SHL通用胜任力框架（UCF）和中欧国际工商学院的中基层管理者通用胜任力模型等，结合现代企业对员工能力的要求，本层分为基层通用能力和管理通用能力，基层通用能力聚焦任务执行、信息处理与基础协作。</w:t>
      </w:r>
    </w:p>
    <w:p w14:paraId="4C88040D">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第二层：心理素养</w:t>
      </w:r>
    </w:p>
    <w:p w14:paraId="15BE278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心理素养融合价值观、性格特质与内心动力，综合评估受测者个人立场，性格特质下的内在的、自然而持续的想法和偏好，驱动、引导和决定个人行动等。本层作为深层和稳定的素质，决定员工工作的是非观、持久热情、目标设定和努力方向。基于施瓦茨基本价值观理论、舒伯工作价值观理论、16PF、三重需要理论等设置。</w:t>
      </w:r>
    </w:p>
    <w:p w14:paraId="47063B4D">
      <w:pPr>
        <w:spacing w:line="360" w:lineRule="auto"/>
        <w:ind w:firstLine="482" w:firstLineChars="200"/>
        <w:rPr>
          <w:rFonts w:hint="default"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六、维度选取</w:t>
      </w:r>
    </w:p>
    <w:p w14:paraId="44BB6148">
      <w:pPr>
        <w:widowControl w:val="0"/>
        <w:spacing w:line="360" w:lineRule="auto"/>
        <w:ind w:firstLine="480" w:firstLineChars="200"/>
        <w:jc w:val="both"/>
        <w:rPr>
          <w:rFonts w:hint="eastAsia" w:ascii="宋体" w:hAnsi="宋体" w:eastAsia="宋体" w:cs="宋体"/>
          <w:b w:val="0"/>
          <w:bCs w:val="0"/>
          <w:color w:val="auto"/>
          <w:sz w:val="24"/>
          <w:szCs w:val="32"/>
          <w:lang w:val="en-US" w:eastAsia="zh-CN"/>
        </w:rPr>
      </w:pPr>
      <w:r>
        <w:rPr>
          <w:rFonts w:hint="eastAsia" w:ascii="宋体" w:hAnsi="宋体" w:eastAsia="宋体" w:cs="宋体"/>
          <w:b w:val="0"/>
          <w:bCs w:val="0"/>
          <w:color w:val="auto"/>
          <w:sz w:val="24"/>
          <w:szCs w:val="32"/>
          <w:lang w:val="en-US" w:eastAsia="zh-CN"/>
        </w:rPr>
        <w:t>测评整体规划是根据岗位特点、核心职责、典型工作场景以及关键能力要求，从两个层级40个维度中精准筛选与该岗位高度相关的维度，与必选维度合并组成完整测评。</w:t>
      </w:r>
    </w:p>
    <w:p w14:paraId="5963FAEE">
      <w:pPr>
        <w:widowControl w:val="0"/>
        <w:spacing w:line="360" w:lineRule="auto"/>
        <w:ind w:firstLine="480" w:firstLineChars="200"/>
        <w:jc w:val="both"/>
        <w:rPr>
          <w:rFonts w:hint="default"/>
          <w:lang w:val="en-US" w:eastAsia="zh-CN"/>
        </w:rPr>
      </w:pPr>
      <w:r>
        <w:rPr>
          <w:rFonts w:hint="eastAsia" w:ascii="宋体" w:hAnsi="宋体" w:eastAsia="宋体" w:cs="宋体"/>
          <w:b w:val="0"/>
          <w:bCs w:val="0"/>
          <w:color w:val="auto"/>
          <w:sz w:val="24"/>
          <w:szCs w:val="32"/>
          <w:lang w:val="en-US" w:eastAsia="zh-CN"/>
        </w:rPr>
        <w:t>由于客户需求紧迫，为尽快上线，测评分为三期开发。第一期开发适用于基层员工的10个维度，测评方式跳过选维度，改为固定维度测评，开发的维度如下图，设计社会赞许性和反向计分等题目；同时，针对该10个维度增设包含伪装维度的效度量表，设计粗心/极端/失真的题目。</w:t>
      </w:r>
      <w:r>
        <w:rPr>
          <w:rFonts w:hint="eastAsia" w:ascii="宋体" w:hAnsi="宋体" w:eastAsia="宋体" w:cs="宋体"/>
          <w:color w:val="auto"/>
          <w:sz w:val="24"/>
          <w:szCs w:val="32"/>
          <w:lang w:val="en-US" w:eastAsia="zh-CN"/>
        </w:rPr>
        <w:t>第二期优化开发管理通用能力，其余放入第三期开发。第一期开发成果详见附件。</w:t>
      </w:r>
    </w:p>
    <w:p w14:paraId="50D7101E">
      <w:pPr>
        <w:widowControl w:val="0"/>
        <w:spacing w:line="360" w:lineRule="auto"/>
        <w:ind w:firstLine="0" w:firstLineChars="0"/>
        <w:jc w:val="center"/>
        <w:rPr>
          <w:rFonts w:hint="eastAsia" w:ascii="宋体" w:hAnsi="宋体" w:eastAsia="宋体" w:cs="宋体"/>
          <w:b w:val="0"/>
          <w:bCs w:val="0"/>
          <w:color w:val="auto"/>
          <w:sz w:val="24"/>
          <w:szCs w:val="32"/>
          <w:lang w:val="en-US" w:eastAsia="zh-CN"/>
        </w:rPr>
      </w:pPr>
      <w:r>
        <w:rPr>
          <w:rFonts w:hint="eastAsia" w:ascii="Times New Roman" w:hAnsi="Times New Roman" w:eastAsia="宋体" w:cs="宋体"/>
          <w:b/>
          <w:bCs/>
          <w:color w:val="auto"/>
          <w:sz w:val="21"/>
          <w:szCs w:val="21"/>
          <w:lang w:val="en-US" w:eastAsia="zh-CN"/>
        </w:rPr>
        <w:t>第一期开发维度矩阵图</w:t>
      </w:r>
    </w:p>
    <w:p w14:paraId="0BED045D">
      <w:pPr>
        <w:widowControl w:val="0"/>
        <w:spacing w:line="360" w:lineRule="auto"/>
        <w:ind w:firstLine="0" w:firstLineChars="0"/>
        <w:jc w:val="center"/>
      </w:pPr>
      <w:r>
        <w:drawing>
          <wp:inline distT="0" distB="0" distL="114300" distR="114300">
            <wp:extent cx="3695700" cy="2072640"/>
            <wp:effectExtent l="0" t="0" r="7620" b="0"/>
            <wp:docPr id="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
                    <pic:cNvPicPr>
                      <a:picLocks noChangeAspect="1"/>
                    </pic:cNvPicPr>
                  </pic:nvPicPr>
                  <pic:blipFill>
                    <a:blip r:embed="rId10"/>
                    <a:stretch>
                      <a:fillRect/>
                    </a:stretch>
                  </pic:blipFill>
                  <pic:spPr>
                    <a:xfrm>
                      <a:off x="0" y="0"/>
                      <a:ext cx="3695700" cy="2072640"/>
                    </a:xfrm>
                    <a:prstGeom prst="rect">
                      <a:avLst/>
                    </a:prstGeom>
                    <a:noFill/>
                    <a:ln>
                      <a:noFill/>
                    </a:ln>
                  </pic:spPr>
                </pic:pic>
              </a:graphicData>
            </a:graphic>
          </wp:inline>
        </w:drawing>
      </w:r>
    </w:p>
    <w:p w14:paraId="3D74E7CE">
      <w:pPr>
        <w:spacing w:line="360" w:lineRule="auto"/>
        <w:ind w:firstLine="482" w:firstLineChars="200"/>
        <w:rPr>
          <w:rFonts w:hint="default"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七、测试说明</w:t>
      </w:r>
    </w:p>
    <w:p w14:paraId="17409D11">
      <w:pPr>
        <w:spacing w:line="360" w:lineRule="auto"/>
        <w:ind w:firstLine="480" w:firstLineChars="200"/>
        <w:rPr>
          <w:rFonts w:hint="eastAsia" w:ascii="宋体" w:hAnsi="宋体" w:eastAsia="宋体" w:cs="宋体"/>
          <w:b w:val="0"/>
          <w:bCs w:val="0"/>
          <w:color w:val="auto"/>
          <w:sz w:val="24"/>
          <w:szCs w:val="32"/>
          <w:lang w:val="en-US" w:eastAsia="zh-CN"/>
        </w:rPr>
      </w:pPr>
      <w:r>
        <w:rPr>
          <w:rFonts w:hint="eastAsia" w:ascii="宋体" w:hAnsi="宋体" w:eastAsia="宋体" w:cs="宋体"/>
          <w:b w:val="0"/>
          <w:bCs w:val="0"/>
          <w:color w:val="auto"/>
          <w:sz w:val="24"/>
          <w:szCs w:val="32"/>
          <w:lang w:val="en-US" w:eastAsia="zh-CN"/>
        </w:rPr>
        <w:t>本测评旨在全面了解您在各项工作情景中的行为表现与内在倾向。请您仔细阅读每一题，从中选出更符合您实际情况或更贴近您真实感受的一项。</w:t>
      </w:r>
    </w:p>
    <w:p w14:paraId="551A7D26">
      <w:pPr>
        <w:spacing w:line="360" w:lineRule="auto"/>
        <w:ind w:firstLine="480" w:firstLineChars="200"/>
        <w:rPr>
          <w:rFonts w:hint="eastAsia" w:ascii="宋体" w:hAnsi="宋体" w:eastAsia="宋体" w:cs="宋体"/>
          <w:b w:val="0"/>
          <w:bCs w:val="0"/>
          <w:color w:val="auto"/>
          <w:sz w:val="24"/>
          <w:szCs w:val="32"/>
          <w:lang w:val="en-US" w:eastAsia="zh-CN"/>
        </w:rPr>
      </w:pPr>
      <w:r>
        <w:rPr>
          <w:rFonts w:hint="eastAsia" w:ascii="宋体" w:hAnsi="宋体" w:eastAsia="宋体" w:cs="宋体"/>
          <w:b w:val="0"/>
          <w:bCs w:val="0"/>
          <w:color w:val="auto"/>
          <w:sz w:val="24"/>
          <w:szCs w:val="32"/>
          <w:lang w:val="en-US" w:eastAsia="zh-CN"/>
        </w:rPr>
        <w:t>作答说明：</w:t>
      </w:r>
    </w:p>
    <w:p w14:paraId="105F70B3">
      <w:pPr>
        <w:spacing w:line="360" w:lineRule="auto"/>
        <w:ind w:firstLine="480" w:firstLineChars="200"/>
        <w:rPr>
          <w:rFonts w:hint="eastAsia" w:ascii="宋体" w:hAnsi="宋体" w:eastAsia="宋体" w:cs="宋体"/>
          <w:b w:val="0"/>
          <w:bCs w:val="0"/>
          <w:color w:val="auto"/>
          <w:sz w:val="24"/>
          <w:szCs w:val="32"/>
          <w:lang w:val="en-US" w:eastAsia="zh-CN"/>
        </w:rPr>
      </w:pPr>
      <w:r>
        <w:rPr>
          <w:rFonts w:hint="eastAsia" w:ascii="宋体" w:hAnsi="宋体" w:eastAsia="宋体" w:cs="宋体"/>
          <w:b w:val="0"/>
          <w:bCs w:val="0"/>
          <w:color w:val="auto"/>
          <w:sz w:val="24"/>
          <w:szCs w:val="32"/>
          <w:lang w:val="en-US" w:eastAsia="zh-CN"/>
        </w:rPr>
        <w:t>1.所有题目无对错、好坏之分，仅反映不同的行为偏好与应对倾向。</w:t>
      </w:r>
    </w:p>
    <w:p w14:paraId="0C3BCD10">
      <w:pPr>
        <w:spacing w:line="360" w:lineRule="auto"/>
        <w:ind w:firstLine="480" w:firstLineChars="200"/>
        <w:rPr>
          <w:rFonts w:hint="eastAsia" w:ascii="宋体" w:hAnsi="宋体" w:eastAsia="宋体" w:cs="宋体"/>
          <w:b w:val="0"/>
          <w:bCs w:val="0"/>
          <w:color w:val="auto"/>
          <w:sz w:val="24"/>
          <w:szCs w:val="32"/>
          <w:lang w:val="en-US" w:eastAsia="zh-CN"/>
        </w:rPr>
      </w:pPr>
      <w:r>
        <w:rPr>
          <w:rFonts w:hint="eastAsia" w:ascii="宋体" w:hAnsi="宋体" w:eastAsia="宋体" w:cs="宋体"/>
          <w:b w:val="0"/>
          <w:bCs w:val="0"/>
          <w:color w:val="auto"/>
          <w:sz w:val="24"/>
          <w:szCs w:val="32"/>
          <w:lang w:val="en-US" w:eastAsia="zh-CN"/>
        </w:rPr>
        <w:t>2.请依据您的第一反应如实作答，不必猜测“应该选什么”。</w:t>
      </w:r>
    </w:p>
    <w:p w14:paraId="262F1CB2">
      <w:pPr>
        <w:spacing w:line="360" w:lineRule="auto"/>
        <w:ind w:firstLine="480" w:firstLineChars="200"/>
        <w:rPr>
          <w:rFonts w:hint="eastAsia" w:ascii="宋体" w:hAnsi="宋体" w:eastAsia="宋体" w:cs="宋体"/>
          <w:b w:val="0"/>
          <w:bCs w:val="0"/>
          <w:color w:val="auto"/>
          <w:sz w:val="24"/>
          <w:szCs w:val="32"/>
          <w:lang w:val="en-US" w:eastAsia="zh-CN"/>
        </w:rPr>
      </w:pPr>
      <w:r>
        <w:rPr>
          <w:rFonts w:hint="eastAsia" w:ascii="宋体" w:hAnsi="宋体" w:eastAsia="宋体" w:cs="宋体"/>
          <w:b w:val="0"/>
          <w:bCs w:val="0"/>
          <w:color w:val="auto"/>
          <w:sz w:val="24"/>
          <w:szCs w:val="32"/>
          <w:lang w:val="en-US" w:eastAsia="zh-CN"/>
        </w:rPr>
        <w:t>您的作答结果将严格保密，仅用于个人发展评估及组织人才决策。感谢您的参与和配合！</w:t>
      </w:r>
    </w:p>
    <w:p w14:paraId="661EBC79">
      <w:pPr>
        <w:spacing w:line="360" w:lineRule="auto"/>
        <w:ind w:firstLine="482" w:firstLineChars="200"/>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八、计算逻辑</w:t>
      </w:r>
    </w:p>
    <w:p w14:paraId="0F873CB1">
      <w:pPr>
        <w:spacing w:line="360" w:lineRule="auto"/>
        <w:ind w:firstLine="480" w:firstLineChars="200"/>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1.计算各维度原始得分，即</w:t>
      </w:r>
      <w:r>
        <w:rPr>
          <w:rFonts w:hint="eastAsia" w:ascii="宋体" w:hAnsi="宋体" w:eastAsia="宋体" w:cs="宋体"/>
          <w:b/>
          <w:bCs/>
          <w:color w:val="auto"/>
          <w:sz w:val="24"/>
          <w:szCs w:val="32"/>
          <w:lang w:val="en-US" w:eastAsia="zh-CN"/>
        </w:rPr>
        <w:t>各维度8题得分之和</w:t>
      </w:r>
      <w:r>
        <w:rPr>
          <w:rFonts w:hint="eastAsia" w:ascii="宋体" w:hAnsi="宋体" w:eastAsia="宋体" w:cs="宋体"/>
          <w:color w:val="auto"/>
          <w:sz w:val="24"/>
          <w:szCs w:val="32"/>
          <w:lang w:val="en-US" w:eastAsia="zh-CN"/>
        </w:rPr>
        <w:t>。每题答题计分为选择完全不符合计1分，比较不符合计2分，不确定计3分，比较符合计4分，完全符合计5分。反向计分题，计分时需反转，即原始1分计5分，原始2分计4分，原始3分计3分，原始4分计2分，原始5分计1分。</w:t>
      </w:r>
    </w:p>
    <w:p w14:paraId="7CD38C4F">
      <w:pPr>
        <w:spacing w:line="360" w:lineRule="auto"/>
        <w:ind w:firstLine="480" w:firstLineChars="200"/>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2.计算10个二级维度平均分，即</w:t>
      </w:r>
      <w:r>
        <w:rPr>
          <w:rFonts w:hint="eastAsia" w:ascii="宋体" w:hAnsi="宋体" w:eastAsia="宋体" w:cs="宋体"/>
          <w:b/>
          <w:bCs/>
          <w:color w:val="auto"/>
          <w:sz w:val="24"/>
          <w:szCs w:val="32"/>
          <w:lang w:val="en-US" w:eastAsia="zh-CN"/>
        </w:rPr>
        <w:t>该维度原始得分/该维度题量</w:t>
      </w:r>
      <w:r>
        <w:rPr>
          <w:rFonts w:hint="eastAsia" w:ascii="宋体" w:hAnsi="宋体" w:eastAsia="宋体" w:cs="宋体"/>
          <w:color w:val="auto"/>
          <w:sz w:val="24"/>
          <w:szCs w:val="32"/>
          <w:lang w:val="en-US" w:eastAsia="zh-CN"/>
        </w:rPr>
        <w:t>。将</w:t>
      </w:r>
      <w:r>
        <w:rPr>
          <w:rFonts w:hint="eastAsia" w:ascii="宋体" w:hAnsi="宋体" w:eastAsia="宋体" w:cs="宋体"/>
          <w:b/>
          <w:bCs/>
          <w:color w:val="auto"/>
          <w:sz w:val="24"/>
          <w:szCs w:val="32"/>
          <w:lang w:val="en-US" w:eastAsia="zh-CN"/>
        </w:rPr>
        <w:t>二级维度分为五级</w:t>
      </w:r>
      <w:r>
        <w:rPr>
          <w:rFonts w:hint="eastAsia" w:ascii="宋体" w:hAnsi="宋体" w:eastAsia="宋体" w:cs="宋体"/>
          <w:color w:val="auto"/>
          <w:sz w:val="24"/>
          <w:szCs w:val="32"/>
          <w:lang w:val="en-US" w:eastAsia="zh-CN"/>
        </w:rPr>
        <w:t>，并对应不同的评价等级。</w:t>
      </w:r>
    </w:p>
    <w:tbl>
      <w:tblPr>
        <w:tblStyle w:val="11"/>
        <w:tblW w:w="62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8"/>
        <w:gridCol w:w="3450"/>
        <w:gridCol w:w="1522"/>
      </w:tblGrid>
      <w:tr w14:paraId="5A3A5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vAlign w:val="center"/>
          </w:tcPr>
          <w:p w14:paraId="0447CD0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等级</w:t>
            </w:r>
          </w:p>
        </w:tc>
        <w:tc>
          <w:tcPr>
            <w:tcW w:w="3450" w:type="dxa"/>
            <w:vAlign w:val="center"/>
          </w:tcPr>
          <w:p w14:paraId="64DC6A8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各维度平均分区间（上包含）</w:t>
            </w:r>
          </w:p>
        </w:tc>
        <w:tc>
          <w:tcPr>
            <w:tcW w:w="1522" w:type="dxa"/>
            <w:vAlign w:val="center"/>
          </w:tcPr>
          <w:p w14:paraId="09FAB50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评价等级</w:t>
            </w:r>
          </w:p>
        </w:tc>
      </w:tr>
      <w:tr w14:paraId="5064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238" w:type="dxa"/>
            <w:vAlign w:val="center"/>
          </w:tcPr>
          <w:p w14:paraId="47B3EFD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L5</w:t>
            </w:r>
          </w:p>
        </w:tc>
        <w:tc>
          <w:tcPr>
            <w:tcW w:w="3450" w:type="dxa"/>
            <w:vAlign w:val="center"/>
          </w:tcPr>
          <w:p w14:paraId="273F54E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4.3—5.0</w:t>
            </w:r>
          </w:p>
        </w:tc>
        <w:tc>
          <w:tcPr>
            <w:tcW w:w="1522" w:type="dxa"/>
            <w:vAlign w:val="center"/>
          </w:tcPr>
          <w:p w14:paraId="2AB727B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优秀</w:t>
            </w:r>
          </w:p>
        </w:tc>
      </w:tr>
      <w:tr w14:paraId="43A78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vAlign w:val="center"/>
          </w:tcPr>
          <w:p w14:paraId="2808D0B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L4</w:t>
            </w:r>
          </w:p>
        </w:tc>
        <w:tc>
          <w:tcPr>
            <w:tcW w:w="3450" w:type="dxa"/>
            <w:vAlign w:val="center"/>
          </w:tcPr>
          <w:p w14:paraId="0E3F3FA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3.5—4.3</w:t>
            </w:r>
          </w:p>
        </w:tc>
        <w:tc>
          <w:tcPr>
            <w:tcW w:w="1522" w:type="dxa"/>
            <w:vAlign w:val="center"/>
          </w:tcPr>
          <w:p w14:paraId="6B53AF2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较优秀</w:t>
            </w:r>
          </w:p>
        </w:tc>
      </w:tr>
      <w:tr w14:paraId="43714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vAlign w:val="center"/>
          </w:tcPr>
          <w:p w14:paraId="0F18932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L3</w:t>
            </w:r>
          </w:p>
        </w:tc>
        <w:tc>
          <w:tcPr>
            <w:tcW w:w="3450" w:type="dxa"/>
            <w:vAlign w:val="center"/>
          </w:tcPr>
          <w:p w14:paraId="19AE8B3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2.7—3.5</w:t>
            </w:r>
          </w:p>
        </w:tc>
        <w:tc>
          <w:tcPr>
            <w:tcW w:w="1522" w:type="dxa"/>
            <w:vAlign w:val="center"/>
          </w:tcPr>
          <w:p w14:paraId="1119267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合格</w:t>
            </w:r>
          </w:p>
        </w:tc>
      </w:tr>
      <w:tr w14:paraId="4A5CE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vAlign w:val="center"/>
          </w:tcPr>
          <w:p w14:paraId="0D9AFAB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L2</w:t>
            </w:r>
          </w:p>
        </w:tc>
        <w:tc>
          <w:tcPr>
            <w:tcW w:w="3450" w:type="dxa"/>
            <w:vAlign w:val="center"/>
          </w:tcPr>
          <w:p w14:paraId="57EF1AA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1.7—2.7</w:t>
            </w:r>
          </w:p>
        </w:tc>
        <w:tc>
          <w:tcPr>
            <w:tcW w:w="1522" w:type="dxa"/>
            <w:vAlign w:val="center"/>
          </w:tcPr>
          <w:p w14:paraId="2948808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较差</w:t>
            </w:r>
          </w:p>
        </w:tc>
      </w:tr>
      <w:tr w14:paraId="7541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vAlign w:val="center"/>
          </w:tcPr>
          <w:p w14:paraId="3CDB78D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L1</w:t>
            </w:r>
          </w:p>
        </w:tc>
        <w:tc>
          <w:tcPr>
            <w:tcW w:w="3450" w:type="dxa"/>
            <w:vAlign w:val="center"/>
          </w:tcPr>
          <w:p w14:paraId="608471D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1.0—1.7</w:t>
            </w:r>
          </w:p>
        </w:tc>
        <w:tc>
          <w:tcPr>
            <w:tcW w:w="1522" w:type="dxa"/>
            <w:vAlign w:val="center"/>
          </w:tcPr>
          <w:p w14:paraId="04341A9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差</w:t>
            </w:r>
          </w:p>
        </w:tc>
      </w:tr>
    </w:tbl>
    <w:p w14:paraId="2A28FF1D">
      <w:pPr>
        <w:spacing w:line="360" w:lineRule="auto"/>
        <w:ind w:firstLine="480" w:firstLineChars="200"/>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3.计算一级维度（通用能力、心理素养）得分，即</w:t>
      </w:r>
      <w:r>
        <w:rPr>
          <w:rFonts w:hint="eastAsia" w:ascii="宋体" w:hAnsi="宋体" w:eastAsia="宋体" w:cs="宋体"/>
          <w:b/>
          <w:bCs/>
          <w:color w:val="auto"/>
          <w:sz w:val="24"/>
          <w:szCs w:val="32"/>
          <w:lang w:val="en-US" w:eastAsia="zh-CN"/>
        </w:rPr>
        <w:t>一级维度得分=二级维度平均分之和/维度个数</w:t>
      </w:r>
      <w:r>
        <w:rPr>
          <w:rFonts w:hint="eastAsia" w:ascii="宋体" w:hAnsi="宋体" w:eastAsia="宋体" w:cs="宋体"/>
          <w:color w:val="auto"/>
          <w:sz w:val="24"/>
          <w:szCs w:val="32"/>
          <w:lang w:val="en-US" w:eastAsia="zh-CN"/>
        </w:rPr>
        <w:t>。将</w:t>
      </w:r>
      <w:r>
        <w:rPr>
          <w:rFonts w:hint="eastAsia" w:ascii="宋体" w:hAnsi="宋体" w:eastAsia="宋体" w:cs="宋体"/>
          <w:b/>
          <w:bCs/>
          <w:color w:val="auto"/>
          <w:sz w:val="24"/>
          <w:szCs w:val="32"/>
          <w:lang w:val="en-US" w:eastAsia="zh-CN"/>
        </w:rPr>
        <w:t>一级维度也分为五级</w:t>
      </w:r>
      <w:r>
        <w:rPr>
          <w:rFonts w:hint="eastAsia" w:ascii="宋体" w:hAnsi="宋体" w:eastAsia="宋体" w:cs="宋体"/>
          <w:color w:val="auto"/>
          <w:sz w:val="24"/>
          <w:szCs w:val="32"/>
          <w:lang w:val="en-US" w:eastAsia="zh-CN"/>
        </w:rPr>
        <w:t>，并对应不同的评价等级。</w:t>
      </w:r>
    </w:p>
    <w:tbl>
      <w:tblPr>
        <w:tblStyle w:val="11"/>
        <w:tblW w:w="62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6"/>
        <w:gridCol w:w="3425"/>
        <w:gridCol w:w="1559"/>
      </w:tblGrid>
      <w:tr w14:paraId="7893C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6" w:type="dxa"/>
            <w:vAlign w:val="center"/>
          </w:tcPr>
          <w:p w14:paraId="4653293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等级</w:t>
            </w:r>
          </w:p>
        </w:tc>
        <w:tc>
          <w:tcPr>
            <w:tcW w:w="3425" w:type="dxa"/>
            <w:vAlign w:val="center"/>
          </w:tcPr>
          <w:p w14:paraId="62D1D14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各维度平均分区间（上包含）</w:t>
            </w:r>
          </w:p>
        </w:tc>
        <w:tc>
          <w:tcPr>
            <w:tcW w:w="1559" w:type="dxa"/>
            <w:vAlign w:val="center"/>
          </w:tcPr>
          <w:p w14:paraId="7DEB195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评价等级</w:t>
            </w:r>
          </w:p>
        </w:tc>
      </w:tr>
      <w:tr w14:paraId="564B7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226" w:type="dxa"/>
            <w:vAlign w:val="center"/>
          </w:tcPr>
          <w:p w14:paraId="6747951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L5</w:t>
            </w:r>
          </w:p>
        </w:tc>
        <w:tc>
          <w:tcPr>
            <w:tcW w:w="3425" w:type="dxa"/>
            <w:vAlign w:val="center"/>
          </w:tcPr>
          <w:p w14:paraId="49C7C50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4.3—5.0</w:t>
            </w:r>
          </w:p>
        </w:tc>
        <w:tc>
          <w:tcPr>
            <w:tcW w:w="1559" w:type="dxa"/>
            <w:vAlign w:val="center"/>
          </w:tcPr>
          <w:p w14:paraId="16B8E61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高分</w:t>
            </w:r>
          </w:p>
        </w:tc>
      </w:tr>
      <w:tr w14:paraId="6D617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6" w:type="dxa"/>
            <w:vAlign w:val="center"/>
          </w:tcPr>
          <w:p w14:paraId="125B5CC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L4</w:t>
            </w:r>
          </w:p>
        </w:tc>
        <w:tc>
          <w:tcPr>
            <w:tcW w:w="3425" w:type="dxa"/>
            <w:vAlign w:val="center"/>
          </w:tcPr>
          <w:p w14:paraId="02F8FAD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3.5—4.3</w:t>
            </w:r>
          </w:p>
        </w:tc>
        <w:tc>
          <w:tcPr>
            <w:tcW w:w="1559" w:type="dxa"/>
            <w:vAlign w:val="center"/>
          </w:tcPr>
          <w:p w14:paraId="2C8D62D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较高分</w:t>
            </w:r>
          </w:p>
        </w:tc>
      </w:tr>
      <w:tr w14:paraId="733A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6" w:type="dxa"/>
            <w:vAlign w:val="center"/>
          </w:tcPr>
          <w:p w14:paraId="754F223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L3</w:t>
            </w:r>
          </w:p>
        </w:tc>
        <w:tc>
          <w:tcPr>
            <w:tcW w:w="3425" w:type="dxa"/>
            <w:vAlign w:val="center"/>
          </w:tcPr>
          <w:p w14:paraId="6F7E179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2.7—3.5</w:t>
            </w:r>
          </w:p>
        </w:tc>
        <w:tc>
          <w:tcPr>
            <w:tcW w:w="1559" w:type="dxa"/>
            <w:vAlign w:val="center"/>
          </w:tcPr>
          <w:p w14:paraId="28BF508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中分</w:t>
            </w:r>
          </w:p>
        </w:tc>
      </w:tr>
      <w:tr w14:paraId="681AF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6" w:type="dxa"/>
            <w:vAlign w:val="center"/>
          </w:tcPr>
          <w:p w14:paraId="5E572AF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L2</w:t>
            </w:r>
          </w:p>
        </w:tc>
        <w:tc>
          <w:tcPr>
            <w:tcW w:w="3425" w:type="dxa"/>
            <w:vAlign w:val="center"/>
          </w:tcPr>
          <w:p w14:paraId="4B65136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1.7—2.7</w:t>
            </w:r>
          </w:p>
        </w:tc>
        <w:tc>
          <w:tcPr>
            <w:tcW w:w="1559" w:type="dxa"/>
            <w:vAlign w:val="center"/>
          </w:tcPr>
          <w:p w14:paraId="667DDD8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较低分</w:t>
            </w:r>
          </w:p>
        </w:tc>
      </w:tr>
      <w:tr w14:paraId="33072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6" w:type="dxa"/>
            <w:vAlign w:val="center"/>
          </w:tcPr>
          <w:p w14:paraId="59E6B0D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L1</w:t>
            </w:r>
          </w:p>
        </w:tc>
        <w:tc>
          <w:tcPr>
            <w:tcW w:w="3425" w:type="dxa"/>
            <w:vAlign w:val="center"/>
          </w:tcPr>
          <w:p w14:paraId="4470C2A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1.0—1.7</w:t>
            </w:r>
          </w:p>
        </w:tc>
        <w:tc>
          <w:tcPr>
            <w:tcW w:w="1559" w:type="dxa"/>
            <w:vAlign w:val="center"/>
          </w:tcPr>
          <w:p w14:paraId="6A7DEDE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低分</w:t>
            </w:r>
          </w:p>
        </w:tc>
      </w:tr>
    </w:tbl>
    <w:p w14:paraId="423B7EFE">
      <w:pPr>
        <w:spacing w:line="360" w:lineRule="auto"/>
        <w:ind w:firstLine="480" w:firstLineChars="200"/>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4.计算总分，即</w:t>
      </w:r>
      <w:r>
        <w:rPr>
          <w:rFonts w:hint="eastAsia" w:ascii="宋体" w:hAnsi="宋体" w:eastAsia="宋体" w:cs="宋体"/>
          <w:b/>
          <w:bCs/>
          <w:color w:val="auto"/>
          <w:sz w:val="24"/>
          <w:szCs w:val="32"/>
          <w:lang w:val="en-US" w:eastAsia="zh-CN"/>
        </w:rPr>
        <w:t>所选维度的原始平均分相加</w:t>
      </w:r>
      <w:r>
        <w:rPr>
          <w:rFonts w:hint="eastAsia" w:ascii="宋体" w:hAnsi="宋体" w:eastAsia="宋体" w:cs="宋体"/>
          <w:color w:val="auto"/>
          <w:sz w:val="24"/>
          <w:szCs w:val="32"/>
          <w:lang w:val="en-US" w:eastAsia="zh-CN"/>
        </w:rPr>
        <w:t>。将</w:t>
      </w:r>
      <w:r>
        <w:rPr>
          <w:rFonts w:hint="eastAsia" w:ascii="宋体" w:hAnsi="宋体" w:eastAsia="宋体" w:cs="宋体"/>
          <w:b/>
          <w:bCs/>
          <w:color w:val="auto"/>
          <w:sz w:val="24"/>
          <w:szCs w:val="32"/>
          <w:lang w:val="en-US" w:eastAsia="zh-CN"/>
        </w:rPr>
        <w:t>总分划分为五个胜任等级</w:t>
      </w:r>
      <w:r>
        <w:rPr>
          <w:rFonts w:hint="eastAsia" w:ascii="宋体" w:hAnsi="宋体" w:eastAsia="宋体" w:cs="宋体"/>
          <w:color w:val="auto"/>
          <w:sz w:val="24"/>
          <w:szCs w:val="32"/>
          <w:lang w:val="en-US" w:eastAsia="zh-CN"/>
        </w:rPr>
        <w:t>，满分为50分，占满分90%以上，为优秀胜任；占满分80%-90%，为良好胜任；占满分65%-80%，为合格胜任；占满分50%-65%，为薄弱胜任；占满分65%以下，为尚未胜任。</w:t>
      </w:r>
    </w:p>
    <w:p w14:paraId="2CC05720">
      <w:pPr>
        <w:spacing w:line="360" w:lineRule="auto"/>
        <w:ind w:firstLine="480" w:firstLineChars="200"/>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5.计算效度量表总分，即将所有题目得分相加。若效度总分＞35分（满分50分的70%），则判定该份答卷整体“效度存疑”，需在测评报告的总体评价中对该情况予以提示；若效度总分≤35分，则判定该份答卷整体“效度良好”。</w:t>
      </w:r>
    </w:p>
    <w:p w14:paraId="11465CCB">
      <w:pPr>
        <w:spacing w:line="360" w:lineRule="auto"/>
        <w:ind w:firstLine="482" w:firstLineChars="200"/>
        <w:rPr>
          <w:rFonts w:hint="default"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九、结果应用</w:t>
      </w:r>
    </w:p>
    <w:tbl>
      <w:tblPr>
        <w:tblStyle w:val="11"/>
        <w:tblW w:w="90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7"/>
        <w:gridCol w:w="1065"/>
        <w:gridCol w:w="6840"/>
      </w:tblGrid>
      <w:tr w14:paraId="5CFB0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17" w:type="dxa"/>
            <w:vAlign w:val="center"/>
          </w:tcPr>
          <w:p w14:paraId="5866ED0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决策场景</w:t>
            </w:r>
          </w:p>
        </w:tc>
        <w:tc>
          <w:tcPr>
            <w:tcW w:w="1065" w:type="dxa"/>
            <w:vAlign w:val="center"/>
          </w:tcPr>
          <w:p w14:paraId="2277673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场景应用</w:t>
            </w:r>
          </w:p>
        </w:tc>
        <w:tc>
          <w:tcPr>
            <w:tcW w:w="6840" w:type="dxa"/>
            <w:vAlign w:val="center"/>
          </w:tcPr>
          <w:p w14:paraId="0843C77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应用建议</w:t>
            </w:r>
          </w:p>
        </w:tc>
      </w:tr>
      <w:tr w14:paraId="2448A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vMerge w:val="restart"/>
            <w:vAlign w:val="center"/>
          </w:tcPr>
          <w:p w14:paraId="00B88C8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lang w:val="en-US" w:eastAsia="zh-CN"/>
              </w:rPr>
              <w:t>选拔/晋升决策</w:t>
            </w:r>
          </w:p>
        </w:tc>
        <w:tc>
          <w:tcPr>
            <w:tcW w:w="1065" w:type="dxa"/>
            <w:vAlign w:val="center"/>
          </w:tcPr>
          <w:p w14:paraId="12EE7FC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val="0"/>
                <w:bCs w:val="0"/>
                <w:color w:val="auto"/>
                <w:sz w:val="21"/>
                <w:szCs w:val="21"/>
                <w:lang w:val="en-US" w:eastAsia="zh-CN"/>
              </w:rPr>
              <w:t>晋升资格筛查</w:t>
            </w:r>
          </w:p>
        </w:tc>
        <w:tc>
          <w:tcPr>
            <w:tcW w:w="6840" w:type="dxa"/>
            <w:vAlign w:val="center"/>
          </w:tcPr>
          <w:p w14:paraId="567BD941">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b/>
                <w:bCs/>
                <w:color w:val="auto"/>
                <w:sz w:val="21"/>
                <w:szCs w:val="21"/>
                <w:vertAlign w:val="baseline"/>
                <w:lang w:val="en-US" w:eastAsia="zh-CN"/>
              </w:rPr>
            </w:pPr>
            <w:r>
              <w:rPr>
                <w:rFonts w:hint="default" w:ascii="Segoe UI" w:hAnsi="Segoe UI" w:eastAsia="Segoe UI" w:cs="Segoe UI"/>
                <w:i w:val="0"/>
                <w:iCs w:val="0"/>
                <w:caps w:val="0"/>
                <w:color w:val="auto"/>
                <w:spacing w:val="0"/>
                <w:sz w:val="21"/>
                <w:szCs w:val="21"/>
                <w:shd w:val="clear" w:fill="FFFFFF"/>
              </w:rPr>
              <w:t>将目标岗位所需各维度的得分要求作为晋升的门槛条件。例如管理岗位晋升</w:t>
            </w:r>
            <w:r>
              <w:rPr>
                <w:rFonts w:hint="eastAsia" w:ascii="Segoe UI" w:hAnsi="Segoe UI" w:eastAsia="宋体" w:cs="Segoe UI"/>
                <w:i w:val="0"/>
                <w:iCs w:val="0"/>
                <w:caps w:val="0"/>
                <w:color w:val="auto"/>
                <w:spacing w:val="0"/>
                <w:sz w:val="21"/>
                <w:szCs w:val="21"/>
                <w:shd w:val="clear" w:fill="FFFFFF"/>
                <w:lang w:eastAsia="zh-CN"/>
              </w:rPr>
              <w:t>，</w:t>
            </w:r>
            <w:r>
              <w:rPr>
                <w:rFonts w:hint="default" w:ascii="Segoe UI" w:hAnsi="Segoe UI" w:eastAsia="Segoe UI" w:cs="Segoe UI"/>
                <w:i w:val="0"/>
                <w:iCs w:val="0"/>
                <w:caps w:val="0"/>
                <w:color w:val="auto"/>
                <w:spacing w:val="0"/>
                <w:sz w:val="21"/>
                <w:szCs w:val="21"/>
                <w:shd w:val="clear" w:fill="FFFFFF"/>
              </w:rPr>
              <w:t>基层员工→管理者，或基层管理者→更高层级管理者管理类核心维度得分达到L4及以上，表明其具备胜任管理职责的行为表现基础。</w:t>
            </w:r>
          </w:p>
        </w:tc>
      </w:tr>
      <w:tr w14:paraId="612DB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vMerge w:val="continue"/>
            <w:vAlign w:val="center"/>
          </w:tcPr>
          <w:p w14:paraId="63686B0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b/>
                <w:bCs/>
                <w:color w:val="auto"/>
                <w:sz w:val="21"/>
                <w:szCs w:val="21"/>
                <w:vertAlign w:val="baseline"/>
                <w:lang w:val="en-US" w:eastAsia="zh-CN"/>
              </w:rPr>
            </w:pPr>
          </w:p>
        </w:tc>
        <w:tc>
          <w:tcPr>
            <w:tcW w:w="1065" w:type="dxa"/>
            <w:vAlign w:val="center"/>
          </w:tcPr>
          <w:p w14:paraId="6D1A3DB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val="0"/>
                <w:bCs w:val="0"/>
                <w:color w:val="auto"/>
                <w:sz w:val="21"/>
                <w:szCs w:val="21"/>
                <w:lang w:val="en-US" w:eastAsia="zh-CN"/>
              </w:rPr>
              <w:t>发展潜质识别</w:t>
            </w:r>
          </w:p>
        </w:tc>
        <w:tc>
          <w:tcPr>
            <w:tcW w:w="6840" w:type="dxa"/>
            <w:vAlign w:val="center"/>
          </w:tcPr>
          <w:p w14:paraId="17196587">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val="0"/>
                <w:bCs w:val="0"/>
                <w:color w:val="auto"/>
                <w:sz w:val="21"/>
                <w:szCs w:val="21"/>
                <w:lang w:val="en-US" w:eastAsia="zh-CN"/>
              </w:rPr>
              <w:t>关注与长期成长密切相关的维度表现。这些维度得分高者，即便当前某些维度得分处于中等水平，也具备较大的成长空间，可纳入高潜人才储备池。例如管理岗位重点关注与战略思维、全局观念、团队领导等行为倾向。</w:t>
            </w:r>
          </w:p>
        </w:tc>
      </w:tr>
      <w:tr w14:paraId="5A708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vMerge w:val="continue"/>
            <w:vAlign w:val="center"/>
          </w:tcPr>
          <w:p w14:paraId="0E50C50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b/>
                <w:bCs/>
                <w:color w:val="auto"/>
                <w:sz w:val="21"/>
                <w:szCs w:val="21"/>
                <w:vertAlign w:val="baseline"/>
                <w:lang w:val="en-US" w:eastAsia="zh-CN"/>
              </w:rPr>
            </w:pPr>
          </w:p>
        </w:tc>
        <w:tc>
          <w:tcPr>
            <w:tcW w:w="1065" w:type="dxa"/>
            <w:vAlign w:val="center"/>
          </w:tcPr>
          <w:p w14:paraId="135AF99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val="0"/>
                <w:bCs w:val="0"/>
                <w:color w:val="auto"/>
                <w:sz w:val="21"/>
                <w:szCs w:val="21"/>
                <w:lang w:val="en-US" w:eastAsia="zh-CN"/>
              </w:rPr>
              <w:t>人岗匹配优化</w:t>
            </w:r>
          </w:p>
        </w:tc>
        <w:tc>
          <w:tcPr>
            <w:tcW w:w="6840" w:type="dxa"/>
            <w:vAlign w:val="center"/>
          </w:tcPr>
          <w:p w14:paraId="6DD6552D">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对于现任岗位与测评结果不匹配的员工，可考虑调岗或扩大职责范围，实现人尽其才。例如某员工在需要主动开拓、独立判断的维度上得分极高，但当前岗位高度重复枯燥。</w:t>
            </w:r>
          </w:p>
          <w:p w14:paraId="39846F14">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反之，若员工在当前管理岗位上多项核心维度持续偏低，而执行类维度表现突出，可评估其是否更适合回归专业序列发展。</w:t>
            </w:r>
          </w:p>
        </w:tc>
      </w:tr>
      <w:tr w14:paraId="3B34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vMerge w:val="restart"/>
            <w:vAlign w:val="center"/>
          </w:tcPr>
          <w:p w14:paraId="5669A65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lang w:val="en-US" w:eastAsia="zh-CN"/>
              </w:rPr>
              <w:t>培养发展决策</w:t>
            </w:r>
          </w:p>
        </w:tc>
        <w:tc>
          <w:tcPr>
            <w:tcW w:w="1065" w:type="dxa"/>
            <w:vAlign w:val="center"/>
          </w:tcPr>
          <w:p w14:paraId="0484232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val="0"/>
                <w:bCs w:val="0"/>
                <w:color w:val="auto"/>
                <w:sz w:val="21"/>
                <w:szCs w:val="21"/>
                <w:lang w:val="en-US" w:eastAsia="zh-CN"/>
              </w:rPr>
              <w:t>定制化培训</w:t>
            </w:r>
          </w:p>
        </w:tc>
        <w:tc>
          <w:tcPr>
            <w:tcW w:w="6840" w:type="dxa"/>
            <w:vAlign w:val="center"/>
          </w:tcPr>
          <w:p w14:paraId="60050CC5">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对照岗位胜任力基准，识别员工各维度得分中的薄弱项，针对性制定发展方案。例如L4—L5可安排其担任内部导师、分享经验，在巩固自身优势的同时带动团队整体提升。L3可通过针对性训练或案例学习推动其从“合格”向“优异”迈进。L2及以下需制定专项提升计划，配备带教人进行高频实操指导与即时反馈。</w:t>
            </w:r>
          </w:p>
          <w:p w14:paraId="17DC8348">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在此基础上，基层岗位的培养重点应聚焦于任务执行、协作配合等维度的行为改进；管理岗位的培养重点应聚焦于团队管理、统筹协调等维度的能力建设。</w:t>
            </w:r>
          </w:p>
        </w:tc>
      </w:tr>
      <w:tr w14:paraId="12378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vMerge w:val="continue"/>
            <w:vAlign w:val="center"/>
          </w:tcPr>
          <w:p w14:paraId="7A2146F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b/>
                <w:bCs/>
                <w:color w:val="auto"/>
                <w:sz w:val="21"/>
                <w:szCs w:val="21"/>
                <w:lang w:val="en-US" w:eastAsia="zh-CN"/>
              </w:rPr>
            </w:pPr>
          </w:p>
        </w:tc>
        <w:tc>
          <w:tcPr>
            <w:tcW w:w="1065" w:type="dxa"/>
            <w:vAlign w:val="center"/>
          </w:tcPr>
          <w:p w14:paraId="44B5108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培训效果评估</w:t>
            </w:r>
          </w:p>
        </w:tc>
        <w:tc>
          <w:tcPr>
            <w:tcW w:w="6840" w:type="dxa"/>
            <w:vAlign w:val="center"/>
          </w:tcPr>
          <w:p w14:paraId="79944FEE">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在培训项目实施前后分别进行测评，通过各维度得分的提升幅度客观评估培训效果。对于得分提升不明显的维度，需进一步分析培训内容与实际岗位需求的匹配度，及时优化培训方案。</w:t>
            </w:r>
          </w:p>
        </w:tc>
      </w:tr>
    </w:tbl>
    <w:p w14:paraId="1E4D31C7">
      <w:pPr>
        <w:spacing w:line="360" w:lineRule="auto"/>
        <w:ind w:firstLine="482" w:firstLineChars="200"/>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十、产品优势</w:t>
      </w:r>
    </w:p>
    <w:p w14:paraId="5979DD07">
      <w:pPr>
        <w:spacing w:line="360" w:lineRule="auto"/>
        <w:ind w:firstLine="480" w:firstLineChars="200"/>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胜任力测评以冰山模型与洋葱模型为理论基础，围绕鉴别性素质构建了通用能力层、心理素养层两层评估框架。与市面上聚焦单一心理构念、性格分类或特定评估维度的主流工具相比，实现了两个层面的突破：在评估深度上，从表层能力延伸至深层动机，完整覆盖冰山以下素质；在评估广度上，整合两个层级40个维度，系统还原员工胜任力全貌；在应用灵活性上，采用“模块化+定制化”的分层选取模式，适配多元岗位与多场景需求。这种兼顾专业深度、评估广度与实施效率的设计，为企业人才管理提供了更具实用价值和成本效益的解决方案。</w:t>
      </w:r>
    </w:p>
    <w:p w14:paraId="120CB179">
      <w:pPr>
        <w:spacing w:line="240" w:lineRule="auto"/>
        <w:ind w:firstLine="0" w:firstLineChars="0"/>
        <w:rPr>
          <w:rFonts w:hint="eastAsia" w:ascii="宋体" w:hAnsi="宋体" w:eastAsia="宋体" w:cs="宋体"/>
          <w:color w:val="auto"/>
          <w:sz w:val="24"/>
          <w:szCs w:val="32"/>
          <w:lang w:val="en-US" w:eastAsia="zh-CN"/>
        </w:rPr>
      </w:pPr>
      <w:bookmarkStart w:id="0" w:name="_GoBack"/>
      <w:bookmarkEnd w:id="0"/>
    </w:p>
    <w:p w14:paraId="71525B45">
      <w:pPr>
        <w:spacing w:line="360" w:lineRule="auto"/>
        <w:ind w:firstLine="0" w:firstLineChars="0"/>
        <w:rPr>
          <w:rFonts w:hint="default" w:ascii="宋体" w:hAnsi="宋体" w:eastAsia="宋体" w:cs="宋体"/>
          <w:color w:val="auto"/>
          <w:sz w:val="24"/>
          <w:szCs w:val="32"/>
          <w:lang w:val="en-US" w:eastAsia="zh-CN"/>
        </w:rPr>
      </w:pPr>
    </w:p>
    <w:sectPr>
      <w:headerReference r:id="rId3" w:type="default"/>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FA77F">
    <w:pPr>
      <w:widowControl w:val="0"/>
      <w:tabs>
        <w:tab w:val="center" w:pos="4153"/>
        <w:tab w:val="right" w:pos="8306"/>
      </w:tabs>
      <w:snapToGrid w:val="0"/>
      <w:jc w:val="left"/>
      <w:rPr>
        <w:rFonts w:ascii="Calibri" w:hAnsi="Calibri" w:eastAsia="宋体" w:cs="Times New Roman"/>
        <w:kern w:val="2"/>
        <w:sz w:val="18"/>
        <w:szCs w:val="24"/>
        <w:lang w:val="en-US" w:eastAsia="zh-CN" w:bidi="ar-SA"/>
      </w:rPr>
    </w:pPr>
    <w:r>
      <w:rPr>
        <w:rFonts w:ascii="Calibri" w:hAnsi="Calibri" w:eastAsia="宋体" w:cs="Times New Roman"/>
        <w:kern w:val="2"/>
        <w:sz w:val="18"/>
        <w:szCs w:val="24"/>
        <w:lang w:val="en-US" w:eastAsia="zh-CN"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D46D56">
                          <w:pPr>
                            <w:widowControl w:val="0"/>
                            <w:tabs>
                              <w:tab w:val="center" w:pos="4153"/>
                              <w:tab w:val="right" w:pos="8306"/>
                            </w:tabs>
                            <w:snapToGrid w:val="0"/>
                            <w:jc w:val="left"/>
                            <w:rPr>
                              <w:rFonts w:ascii="Calibri" w:hAnsi="Calibri" w:eastAsia="宋体" w:cs="Times New Roman"/>
                              <w:kern w:val="2"/>
                              <w:sz w:val="18"/>
                              <w:szCs w:val="24"/>
                              <w:lang w:val="en-US" w:eastAsia="zh-CN" w:bidi="ar-SA"/>
                            </w:rPr>
                          </w:pPr>
                          <w:r>
                            <w:rPr>
                              <w:rFonts w:ascii="Calibri" w:hAnsi="Calibri" w:eastAsia="宋体" w:cs="Times New Roman"/>
                              <w:kern w:val="2"/>
                              <w:sz w:val="18"/>
                              <w:szCs w:val="24"/>
                              <w:lang w:val="en-US" w:eastAsia="zh-CN" w:bidi="ar-SA"/>
                            </w:rPr>
                            <w:t xml:space="preserve">第 </w:t>
                          </w:r>
                          <w:r>
                            <w:rPr>
                              <w:rFonts w:ascii="Calibri" w:hAnsi="Calibri" w:eastAsia="宋体" w:cs="Times New Roman"/>
                              <w:kern w:val="2"/>
                              <w:sz w:val="18"/>
                              <w:szCs w:val="24"/>
                              <w:lang w:val="en-US" w:eastAsia="zh-CN" w:bidi="ar-SA"/>
                            </w:rPr>
                            <w:fldChar w:fldCharType="begin"/>
                          </w:r>
                          <w:r>
                            <w:rPr>
                              <w:rFonts w:ascii="Calibri" w:hAnsi="Calibri" w:eastAsia="宋体" w:cs="Times New Roman"/>
                              <w:kern w:val="2"/>
                              <w:sz w:val="18"/>
                              <w:szCs w:val="24"/>
                              <w:lang w:val="en-US" w:eastAsia="zh-CN" w:bidi="ar-SA"/>
                            </w:rPr>
                            <w:instrText xml:space="preserve"> PAGE  \* MERGEFORMAT </w:instrText>
                          </w:r>
                          <w:r>
                            <w:rPr>
                              <w:rFonts w:ascii="Calibri" w:hAnsi="Calibri" w:eastAsia="宋体" w:cs="Times New Roman"/>
                              <w:kern w:val="2"/>
                              <w:sz w:val="18"/>
                              <w:szCs w:val="24"/>
                              <w:lang w:val="en-US" w:eastAsia="zh-CN" w:bidi="ar-SA"/>
                            </w:rPr>
                            <w:fldChar w:fldCharType="separate"/>
                          </w:r>
                          <w:r>
                            <w:rPr>
                              <w:rFonts w:ascii="Calibri" w:hAnsi="Calibri" w:eastAsia="宋体" w:cs="Times New Roman"/>
                              <w:kern w:val="2"/>
                              <w:sz w:val="18"/>
                              <w:szCs w:val="24"/>
                              <w:lang w:val="en-US" w:eastAsia="zh-CN" w:bidi="ar-SA"/>
                            </w:rPr>
                            <w:t>1</w:t>
                          </w:r>
                          <w:r>
                            <w:rPr>
                              <w:rFonts w:ascii="Calibri" w:hAnsi="Calibri" w:eastAsia="宋体" w:cs="Times New Roman"/>
                              <w:kern w:val="2"/>
                              <w:sz w:val="18"/>
                              <w:szCs w:val="24"/>
                              <w:lang w:val="en-US" w:eastAsia="zh-CN" w:bidi="ar-SA"/>
                            </w:rPr>
                            <w:fldChar w:fldCharType="end"/>
                          </w:r>
                          <w:r>
                            <w:rPr>
                              <w:rFonts w:ascii="Calibri" w:hAnsi="Calibri" w:eastAsia="宋体" w:cs="Times New Roman"/>
                              <w:kern w:val="2"/>
                              <w:sz w:val="18"/>
                              <w:szCs w:val="24"/>
                              <w:lang w:val="en-US" w:eastAsia="zh-CN" w:bidi="ar-S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7eU9DICAABjBAAADgAAAAAAAAABACAAAAAfAQAAZHJzL2Uyb0RvYy54bWxQSwUG&#10;AAAAAAYABgBZAQAAwwUAAAAA&#10;">
              <v:fill on="f" focussize="0,0"/>
              <v:stroke on="f" weight="0.5pt"/>
              <v:imagedata o:title=""/>
              <o:lock v:ext="edit" aspectratio="f"/>
              <v:textbox inset="0mm,0mm,0mm,0mm" style="mso-fit-shape-to-text:t;">
                <w:txbxContent>
                  <w:p w14:paraId="1DD46D56">
                    <w:pPr>
                      <w:widowControl w:val="0"/>
                      <w:tabs>
                        <w:tab w:val="center" w:pos="4153"/>
                        <w:tab w:val="right" w:pos="8306"/>
                      </w:tabs>
                      <w:snapToGrid w:val="0"/>
                      <w:jc w:val="left"/>
                      <w:rPr>
                        <w:rFonts w:ascii="Calibri" w:hAnsi="Calibri" w:eastAsia="宋体" w:cs="Times New Roman"/>
                        <w:kern w:val="2"/>
                        <w:sz w:val="18"/>
                        <w:szCs w:val="24"/>
                        <w:lang w:val="en-US" w:eastAsia="zh-CN" w:bidi="ar-SA"/>
                      </w:rPr>
                    </w:pPr>
                    <w:r>
                      <w:rPr>
                        <w:rFonts w:ascii="Calibri" w:hAnsi="Calibri" w:eastAsia="宋体" w:cs="Times New Roman"/>
                        <w:kern w:val="2"/>
                        <w:sz w:val="18"/>
                        <w:szCs w:val="24"/>
                        <w:lang w:val="en-US" w:eastAsia="zh-CN" w:bidi="ar-SA"/>
                      </w:rPr>
                      <w:t xml:space="preserve">第 </w:t>
                    </w:r>
                    <w:r>
                      <w:rPr>
                        <w:rFonts w:ascii="Calibri" w:hAnsi="Calibri" w:eastAsia="宋体" w:cs="Times New Roman"/>
                        <w:kern w:val="2"/>
                        <w:sz w:val="18"/>
                        <w:szCs w:val="24"/>
                        <w:lang w:val="en-US" w:eastAsia="zh-CN" w:bidi="ar-SA"/>
                      </w:rPr>
                      <w:fldChar w:fldCharType="begin"/>
                    </w:r>
                    <w:r>
                      <w:rPr>
                        <w:rFonts w:ascii="Calibri" w:hAnsi="Calibri" w:eastAsia="宋体" w:cs="Times New Roman"/>
                        <w:kern w:val="2"/>
                        <w:sz w:val="18"/>
                        <w:szCs w:val="24"/>
                        <w:lang w:val="en-US" w:eastAsia="zh-CN" w:bidi="ar-SA"/>
                      </w:rPr>
                      <w:instrText xml:space="preserve"> PAGE  \* MERGEFORMAT </w:instrText>
                    </w:r>
                    <w:r>
                      <w:rPr>
                        <w:rFonts w:ascii="Calibri" w:hAnsi="Calibri" w:eastAsia="宋体" w:cs="Times New Roman"/>
                        <w:kern w:val="2"/>
                        <w:sz w:val="18"/>
                        <w:szCs w:val="24"/>
                        <w:lang w:val="en-US" w:eastAsia="zh-CN" w:bidi="ar-SA"/>
                      </w:rPr>
                      <w:fldChar w:fldCharType="separate"/>
                    </w:r>
                    <w:r>
                      <w:rPr>
                        <w:rFonts w:ascii="Calibri" w:hAnsi="Calibri" w:eastAsia="宋体" w:cs="Times New Roman"/>
                        <w:kern w:val="2"/>
                        <w:sz w:val="18"/>
                        <w:szCs w:val="24"/>
                        <w:lang w:val="en-US" w:eastAsia="zh-CN" w:bidi="ar-SA"/>
                      </w:rPr>
                      <w:t>1</w:t>
                    </w:r>
                    <w:r>
                      <w:rPr>
                        <w:rFonts w:ascii="Calibri" w:hAnsi="Calibri" w:eastAsia="宋体" w:cs="Times New Roman"/>
                        <w:kern w:val="2"/>
                        <w:sz w:val="18"/>
                        <w:szCs w:val="24"/>
                        <w:lang w:val="en-US" w:eastAsia="zh-CN" w:bidi="ar-SA"/>
                      </w:rPr>
                      <w:fldChar w:fldCharType="end"/>
                    </w:r>
                    <w:r>
                      <w:rPr>
                        <w:rFonts w:ascii="Calibri" w:hAnsi="Calibri" w:eastAsia="宋体" w:cs="Times New Roman"/>
                        <w:kern w:val="2"/>
                        <w:sz w:val="18"/>
                        <w:szCs w:val="24"/>
                        <w:lang w:val="en-US" w:eastAsia="zh-CN" w:bidi="ar-SA"/>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C8D37">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right"/>
      <w:rPr>
        <w:rFonts w:hint="eastAsia" w:ascii="仿宋" w:hAnsi="仿宋" w:eastAsia="仿宋" w:cs="仿宋"/>
        <w:kern w:val="2"/>
        <w:sz w:val="18"/>
        <w:szCs w:val="24"/>
        <w:lang w:val="en-US" w:eastAsia="zh-CN" w:bidi="ar-SA"/>
      </w:rPr>
    </w:pPr>
    <w:r>
      <w:rPr>
        <w:rFonts w:hint="eastAsia" w:ascii="仿宋" w:hAnsi="仿宋" w:eastAsia="仿宋" w:cs="仿宋"/>
        <w:kern w:val="2"/>
        <w:sz w:val="18"/>
        <w:szCs w:val="24"/>
        <w:lang w:val="en-US" w:eastAsia="zh-CN" w:bidi="ar-SA"/>
      </w:rPr>
      <w:t>胜任力测评</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7B58D9"/>
    <w:rsid w:val="00FE7B94"/>
    <w:rsid w:val="01B34F24"/>
    <w:rsid w:val="02647ECA"/>
    <w:rsid w:val="03A56240"/>
    <w:rsid w:val="044472EE"/>
    <w:rsid w:val="045F2EBA"/>
    <w:rsid w:val="046534EF"/>
    <w:rsid w:val="04E21E20"/>
    <w:rsid w:val="051D1818"/>
    <w:rsid w:val="051D5E5E"/>
    <w:rsid w:val="05EA06E6"/>
    <w:rsid w:val="0781151E"/>
    <w:rsid w:val="0995305F"/>
    <w:rsid w:val="0A6C39FA"/>
    <w:rsid w:val="0ACF21EB"/>
    <w:rsid w:val="0B512FB6"/>
    <w:rsid w:val="0DCF4D92"/>
    <w:rsid w:val="0E7771D7"/>
    <w:rsid w:val="0EFB1BB6"/>
    <w:rsid w:val="0F213CE5"/>
    <w:rsid w:val="0F352FC1"/>
    <w:rsid w:val="10DE353E"/>
    <w:rsid w:val="12B9051A"/>
    <w:rsid w:val="13631599"/>
    <w:rsid w:val="139B4E1F"/>
    <w:rsid w:val="14863CD0"/>
    <w:rsid w:val="14C73390"/>
    <w:rsid w:val="16A06DAB"/>
    <w:rsid w:val="170535D2"/>
    <w:rsid w:val="171E4694"/>
    <w:rsid w:val="181D731F"/>
    <w:rsid w:val="19CB0A1B"/>
    <w:rsid w:val="1A705206"/>
    <w:rsid w:val="1BC021BE"/>
    <w:rsid w:val="1BF51F40"/>
    <w:rsid w:val="1BFE3CEC"/>
    <w:rsid w:val="1CD47D8B"/>
    <w:rsid w:val="1F0B1394"/>
    <w:rsid w:val="1F903C55"/>
    <w:rsid w:val="200E651C"/>
    <w:rsid w:val="20280331"/>
    <w:rsid w:val="212C3AE1"/>
    <w:rsid w:val="224A024D"/>
    <w:rsid w:val="227C6712"/>
    <w:rsid w:val="25C1725E"/>
    <w:rsid w:val="271820AF"/>
    <w:rsid w:val="278E12DD"/>
    <w:rsid w:val="27E64D5A"/>
    <w:rsid w:val="27F10F49"/>
    <w:rsid w:val="28357982"/>
    <w:rsid w:val="28A6098D"/>
    <w:rsid w:val="2984532D"/>
    <w:rsid w:val="29D76E30"/>
    <w:rsid w:val="2A655FBB"/>
    <w:rsid w:val="2A6F0AB4"/>
    <w:rsid w:val="2A816FBC"/>
    <w:rsid w:val="2BA56CDA"/>
    <w:rsid w:val="2BE65A2F"/>
    <w:rsid w:val="2BE710A1"/>
    <w:rsid w:val="2DAD00C8"/>
    <w:rsid w:val="2DB87C27"/>
    <w:rsid w:val="2E1E4B22"/>
    <w:rsid w:val="2F2A45B3"/>
    <w:rsid w:val="30A06996"/>
    <w:rsid w:val="32442AEC"/>
    <w:rsid w:val="33753436"/>
    <w:rsid w:val="34513374"/>
    <w:rsid w:val="346E0078"/>
    <w:rsid w:val="35C501ED"/>
    <w:rsid w:val="36CA3770"/>
    <w:rsid w:val="36F071F1"/>
    <w:rsid w:val="3797430F"/>
    <w:rsid w:val="37C30C14"/>
    <w:rsid w:val="38D75A4F"/>
    <w:rsid w:val="38FE7E8D"/>
    <w:rsid w:val="3AA63AE9"/>
    <w:rsid w:val="3BBB7067"/>
    <w:rsid w:val="3E2D5039"/>
    <w:rsid w:val="3EF65CCA"/>
    <w:rsid w:val="3F206C20"/>
    <w:rsid w:val="3F8540C1"/>
    <w:rsid w:val="40F04493"/>
    <w:rsid w:val="40FE2CBD"/>
    <w:rsid w:val="417B58D9"/>
    <w:rsid w:val="423B3A9C"/>
    <w:rsid w:val="430215D1"/>
    <w:rsid w:val="446D6D8C"/>
    <w:rsid w:val="449000D0"/>
    <w:rsid w:val="44AB6CB7"/>
    <w:rsid w:val="44CB1015"/>
    <w:rsid w:val="456B4699"/>
    <w:rsid w:val="465B470D"/>
    <w:rsid w:val="465F6AEF"/>
    <w:rsid w:val="46676190"/>
    <w:rsid w:val="472D198A"/>
    <w:rsid w:val="47426808"/>
    <w:rsid w:val="47E2412D"/>
    <w:rsid w:val="47F94765"/>
    <w:rsid w:val="48582E92"/>
    <w:rsid w:val="493B20E8"/>
    <w:rsid w:val="4A873D23"/>
    <w:rsid w:val="4AD118F1"/>
    <w:rsid w:val="4BAD1567"/>
    <w:rsid w:val="4C083B30"/>
    <w:rsid w:val="4C9B44C2"/>
    <w:rsid w:val="4D25419A"/>
    <w:rsid w:val="4F697E9B"/>
    <w:rsid w:val="50135F43"/>
    <w:rsid w:val="51A54246"/>
    <w:rsid w:val="53433809"/>
    <w:rsid w:val="56232843"/>
    <w:rsid w:val="567822CA"/>
    <w:rsid w:val="56EB73E7"/>
    <w:rsid w:val="57C30A5B"/>
    <w:rsid w:val="58124961"/>
    <w:rsid w:val="5825309C"/>
    <w:rsid w:val="58692CBA"/>
    <w:rsid w:val="58D4181A"/>
    <w:rsid w:val="5A935E72"/>
    <w:rsid w:val="5AC42429"/>
    <w:rsid w:val="5AC81FAD"/>
    <w:rsid w:val="5ADA1984"/>
    <w:rsid w:val="5BB47782"/>
    <w:rsid w:val="5D072AA1"/>
    <w:rsid w:val="5F525023"/>
    <w:rsid w:val="5F97635E"/>
    <w:rsid w:val="61F749C0"/>
    <w:rsid w:val="62134E52"/>
    <w:rsid w:val="6332564A"/>
    <w:rsid w:val="63BB3B80"/>
    <w:rsid w:val="63DF6526"/>
    <w:rsid w:val="645C1924"/>
    <w:rsid w:val="64E831B8"/>
    <w:rsid w:val="65007136"/>
    <w:rsid w:val="65430192"/>
    <w:rsid w:val="66976033"/>
    <w:rsid w:val="670A38BA"/>
    <w:rsid w:val="67905363"/>
    <w:rsid w:val="67BA0E3C"/>
    <w:rsid w:val="68867A24"/>
    <w:rsid w:val="6887414D"/>
    <w:rsid w:val="691C02C6"/>
    <w:rsid w:val="69F83E9D"/>
    <w:rsid w:val="6A162576"/>
    <w:rsid w:val="6A856B9B"/>
    <w:rsid w:val="6AA06406"/>
    <w:rsid w:val="6B295972"/>
    <w:rsid w:val="6CDF5FF9"/>
    <w:rsid w:val="6D261E17"/>
    <w:rsid w:val="6D673BD9"/>
    <w:rsid w:val="6E13574A"/>
    <w:rsid w:val="7044557F"/>
    <w:rsid w:val="71482132"/>
    <w:rsid w:val="724203AC"/>
    <w:rsid w:val="72485159"/>
    <w:rsid w:val="72AE3301"/>
    <w:rsid w:val="73C13552"/>
    <w:rsid w:val="74861898"/>
    <w:rsid w:val="75295853"/>
    <w:rsid w:val="758A7B90"/>
    <w:rsid w:val="769907B6"/>
    <w:rsid w:val="774C29A1"/>
    <w:rsid w:val="77B641B8"/>
    <w:rsid w:val="78A02EF8"/>
    <w:rsid w:val="78FE71F8"/>
    <w:rsid w:val="7AEC6D89"/>
    <w:rsid w:val="7BF72207"/>
    <w:rsid w:val="7C705B15"/>
    <w:rsid w:val="7DD90862"/>
    <w:rsid w:val="7E3D2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ascii="Arial" w:hAnsi="Arial" w:eastAsia="宋体" w:cs="Arial"/>
      <w:b/>
      <w:snapToGrid w:val="0"/>
      <w:color w:val="000000"/>
      <w:kern w:val="44"/>
      <w:sz w:val="28"/>
      <w:szCs w:val="21"/>
      <w:lang w:eastAsia="en-US"/>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footnote text"/>
    <w:basedOn w:val="1"/>
    <w:qFormat/>
    <w:uiPriority w:val="0"/>
    <w:pPr>
      <w:snapToGrid w:val="0"/>
      <w:jc w:val="left"/>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qFormat/>
    <w:uiPriority w:val="0"/>
    <w:rPr>
      <w:color w:val="0000FF"/>
      <w:u w:val="single"/>
    </w:rPr>
  </w:style>
  <w:style w:type="character" w:styleId="16">
    <w:name w:val="footnote reference"/>
    <w:basedOn w:val="12"/>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08eff2bf-ac6d-4a7c-8965-edca0f3005af</errorID>
      <errorWord>因此开发</errorWord>
      <group>L1_Grammar</group>
      <groupName>语法问题</groupName>
      <ability>L2_Grammar</ability>
      <abilityName>语法错误</abilityName>
      <candidateList>
        <item>开发</item>
      </candidateList>
      <explain/>
      <paraID>4616532C</paraID>
      <start>71</start>
      <end>75</end>
      <status>unmodified</status>
      <modifiedWord/>
      <trackRevisions>false</trackRevisions>
    </reviewItem>
    <reviewItem>
      <errorID>36651a54-764d-4931-93df-e13e5dd86bc4</errorID>
      <errorWord> </errorWord>
      <group>L1_Punc</group>
      <groupName>标点问题</groupName>
      <ability>L2_Punc_CN</ability>
      <abilityName>标点符号问题</abilityName>
      <candidateList>
        <item>·</item>
      </candidateList>
      <explain/>
      <paraID>6B2B0AAD</paraID>
      <start>13</start>
      <end>14</end>
      <status>unmodified</status>
      <modifiedWord/>
      <trackRevisions>false</trackRevisions>
    </reviewItem>
    <reviewItem>
      <errorID>da894752-8f89-4d29-adb4-dafc9a00c225</errorID>
      <errorWord>《胜任力工作：卓越绩效模型》</errorWord>
      <group>L1_Other</group>
      <groupName>其他问题</groupName>
      <ability>L2_Consistency</ability>
      <abilityName>一致性检查</abilityName>
      <candidateList>
        <item>《工作中的胜任特征》</item>
      </candidateList>
      <explain>实体一致性：前文提及斯潘塞（Spencer &amp; Spencer, 1993）的著作，一处命名为《胜任力工作：卓越绩效模型》，另一处命名为《工作中的胜任特征》，同一作者同年的同一份研究成果对应著作名称不一致</explain>
      <paraID>1E5260A0</paraID>
      <start>54</start>
      <end>68</end>
      <status>unmodified</status>
      <modifiedWord/>
      <trackRevisions>false</trackRevisions>
    </reviewItem>
    <reviewItem>
      <errorID>30661090-89d5-459b-bf9e-47cec53f46ca</errorID>
      <errorWord> </errorWord>
      <group>L1_Punc</group>
      <groupName>标点问题</groupName>
      <ability>L2_Punc_CN</ability>
      <abilityName>标点符号问题</abilityName>
      <candidateList>
        <item>·</item>
      </candidateList>
      <explain/>
      <paraID>3B714FB0</paraID>
      <start>8</start>
      <end>9</end>
      <status>unmodified</status>
      <modifiedWord/>
      <trackRevisions>false</trackRevisions>
    </reviewItem>
    <reviewItem>
      <errorID>934e117f-d295-48e2-bf19-e3f11dc23d32</errorID>
      <errorWord>是对</errorWord>
      <group>L1_Word</group>
      <groupName>字词问题</groupName>
      <ability>L2_Typo</ability>
      <abilityName>字词错误</abilityName>
      <candidateList>
        <item>是</item>
      </candidateList>
      <explain/>
      <paraID>305BB265</paraID>
      <start>8</start>
      <end>10</end>
      <status>unmodified</status>
      <modifiedWord/>
      <trackRevisions>false</trackRevisions>
    </reviewItem>
    <reviewItem>
      <errorID>68c89e70-068a-41e3-9157-1f34688e5f84</errorID>
      <errorWord>表层</errorWord>
      <group>L1_Word</group>
      <groupName>字词问题</groupName>
      <ability>L2_Typo</ability>
      <abilityName>字词错误</abilityName>
      <candidateList>
        <item>于表层</item>
      </candidateList>
      <explain/>
      <paraID>305BB265</paraID>
      <start>35</start>
      <end>37</end>
      <status>unmodified</status>
      <modifiedWord/>
      <trackRevisions>false</trackRevisions>
    </reviewItem>
    <reviewItem>
      <errorID>1fe76916-374e-4b1e-a39f-b9135ea5fef2</errorID>
      <errorWord>，这</errorWord>
      <group>L1_Word</group>
      <groupName>字词问题</groupName>
      <ability>L2_Typo</ability>
      <abilityName>字词错误</abilityName>
      <candidateList>
        <item>，</item>
      </candidateList>
      <explain/>
      <paraID>305BB265</paraID>
      <start>52</start>
      <end>54</end>
      <status>unmodified</status>
      <modifiedWord/>
      <trackRevisions>false</trackRevisions>
    </reviewItem>
    <reviewItem>
      <errorID>58b34fdb-f515-4ddf-b621-46cf7dfd5009</errorID>
      <errorWord>内在的</errorWord>
      <group>L1_Word</group>
      <groupName>字词问题</groupName>
      <ability>L2_Typo</ability>
      <abilityName>字词错误</abilityName>
      <candidateList>
        <item>内在</item>
      </candidateList>
      <explain/>
      <paraID>15BE2785</paraID>
      <start>38</start>
      <end>41</end>
      <status>unmodified</status>
      <modifiedWord/>
      <trackRevisions>false</trackRevisions>
    </reviewItem>
    <reviewItem>
      <errorID>d5a466fd-1f5e-48c4-badc-57300d84e394</errorID>
      <errorWord>是非观</errorWord>
      <group>L1_Word</group>
      <groupName>字词问题</groupName>
      <ability>L2_Typo</ability>
      <abilityName>字词错误</abilityName>
      <candidateList>
        <item>价值观</item>
      </candidateList>
      <explain/>
      <paraID>15BE2785</paraID>
      <start>88</start>
      <end>91</end>
      <status>unmodified</status>
      <modifiedWord/>
      <trackRevisions>false</trackRevisions>
    </reviewItem>
    <reviewItem>
      <errorID>cbe915d3-fcdf-4686-8e27-18ccb842a461</errorID>
      <errorWord>六、</errorWord>
      <group>L1_Format</group>
      <groupName>格式问题</groupName>
      <ability>L2_Ordinal</ability>
      <abilityName>序号格式</abilityName>
      <candidateList>
        <item>五、</item>
      </candidateList>
      <explain>标题顺序错误，请检查标题顺序是否合理。</explain>
      <paraID>47063B4D</paraID>
      <start>0</start>
      <end>2</end>
      <status>unmodified</status>
      <modifiedWord/>
      <trackRevisions>false</trackRevisions>
    </reviewItem>
    <reviewItem>
      <errorID>fd962c1a-f0ac-4314-8b36-cb7807f02b9e</errorID>
      <errorWord>两个层级40个维度</errorWord>
      <group>L1_Other</group>
      <groupName>其他问题</groupName>
      <ability>L2_Consistency</ability>
      <abilityName>一致性检查</abilityName>
      <candidateList>
        <item>三个层级40个维度</item>
      </candidateList>
      <explain>数字一致性：后文明确评估框架为三个层级整合40个维度，此处表述为两个层级40个维度，前后层级数量和总维度所属层级数量不一致</explain>
      <paraID>5963FAEE</paraID>
      <start>35</start>
      <end>44</end>
      <status>unmodified</status>
      <modifiedWord/>
      <trackRevisions>false</trackRevisions>
    </reviewItem>
    <reviewItem>
      <errorID>4b70e150-769f-4129-9d8c-aace103e79ec</errorID>
      <errorWord>80%-90%</errorWord>
      <group>L1_Knowledge</group>
      <groupName>知识性问题</groupName>
      <ability>L2_Knowledge</ability>
      <abilityName>其他知识</abilityName>
      <candidateList>
        <item>80%—90%</item>
      </candidateList>
      <explain>1. “80%-90%”中的单位“%”仅出现在后一个数字上，容易引起歧义；根据《现代汉语标点符号数字用法规范手册》，数字表示范围两边需要使用统一的格式。2. 根据标点国标 4.13 中的规则，数字、时间或地域连接符应使用（视觉上更长的）“—”或“～”。</explain>
      <paraID>423B7EFE</paraID>
      <start>53</start>
      <end>60</end>
      <status>unmodified</status>
      <modifiedWord/>
      <trackRevisions>false</trackRevisions>
    </reviewItem>
    <reviewItem>
      <errorID>25db45f5-24db-424d-b4af-90d8b3b55505</errorID>
      <errorWord>65%-80%</errorWord>
      <group>L1_Knowledge</group>
      <groupName>知识性问题</groupName>
      <ability>L2_Knowledge</ability>
      <abilityName>其他知识</abilityName>
      <candidateList>
        <item>65%—80%</item>
      </candidateList>
      <explain>1. “65%-80%”中的单位“%”仅出现在后一个数字上，容易引起歧义；根据《现代汉语标点符号数字用法规范手册》，数字表示范围两边需要使用统一的格式。2. 根据标点国标 4.13 中的规则，数字、时间或地域连接符应使用（视觉上更长的）“—”或“～”。</explain>
      <paraID>423B7EFE</paraID>
      <start>71</start>
      <end>78</end>
      <status>unmodified</status>
      <modifiedWord/>
      <trackRevisions>false</trackRevisions>
    </reviewItem>
    <reviewItem>
      <errorID>fe9eaa8f-54f9-484e-8ade-432128cfeb38</errorID>
      <errorWord>50%-65%</errorWord>
      <group>L1_Knowledge</group>
      <groupName>知识性问题</groupName>
      <ability>L2_Knowledge</ability>
      <abilityName>其他知识</abilityName>
      <candidateList>
        <item>50%—65%</item>
      </candidateList>
      <explain>1. “50%-65%”中的单位“%”仅出现在后一个数字上，容易引起歧义；根据《现代汉语标点符号数字用法规范手册》，数字表示范围两边需要使用统一的格式。2. 根据标点国标 4.13 中的规则，数字、时间或地域连接符应使用（视觉上更长的）“—”或“～”。</explain>
      <paraID>423B7EFE</paraID>
      <start>89</start>
      <end>96</end>
      <status>unmodified</status>
      <modifiedWord/>
      <trackRevisions>false</trackRevisions>
    </reviewItem>
    <reviewItem>
      <errorID>5d4f44fb-0264-42d8-ab50-d595e4dd49ff</errorID>
      <errorWord>管理</errorWord>
      <group>L1_Punc</group>
      <groupName>标点问题</groupName>
      <ability>L2_Punc_CN</ability>
      <abilityName>标点符号问题</abilityName>
      <candidateList>
        <item>，管理</item>
      </candidateList>
      <explain/>
      <paraID>567BD941</paraID>
      <start>57</start>
      <end>59</end>
      <status>unmodified</status>
      <modifiedWord/>
      <trackRevisions>false</trackRevisions>
    </reviewItem>
    <reviewItem>
      <errorID>b587a588-73f1-4b1e-940d-bd8de020dd84</errorID>
      <errorWord>关注与</errorWord>
      <group>L1_Word</group>
      <groupName>字词问题</groupName>
      <ability>L2_Typo</ability>
      <abilityName>字词错误</abilityName>
      <candidateList>
        <item>关注</item>
      </candidateList>
      <explain/>
      <paraID>17196587</paraID>
      <start>73</start>
      <end>76</end>
      <status>unmodified</status>
      <modifiedWord/>
      <trackRevisions>false</trackRevisions>
    </reviewItem>
    <reviewItem>
      <errorID>a612f051-eeb7-4da3-bb41-b97073a8e904</errorID>
      <errorWord>枯燥</errorWord>
      <group>L1_Punc</group>
      <groupName>标点问题</groupName>
      <ability>L2_Punc_CN</ability>
      <abilityName>标点符号问题</abilityName>
      <candidateList>
        <item>、枯燥</item>
      </candidateList>
      <explain/>
      <paraID>6DD6552D</paraID>
      <start>73</start>
      <end>75</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1e15ae-77bc-4d5e-9baf-3948c1b67b78}">
  <ds:schemaRefs/>
</ds:datastoreItem>
</file>

<file path=docProps/app.xml><?xml version="1.0" encoding="utf-8"?>
<Properties xmlns="http://schemas.openxmlformats.org/officeDocument/2006/extended-properties" xmlns:vt="http://schemas.openxmlformats.org/officeDocument/2006/docPropsVTypes">
  <Template>Normal.dotm</Template>
  <Pages>7</Pages>
  <Words>2748</Words>
  <Characters>2869</Characters>
  <Lines>0</Lines>
  <Paragraphs>0</Paragraphs>
  <TotalTime>13</TotalTime>
  <ScaleCrop>false</ScaleCrop>
  <LinksUpToDate>false</LinksUpToDate>
  <CharactersWithSpaces>2885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2026-06-03T08:38:00Z</dcterms:created>
  <dc:creator>Administrator</dc:creator>
  <cp:lastModifiedBy>张瑞玲</cp:lastModifiedBy>
  <dcterms:modified xsi:type="dcterms:W3CDTF">2026-08-07T09:10:06Z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EF5C1E17A544450DA02788D82CF1FEF2_13</vt:lpwstr>
  </property>
  <property fmtid="{D5CDD505-2E9C-101B-9397-08002B2CF9AE}" pid="4" name="KSOTemplateDocerSaveRecord">
    <vt:lpwstr>eyJoZGlkIjoiNDNlOTYyZWQ1OTVkZDI4MzY1ODM0ODE3MDE5NDJlYjkiLCJ1c2VySWQiOiIyMTIzNzYyMTgifQ==</vt:lpwstr>
  </property>
</Properties>
</file>