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EEDD3">
      <w:pPr>
        <w:spacing w:line="360" w:lineRule="auto"/>
        <w:jc w:val="center"/>
        <w:rPr>
          <w:rFonts w:hint="default" w:ascii="Times New Roman" w:hAnsi="Times New Roman" w:eastAsia="宋体" w:cs="宋体"/>
          <w:b/>
          <w:bCs/>
          <w:color w:val="auto"/>
          <w:sz w:val="32"/>
          <w:szCs w:val="32"/>
          <w:lang w:val="en-US" w:eastAsia="zh-CN"/>
        </w:rPr>
      </w:pPr>
      <w:r>
        <w:rPr>
          <w:rFonts w:hint="eastAsia" w:ascii="Times New Roman" w:hAnsi="Times New Roman" w:eastAsia="宋体" w:cs="宋体"/>
          <w:b/>
          <w:bCs/>
          <w:color w:val="auto"/>
          <w:sz w:val="32"/>
          <w:szCs w:val="32"/>
          <w:lang w:val="en-US" w:eastAsia="zh-CN"/>
        </w:rPr>
        <w:t>胜任力测评开发方案</w:t>
      </w:r>
    </w:p>
    <w:p w14:paraId="3F844A29">
      <w:pPr>
        <w:spacing w:line="360" w:lineRule="auto"/>
        <w:ind w:firstLine="482" w:firstLineChars="200"/>
        <w:rPr>
          <w:rFonts w:hint="eastAsia" w:ascii="宋体" w:hAnsi="宋体" w:eastAsia="宋体" w:cs="宋体"/>
          <w:b/>
          <w:bCs/>
          <w:color w:val="auto"/>
          <w:sz w:val="24"/>
          <w:szCs w:val="32"/>
          <w:lang w:eastAsia="zh-CN"/>
        </w:rPr>
      </w:pPr>
      <w:r>
        <w:rPr>
          <w:rFonts w:hint="eastAsia" w:ascii="宋体" w:hAnsi="宋体" w:eastAsia="宋体" w:cs="宋体"/>
          <w:b/>
          <w:bCs/>
          <w:color w:val="auto"/>
          <w:sz w:val="24"/>
          <w:szCs w:val="32"/>
        </w:rPr>
        <w:t>一、</w:t>
      </w:r>
      <w:r>
        <w:rPr>
          <w:rFonts w:hint="eastAsia" w:ascii="宋体" w:hAnsi="宋体" w:eastAsia="宋体" w:cs="宋体"/>
          <w:b/>
          <w:bCs/>
          <w:color w:val="auto"/>
          <w:sz w:val="24"/>
          <w:szCs w:val="32"/>
          <w:lang w:val="en-US" w:eastAsia="zh-CN"/>
        </w:rPr>
        <w:t>测评介绍</w:t>
      </w:r>
    </w:p>
    <w:p w14:paraId="4616532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为了科学、客观地评估员工与目标岗位或现任岗位的匹配程度，有效区分绩效优秀者与绩效一般者的深层特征，而非仅仅关注其表面的知识掌握与基础技能水平，因此开发员工胜任力测验。该测评采用标准化方法与客观量化的评估工具，不仅能够准确考察和衡量员工在日常岗位工作中的核心胜任力表现，还能为企业的招聘筛选、在岗绩效评估、培训需求分析以及全面的人才盘点提供参考，从而帮助组织更有效地进行人力资源优化配置与人才发展战略制定。</w:t>
      </w:r>
    </w:p>
    <w:p w14:paraId="1A05323C">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二、企业需求</w:t>
      </w:r>
    </w:p>
    <w:p w14:paraId="2607CF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本测评的开发将缓解企业在员工管理过程中普遍面临的下述核心痛点：</w:t>
      </w:r>
    </w:p>
    <w:p w14:paraId="6067C3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一：难以有效区分绩效优劣。传统知识考试与技能考核仅能评估员工“知道什么”“会做什么”，无法揭示绩效水平差异背后的深层成因。当前企业对基层员工和管理者的评估往往停留在表层能力考察，难以精准识别高潜人才与一般绩效员工的本质差异。</w:t>
      </w:r>
    </w:p>
    <w:p w14:paraId="4C2D745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痛点二：选人用人缺乏科学依据。招聘面试、主管主观评价等方式受评价者个人偏好与临场随机因素影响较大，难以建立统一、客观的评估标准，导致“人岗不匹配”现象频繁发生，进而造成企业资源浪费。</w:t>
      </w:r>
    </w:p>
    <w:p w14:paraId="134A6A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痛点三：人才培养缺少精准方向。现有培训需求分析多依赖经验判断，缺乏对基层员工和管理者能力短板的系统性诊断，培训整体投入较大但针对性不足，难以真正转化为绩效水平提升。</w:t>
      </w:r>
    </w:p>
    <w:p w14:paraId="3AA0B6B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针对上述企业需求，本测评可实现如下目标：</w:t>
      </w:r>
    </w:p>
    <w:p w14:paraId="5CA6CD9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区分绩效优劣：重点考察鉴别性素质（冰山以下部分），而非仅测量知识与技能（基准性素质），直接回应“区分绩优者与一般者”的核心诉求。</w:t>
      </w:r>
    </w:p>
    <w:p w14:paraId="54B281B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选人用人有据可依：提供标准化维度的量化评估结果，建立客观可比的人才评价标尺，消除主观判断偏差。</w:t>
      </w:r>
    </w:p>
    <w:p w14:paraId="4C0D47D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培养方向精准定位：通过各维度得分精准定位员工能力短板与发展优势，为制定个性化培养方案提供数据支撑。</w:t>
      </w:r>
    </w:p>
    <w:p w14:paraId="2CC813E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覆盖多元应用场景：支持招聘选拔、评估盘点、培训发展、潜才储备等多场景应用，企业可根据自身需求灵活选用。</w:t>
      </w:r>
    </w:p>
    <w:p w14:paraId="0ED439A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三、理论依据</w:t>
      </w:r>
    </w:p>
    <w:p w14:paraId="67FD4C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（一）冰山模型（Iceberg Model）</w:t>
      </w:r>
    </w:p>
    <w:p w14:paraId="6B2B0A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冰山模型由美国心理学家戴维·麦克利兰（David C. McClelland，1973）提出，将个体素质的不同表现划分为表面的“冰山以上部分”与深藏的“冰山以下部分”。其中，“冰山以上部分”涵盖基本知识与基本技能，为外在表现；“冰山以下部分”包含社会角色、自我形象、人格特质、动机及价值观等，属个人内在要素。</w:t>
      </w:r>
    </w:p>
    <w:p w14:paraId="1E5260A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由莱尔·M.斯潘塞（</w:t>
      </w:r>
      <w:r>
        <w:rPr>
          <w:rFonts w:hint="default" w:ascii="Times New Roman" w:hAnsi="Times New Roman" w:eastAsia="宋体" w:cs="宋体"/>
          <w:b w:val="0"/>
          <w:bCs w:val="0"/>
          <w:color w:val="auto"/>
          <w:sz w:val="24"/>
          <w:szCs w:val="24"/>
          <w:lang w:val="en-US" w:eastAsia="zh-CN"/>
        </w:rPr>
        <w:t>Lyle M.Spencer</w:t>
      </w:r>
      <w:r>
        <w:rPr>
          <w:rFonts w:hint="eastAsia" w:ascii="Times New Roman" w:hAnsi="Times New Roman" w:eastAsia="宋体" w:cs="宋体"/>
          <w:b w:val="0"/>
          <w:bCs w:val="0"/>
          <w:color w:val="auto"/>
          <w:sz w:val="24"/>
          <w:szCs w:val="24"/>
          <w:lang w:val="en-US" w:eastAsia="zh-CN"/>
        </w:rPr>
        <w:t>）与塞尼·M.斯潘塞</w:t>
      </w:r>
      <w:r>
        <w:rPr>
          <w:rFonts w:hint="default" w:ascii="Times New Roman" w:hAnsi="Times New Roman" w:eastAsia="宋体" w:cs="宋体"/>
          <w:b w:val="0"/>
          <w:bCs w:val="0"/>
          <w:color w:val="auto"/>
          <w:sz w:val="24"/>
          <w:szCs w:val="24"/>
          <w:lang w:val="en-US" w:eastAsia="zh-CN"/>
        </w:rPr>
        <w:t>（Signe M.Spencer）</w:t>
      </w:r>
      <w:r>
        <w:rPr>
          <w:rFonts w:hint="eastAsia" w:ascii="Times New Roman" w:hAnsi="Times New Roman" w:eastAsia="宋体" w:cs="宋体"/>
          <w:b w:val="0"/>
          <w:bCs w:val="0"/>
          <w:color w:val="auto"/>
          <w:sz w:val="24"/>
          <w:szCs w:val="24"/>
          <w:lang w:val="en-US" w:eastAsia="zh-CN"/>
        </w:rPr>
        <w:t>所著的《胜任力工作：卓越绩效模型》（1993），在麦克利兰冰山模型基础上系统化提出：胜任力是“能将特定工作中卓越绩效者与普通者区分开来的深层、潜在个体特征”。该定义聚焦‌鉴别性素质，即冰山以下的部分‌，而非仅知识与技能（基准性素质，即工作所要求具备的最基本的胜任特征）。‌‌</w:t>
      </w:r>
    </w:p>
    <w:p w14:paraId="2EA7E2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drawing>
          <wp:inline distT="0" distB="0" distL="114300" distR="114300">
            <wp:extent cx="3154680" cy="2327275"/>
            <wp:effectExtent l="0" t="0" r="7620" b="15875"/>
            <wp:docPr id="2" name="图片 2" descr="a1e626c3066d7f2eb7865e90eb389e11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1e626c3066d7f2eb7865e90eb389e11_0"/>
                    <pic:cNvPicPr>
                      <a:picLocks noChangeAspect="1"/>
                    </pic:cNvPicPr>
                  </pic:nvPicPr>
                  <pic:blipFill>
                    <a:blip r:embed="rId6"/>
                    <a:stretch>
                      <a:fillRect/>
                    </a:stretch>
                  </pic:blipFill>
                  <pic:spPr>
                    <a:xfrm>
                      <a:off x="0" y="0"/>
                      <a:ext cx="3154680" cy="2327275"/>
                    </a:xfrm>
                    <a:prstGeom prst="rect">
                      <a:avLst/>
                    </a:prstGeom>
                  </pic:spPr>
                </pic:pic>
              </a:graphicData>
            </a:graphic>
          </wp:inline>
        </w:drawing>
      </w:r>
    </w:p>
    <w:p w14:paraId="5A64918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图1  冰山模型</w:t>
      </w:r>
    </w:p>
    <w:p w14:paraId="19F565F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（二）</w:t>
      </w:r>
      <w:r>
        <w:rPr>
          <w:rFonts w:hint="default" w:ascii="Times New Roman" w:hAnsi="Times New Roman" w:eastAsia="宋体" w:cs="宋体"/>
          <w:b/>
          <w:bCs/>
          <w:color w:val="auto"/>
          <w:sz w:val="24"/>
          <w:szCs w:val="24"/>
          <w:lang w:val="en-US" w:eastAsia="zh-CN"/>
        </w:rPr>
        <w:t>洋葱模型</w:t>
      </w:r>
      <w:r>
        <w:rPr>
          <w:rFonts w:hint="eastAsia" w:ascii="Times New Roman" w:hAnsi="Times New Roman" w:eastAsia="宋体" w:cs="宋体"/>
          <w:b/>
          <w:bCs/>
          <w:color w:val="auto"/>
          <w:sz w:val="24"/>
          <w:szCs w:val="24"/>
          <w:lang w:val="en-US" w:eastAsia="zh-CN"/>
        </w:rPr>
        <w:t>‌（Onion Model）</w:t>
      </w:r>
    </w:p>
    <w:p w14:paraId="3B714F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洋葱模型由理查德·博亚特兹（Richard Boyatzis）在《胜任经理人：一个高绩效模型》（1982）中提出，将个体的胜任素质由内向外层层包裹，形象地展示了不同素质要素的可见性、可塑性及其对绩效的影响深度。将胜任力划分为从深层到表层的多个维度，最外层（表层/显性素质）包含知识、技能，中间层（中层/半隐性素质）包含‌自我形象、社会角色、态度、价值观，最内核（深层/隐性素质）包含动机、个性/特质。越往内部，素质越难以观察和改变；越往外部，素质越容易通过培训获得和衡量。</w:t>
      </w:r>
    </w:p>
    <w:p w14:paraId="5297F31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auto"/>
          <w:sz w:val="24"/>
          <w:szCs w:val="24"/>
        </w:rPr>
      </w:pPr>
      <w:r>
        <w:rPr>
          <w:rFonts w:ascii="宋体" w:hAnsi="宋体" w:eastAsia="宋体" w:cs="宋体"/>
          <w:color w:val="auto"/>
          <w:sz w:val="24"/>
          <w:szCs w:val="24"/>
        </w:rPr>
        <w:drawing>
          <wp:inline distT="0" distB="0" distL="114300" distR="114300">
            <wp:extent cx="2023110" cy="1762125"/>
            <wp:effectExtent l="0" t="0" r="1524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2023110" cy="1762125"/>
                    </a:xfrm>
                    <a:prstGeom prst="rect">
                      <a:avLst/>
                    </a:prstGeom>
                    <a:noFill/>
                    <a:ln w="9525">
                      <a:noFill/>
                    </a:ln>
                  </pic:spPr>
                </pic:pic>
              </a:graphicData>
            </a:graphic>
          </wp:inline>
        </w:drawing>
      </w:r>
    </w:p>
    <w:p w14:paraId="0651E88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图2  洋葱模型</w:t>
      </w:r>
    </w:p>
    <w:p w14:paraId="477C8B13">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（三）鉴别性胜任力</w:t>
      </w:r>
    </w:p>
    <w:p w14:paraId="2E9E02A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宋体"/>
          <w:b w:val="0"/>
          <w:bCs w:val="0"/>
          <w:color w:val="auto"/>
          <w:sz w:val="24"/>
          <w:szCs w:val="24"/>
          <w:lang w:val="en-US" w:eastAsia="zh-CN"/>
        </w:rPr>
      </w:pPr>
      <w:r>
        <w:rPr>
          <w:rFonts w:hint="default" w:ascii="Times New Roman" w:hAnsi="Times New Roman" w:eastAsia="宋体" w:cs="宋体"/>
          <w:b w:val="0"/>
          <w:bCs w:val="0"/>
          <w:color w:val="auto"/>
          <w:sz w:val="24"/>
          <w:szCs w:val="24"/>
          <w:lang w:val="en-US" w:eastAsia="zh-CN"/>
        </w:rPr>
        <w:t>鉴别性胜任力是能够将优秀绩效与一般绩效区分开来的胜任特征。已有的应用研究发现，在不同职位、不同行业、不同文化环境中的胜任力模型是不同的。基于麦克利兰及其团队20年、涵盖650个岗位的研究成果</w:t>
      </w:r>
      <w:r>
        <w:rPr>
          <w:rFonts w:hint="eastAsia" w:ascii="Times New Roman" w:hAnsi="Times New Roman" w:eastAsia="宋体" w:cs="宋体"/>
          <w:b w:val="0"/>
          <w:bCs w:val="0"/>
          <w:color w:val="auto"/>
          <w:sz w:val="24"/>
          <w:szCs w:val="24"/>
          <w:lang w:val="en-US" w:eastAsia="zh-CN"/>
        </w:rPr>
        <w:t>，</w:t>
      </w:r>
      <w:r>
        <w:rPr>
          <w:rFonts w:hint="default" w:ascii="Times New Roman" w:hAnsi="Times New Roman" w:eastAsia="宋体" w:cs="宋体"/>
          <w:b w:val="0"/>
          <w:bCs w:val="0"/>
          <w:color w:val="auto"/>
          <w:sz w:val="24"/>
          <w:szCs w:val="24"/>
          <w:lang w:val="en-US" w:eastAsia="zh-CN"/>
        </w:rPr>
        <w:t>斯班瑟（Spencer &amp; Spencer, 1993）在《工作中的胜任特征》中提炼出‌20个通用胜任力‌（部分文献计为21项），分为‌六大类‌，能预测跨行业高绩效。‌‌</w:t>
      </w:r>
    </w:p>
    <w:p w14:paraId="0734153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宋体" w:hAnsi="宋体" w:eastAsia="宋体" w:cs="宋体"/>
          <w:color w:val="auto"/>
          <w:sz w:val="24"/>
          <w:szCs w:val="24"/>
        </w:rPr>
      </w:pPr>
      <w:r>
        <w:rPr>
          <w:rFonts w:ascii="宋体" w:hAnsi="宋体" w:eastAsia="宋体" w:cs="宋体"/>
          <w:color w:val="auto"/>
          <w:sz w:val="24"/>
          <w:szCs w:val="24"/>
        </w:rPr>
        <w:drawing>
          <wp:inline distT="0" distB="0" distL="114300" distR="114300">
            <wp:extent cx="4334510" cy="2488565"/>
            <wp:effectExtent l="0" t="0" r="8890" b="698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8"/>
                    <a:stretch>
                      <a:fillRect/>
                    </a:stretch>
                  </pic:blipFill>
                  <pic:spPr>
                    <a:xfrm>
                      <a:off x="0" y="0"/>
                      <a:ext cx="4334510" cy="2488565"/>
                    </a:xfrm>
                    <a:prstGeom prst="rect">
                      <a:avLst/>
                    </a:prstGeom>
                    <a:noFill/>
                    <a:ln w="9525">
                      <a:noFill/>
                    </a:ln>
                  </pic:spPr>
                </pic:pic>
              </a:graphicData>
            </a:graphic>
          </wp:inline>
        </w:drawing>
      </w:r>
    </w:p>
    <w:p w14:paraId="6B6050B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图3  斯班瑟胜任力词典</w:t>
      </w:r>
    </w:p>
    <w:p w14:paraId="2F6B036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（四）本测验定位</w:t>
      </w:r>
    </w:p>
    <w:p w14:paraId="6C028CD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auto"/>
          <w:sz w:val="24"/>
          <w:szCs w:val="24"/>
          <w:lang w:val="en-US" w:eastAsia="zh-CN"/>
        </w:rPr>
      </w:pPr>
      <w:r>
        <w:rPr>
          <w:rFonts w:hint="eastAsia" w:ascii="Times New Roman" w:hAnsi="Times New Roman" w:eastAsia="宋体" w:cs="宋体"/>
          <w:b w:val="0"/>
          <w:bCs w:val="0"/>
          <w:color w:val="auto"/>
          <w:sz w:val="24"/>
          <w:szCs w:val="24"/>
          <w:lang w:val="en-US" w:eastAsia="zh-CN"/>
        </w:rPr>
        <w:t>冰山模型与洋葱模型本质呈现相近的胜任素质层级逻辑，均强调隐性深层素质对个体工作绩效的核心区分作用。本次开发的员工胜任力测验，围绕鉴别性素质构建评估框架，由内到外的层级划分逻辑，重点考察区分基层员工优秀绩效与一般绩效的特质，确保真实反映基层员工的岗位胜任潜力与实际能力水平。知识技能可通过考试、考核测量，不作为本测验开发内容。</w:t>
      </w:r>
    </w:p>
    <w:p w14:paraId="4301E74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宋体"/>
          <w:b/>
          <w:bCs/>
          <w:color w:val="auto"/>
          <w:sz w:val="24"/>
          <w:szCs w:val="24"/>
          <w:lang w:val="en-US" w:eastAsia="zh-CN"/>
        </w:rPr>
      </w:pPr>
      <w:r>
        <w:rPr>
          <w:rFonts w:hint="eastAsia" w:ascii="Times New Roman" w:hAnsi="Times New Roman" w:eastAsia="宋体" w:cs="宋体"/>
          <w:b/>
          <w:bCs/>
          <w:color w:val="auto"/>
          <w:sz w:val="24"/>
          <w:szCs w:val="24"/>
          <w:lang w:val="en-US" w:eastAsia="zh-CN"/>
        </w:rPr>
        <w:t>四、维度设计</w:t>
      </w:r>
    </w:p>
    <w:p w14:paraId="41F2E2D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lang w:eastAsia="zh-CN"/>
        </w:rPr>
      </w:pPr>
      <w:r>
        <w:rPr>
          <w:rFonts w:hint="eastAsia" w:ascii="微软雅黑" w:hAnsi="微软雅黑" w:eastAsia="微软雅黑" w:cs="微软雅黑"/>
          <w:lang w:eastAsia="zh-CN"/>
        </w:rPr>
        <w:t>科学评估员工的岗位胜任力水平，已成为企业人力资源管理的关键环节。本测评从企业真实工作场景出发，将员工胜任力划分为</w:t>
      </w:r>
      <w:r>
        <w:rPr>
          <w:rFonts w:hint="eastAsia" w:ascii="微软雅黑" w:hAnsi="微软雅黑" w:eastAsia="微软雅黑" w:cs="微软雅黑"/>
          <w:b/>
          <w:bCs/>
          <w:color w:val="00B050"/>
          <w:lang w:eastAsia="zh-CN"/>
        </w:rPr>
        <w:t>管事、管人、管己</w:t>
      </w:r>
      <w:r>
        <w:rPr>
          <w:rFonts w:hint="eastAsia" w:ascii="微软雅黑" w:hAnsi="微软雅黑" w:eastAsia="微软雅黑" w:cs="微软雅黑"/>
          <w:lang w:eastAsia="zh-CN"/>
        </w:rPr>
        <w:t>三大类别：其中任务管理类聚焦分析判断与执行落地质量，衡量任务完成能力；人际管理类聚焦协同、团队带领与关系拓展</w:t>
      </w:r>
      <w:r>
        <w:rPr>
          <w:rFonts w:hint="eastAsia" w:ascii="微软雅黑" w:hAnsi="微软雅黑" w:eastAsia="微软雅黑" w:cs="微软雅黑"/>
          <w:sz w:val="21"/>
          <w:szCs w:val="21"/>
          <w:lang w:eastAsia="zh-CN"/>
        </w:rPr>
        <w:t>成效</w:t>
      </w:r>
      <w:r>
        <w:rPr>
          <w:rFonts w:hint="eastAsia" w:ascii="微软雅黑" w:hAnsi="微软雅黑" w:eastAsia="微软雅黑" w:cs="微软雅黑"/>
          <w:lang w:eastAsia="zh-CN"/>
        </w:rPr>
        <w:t>，衡量协作成事能力；自我管理类聚焦自我驱动与担当稳定性，衡量长期投入意愿。</w:t>
      </w:r>
    </w:p>
    <w:p w14:paraId="5058BC32">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b/>
          <w:bCs/>
          <w:color w:val="00B050"/>
        </w:rPr>
        <w:t>任务管理类：</w:t>
      </w:r>
      <w:r>
        <w:rPr>
          <w:rFonts w:hint="eastAsia" w:ascii="微软雅黑" w:hAnsi="微软雅黑" w:eastAsia="微软雅黑" w:cs="微软雅黑"/>
        </w:rPr>
        <w:t>考察个体</w:t>
      </w:r>
      <w:r>
        <w:rPr>
          <w:rFonts w:hint="eastAsia" w:ascii="微软雅黑" w:hAnsi="微软雅黑" w:eastAsia="微软雅黑" w:cs="微软雅黑"/>
          <w:lang w:eastAsia="zh-CN"/>
        </w:rPr>
        <w:t>将</w:t>
      </w:r>
      <w:r>
        <w:rPr>
          <w:rFonts w:hint="eastAsia" w:ascii="微软雅黑" w:hAnsi="微软雅黑" w:eastAsia="微软雅黑" w:cs="微软雅黑"/>
        </w:rPr>
        <w:t>任务</w:t>
      </w:r>
      <w:r>
        <w:rPr>
          <w:rFonts w:hint="eastAsia" w:ascii="微软雅黑" w:hAnsi="微软雅黑" w:eastAsia="微软雅黑" w:cs="微软雅黑"/>
          <w:lang w:eastAsia="zh-CN"/>
        </w:rPr>
        <w:t>转化为成果</w:t>
      </w:r>
      <w:r>
        <w:rPr>
          <w:rFonts w:hint="eastAsia" w:ascii="微软雅黑" w:hAnsi="微软雅黑" w:eastAsia="微软雅黑" w:cs="微软雅黑"/>
        </w:rPr>
        <w:t>的能力，</w:t>
      </w:r>
      <w:r>
        <w:rPr>
          <w:rFonts w:hint="eastAsia" w:ascii="微软雅黑" w:hAnsi="微软雅黑" w:eastAsia="微软雅黑" w:cs="微软雅黑"/>
          <w:lang w:eastAsia="zh-CN"/>
        </w:rPr>
        <w:t>具体衡量测评对象能否运用逻辑思维与数字工具分析问题、开展系统规划并推进计划落地，</w:t>
      </w:r>
      <w:r>
        <w:rPr>
          <w:rFonts w:hint="eastAsia" w:ascii="微软雅黑" w:hAnsi="微软雅黑" w:eastAsia="微软雅黑" w:cs="微软雅黑"/>
        </w:rPr>
        <w:t>同时</w:t>
      </w:r>
      <w:r>
        <w:rPr>
          <w:rFonts w:hint="eastAsia" w:ascii="微软雅黑" w:hAnsi="微软雅黑" w:eastAsia="微软雅黑" w:cs="微软雅黑"/>
          <w:lang w:eastAsia="zh-CN"/>
        </w:rPr>
        <w:t>考察其</w:t>
      </w:r>
      <w:r>
        <w:rPr>
          <w:rFonts w:hint="eastAsia" w:ascii="微软雅黑" w:hAnsi="微软雅黑" w:eastAsia="微软雅黑" w:cs="微软雅黑"/>
          <w:sz w:val="21"/>
          <w:szCs w:val="21"/>
        </w:rPr>
        <w:t>追求</w:t>
      </w:r>
      <w:r>
        <w:rPr>
          <w:rFonts w:hint="eastAsia" w:ascii="微软雅黑" w:hAnsi="微软雅黑" w:eastAsia="微软雅黑" w:cs="微软雅黑"/>
        </w:rPr>
        <w:t>卓越的成就导向与主动精进的持续学习</w:t>
      </w:r>
      <w:r>
        <w:rPr>
          <w:rFonts w:hint="eastAsia" w:ascii="微软雅黑" w:hAnsi="微软雅黑" w:eastAsia="微软雅黑" w:cs="微软雅黑"/>
          <w:lang w:eastAsia="zh-CN"/>
        </w:rPr>
        <w:t>能力</w:t>
      </w:r>
      <w:r>
        <w:rPr>
          <w:rFonts w:hint="eastAsia" w:ascii="微软雅黑" w:hAnsi="微软雅黑" w:eastAsia="微软雅黑" w:cs="微软雅黑"/>
        </w:rPr>
        <w:t>。</w:t>
      </w:r>
    </w:p>
    <w:p w14:paraId="0B807DB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lang w:eastAsia="zh-CN"/>
        </w:rPr>
      </w:pPr>
      <w:r>
        <w:rPr>
          <w:rFonts w:hint="eastAsia" w:ascii="微软雅黑" w:hAnsi="微软雅黑" w:eastAsia="微软雅黑" w:cs="微软雅黑"/>
          <w:b/>
          <w:bCs/>
          <w:color w:val="00B050"/>
          <w:lang w:eastAsia="zh-CN"/>
        </w:rPr>
        <w:t>人际管理类：</w:t>
      </w:r>
      <w:r>
        <w:rPr>
          <w:rFonts w:hint="eastAsia" w:ascii="微软雅黑" w:hAnsi="微软雅黑" w:eastAsia="微软雅黑" w:cs="微软雅黑"/>
          <w:lang w:eastAsia="zh-CN"/>
        </w:rPr>
        <w:t>考察个体协同合作、带领团队以及拓展外部关系的能力，具体衡量测评对象能否开展清晰的沟通表达、完成协作配合，且在管理岗位上能否搭建</w:t>
      </w:r>
      <w:r>
        <w:rPr>
          <w:rFonts w:hint="eastAsia" w:ascii="微软雅黑" w:hAnsi="微软雅黑" w:eastAsia="微软雅黑" w:cs="微软雅黑"/>
          <w:sz w:val="21"/>
          <w:szCs w:val="21"/>
          <w:lang w:eastAsia="zh-CN"/>
        </w:rPr>
        <w:t>团队</w:t>
      </w:r>
      <w:r>
        <w:rPr>
          <w:rFonts w:hint="eastAsia" w:ascii="微软雅黑" w:hAnsi="微软雅黑" w:eastAsia="微软雅黑" w:cs="微软雅黑"/>
          <w:lang w:eastAsia="zh-CN"/>
        </w:rPr>
        <w:t>、协调各方、整合资源、建立稳定的客户与合作伙伴关系。</w:t>
      </w:r>
    </w:p>
    <w:p w14:paraId="4A29B38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lang w:eastAsia="zh-CN"/>
        </w:rPr>
      </w:pPr>
      <w:r>
        <w:rPr>
          <w:rFonts w:hint="eastAsia" w:ascii="微软雅黑" w:hAnsi="微软雅黑" w:eastAsia="微软雅黑" w:cs="微软雅黑"/>
          <w:b/>
          <w:bCs/>
          <w:color w:val="00B050"/>
          <w:lang w:eastAsia="zh-CN"/>
        </w:rPr>
        <w:t>自我管理类：</w:t>
      </w:r>
      <w:r>
        <w:rPr>
          <w:rFonts w:hint="eastAsia" w:ascii="微软雅黑" w:hAnsi="微软雅黑" w:eastAsia="微软雅黑" w:cs="微软雅黑"/>
          <w:lang w:eastAsia="zh-CN"/>
        </w:rPr>
        <w:t>考察个体自我管理、保持长期可靠履职的能力，具体衡量测评对象能否做到求真务实、自律遵规、敬业奉献，且在管理岗位上能否保持合理的权力动机与稳定的情绪状态。</w:t>
      </w:r>
    </w:p>
    <w:p w14:paraId="73EA5E44">
      <w:pPr>
        <w:jc w:val="center"/>
      </w:pPr>
      <w:r>
        <w:drawing>
          <wp:inline distT="0" distB="0" distL="114300" distR="114300">
            <wp:extent cx="5367655" cy="2332990"/>
            <wp:effectExtent l="0" t="0" r="0" b="0"/>
            <wp:docPr id="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
                    <pic:cNvPicPr>
                      <a:picLocks noChangeAspect="1"/>
                    </pic:cNvPicPr>
                  </pic:nvPicPr>
                  <pic:blipFill>
                    <a:blip r:embed="rId9"/>
                    <a:stretch>
                      <a:fillRect/>
                    </a:stretch>
                  </pic:blipFill>
                  <pic:spPr>
                    <a:xfrm>
                      <a:off x="0" y="0"/>
                      <a:ext cx="5367655" cy="2332990"/>
                    </a:xfrm>
                    <a:prstGeom prst="rect">
                      <a:avLst/>
                    </a:prstGeom>
                    <a:noFill/>
                    <a:ln>
                      <a:noFill/>
                    </a:ln>
                  </pic:spPr>
                </pic:pic>
              </a:graphicData>
            </a:graphic>
          </wp:inline>
        </w:drawing>
      </w:r>
    </w:p>
    <w:p w14:paraId="23042F16">
      <w:pPr>
        <w:jc w:val="left"/>
        <w:rPr>
          <w:rFonts w:hint="eastAsia" w:ascii="微软雅黑" w:hAnsi="微软雅黑" w:eastAsia="微软雅黑" w:cs="微软雅黑"/>
          <w:b/>
          <w:bCs/>
          <w:color w:val="00B050"/>
          <w:sz w:val="32"/>
          <w:szCs w:val="36"/>
          <w:lang w:val="en-US" w:eastAsia="zh-CN"/>
        </w:rPr>
      </w:pPr>
    </w:p>
    <w:p w14:paraId="2DE3E9D7">
      <w:pPr>
        <w:jc w:val="left"/>
        <w:rPr>
          <w:rFonts w:hint="eastAsia" w:ascii="微软雅黑" w:hAnsi="微软雅黑" w:eastAsia="微软雅黑" w:cs="微软雅黑"/>
          <w:b/>
          <w:bCs/>
          <w:color w:val="00B050"/>
          <w:sz w:val="32"/>
          <w:szCs w:val="36"/>
          <w:lang w:val="en-US" w:eastAsia="zh-CN"/>
        </w:rPr>
      </w:pPr>
      <w:r>
        <w:rPr>
          <w:rFonts w:hint="eastAsia" w:ascii="微软雅黑" w:hAnsi="微软雅黑" w:eastAsia="微软雅黑" w:cs="微软雅黑"/>
          <w:b/>
          <w:bCs/>
          <w:color w:val="00B050"/>
          <w:sz w:val="32"/>
          <w:szCs w:val="36"/>
          <w:lang w:val="en-US" w:eastAsia="zh-CN"/>
        </w:rPr>
        <w:t>版本说明（基层版/中层版）</w:t>
      </w:r>
    </w:p>
    <w:p w14:paraId="075A9D3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本测评针对基层员工与中层管理者分别开发，两者共用同一套</w:t>
      </w:r>
      <w:r>
        <w:rPr>
          <w:rFonts w:hint="eastAsia" w:ascii="微软雅黑" w:hAnsi="微软雅黑" w:eastAsia="微软雅黑" w:cs="微软雅黑"/>
          <w:sz w:val="21"/>
          <w:szCs w:val="21"/>
          <w:lang w:val="en-US" w:eastAsia="zh-CN"/>
        </w:rPr>
        <w:t>三</w:t>
      </w:r>
      <w:r>
        <w:rPr>
          <w:rFonts w:hint="eastAsia" w:ascii="微软雅黑" w:hAnsi="微软雅黑" w:eastAsia="微软雅黑" w:cs="微软雅黑"/>
          <w:sz w:val="21"/>
          <w:szCs w:val="21"/>
        </w:rPr>
        <w:t>类框架与计分口径，但维度组合完全不同——因为两类角色的核心</w:t>
      </w:r>
      <w:r>
        <w:rPr>
          <w:rFonts w:hint="eastAsia" w:ascii="微软雅黑" w:hAnsi="微软雅黑" w:eastAsia="微软雅黑" w:cs="微软雅黑"/>
          <w:sz w:val="21"/>
          <w:szCs w:val="21"/>
          <w:lang w:val="en-US" w:eastAsia="zh-CN"/>
        </w:rPr>
        <w:t>任务</w:t>
      </w:r>
      <w:r>
        <w:rPr>
          <w:rFonts w:hint="eastAsia" w:ascii="微软雅黑" w:hAnsi="微软雅黑" w:eastAsia="微软雅黑" w:cs="微软雅黑"/>
          <w:sz w:val="21"/>
          <w:szCs w:val="21"/>
        </w:rPr>
        <w:t>不同：基层员工是个人贡献者（Individual Contributor），核心是“把自己的事做好”；中层管理者是管理者（Manager），核心是“让别人把事做好”。</w:t>
      </w:r>
    </w:p>
    <w:p w14:paraId="61CECF47">
      <w:pPr>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057775" cy="3008630"/>
            <wp:effectExtent l="0" t="0" r="9525" b="127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10"/>
                    <a:stretch>
                      <a:fillRect/>
                    </a:stretch>
                  </pic:blipFill>
                  <pic:spPr>
                    <a:xfrm>
                      <a:off x="0" y="0"/>
                      <a:ext cx="5057775" cy="3008630"/>
                    </a:xfrm>
                    <a:prstGeom prst="rect">
                      <a:avLst/>
                    </a:prstGeom>
                    <a:noFill/>
                    <a:ln>
                      <a:noFill/>
                    </a:ln>
                  </pic:spPr>
                </pic:pic>
              </a:graphicData>
            </a:graphic>
          </wp:inline>
        </w:drawing>
      </w:r>
    </w:p>
    <w:p w14:paraId="4EC27E2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rPr>
        <w:t>需要说明的是，中层管理者版的人际管理类由 2 项增至 5 项（占比由 20% 提升至 50%），这是两套版本最重要的结构差异，直接反映管理者能力重心在人际与组织层面。本报告为基层员工版，适用于承担一线具体工作的岗位胜任力评估。</w:t>
      </w:r>
    </w:p>
    <w:p w14:paraId="3D74E7CE">
      <w:pPr>
        <w:spacing w:line="360" w:lineRule="auto"/>
        <w:ind w:firstLine="482" w:firstLineChars="200"/>
        <w:rPr>
          <w:rFonts w:hint="default"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七、测试说明</w:t>
      </w:r>
    </w:p>
    <w:p w14:paraId="17409D11">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本测评旨在全面了解您在各项工作情景中的行为表现与内在倾向。请您仔细阅读每一题，从中选出更符合您实际情况或更贴近您真实感受的一项。</w:t>
      </w:r>
    </w:p>
    <w:p w14:paraId="551A7D26">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作答说明：</w:t>
      </w:r>
    </w:p>
    <w:p w14:paraId="105F70B3">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1.所有题目无对错、好坏之分，仅反映不同的行为偏好与应对倾向。</w:t>
      </w:r>
    </w:p>
    <w:p w14:paraId="0C3BCD10">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2.请依据您的第一反应如实作答，不必猜测“应该选什么”。</w:t>
      </w:r>
    </w:p>
    <w:p w14:paraId="262F1CB2">
      <w:pPr>
        <w:spacing w:line="360" w:lineRule="auto"/>
        <w:ind w:firstLine="480" w:firstLineChars="200"/>
        <w:rPr>
          <w:rFonts w:hint="eastAsia" w:ascii="宋体" w:hAnsi="宋体" w:eastAsia="宋体" w:cs="宋体"/>
          <w:b w:val="0"/>
          <w:bCs w:val="0"/>
          <w:color w:val="auto"/>
          <w:sz w:val="24"/>
          <w:szCs w:val="32"/>
          <w:lang w:val="en-US" w:eastAsia="zh-CN"/>
        </w:rPr>
      </w:pPr>
      <w:r>
        <w:rPr>
          <w:rFonts w:hint="eastAsia" w:ascii="宋体" w:hAnsi="宋体" w:eastAsia="宋体" w:cs="宋体"/>
          <w:b w:val="0"/>
          <w:bCs w:val="0"/>
          <w:color w:val="auto"/>
          <w:sz w:val="24"/>
          <w:szCs w:val="32"/>
          <w:lang w:val="en-US" w:eastAsia="zh-CN"/>
        </w:rPr>
        <w:t>您的作答结果将严格保密，仅用于个人发展评估及组织人才决策。感谢您的参与和配合！</w:t>
      </w:r>
    </w:p>
    <w:p w14:paraId="661EBC79">
      <w:pPr>
        <w:spacing w:line="360" w:lineRule="auto"/>
        <w:ind w:firstLine="482" w:firstLineChars="200"/>
        <w:rPr>
          <w:rFonts w:hint="eastAsia" w:ascii="宋体" w:hAnsi="宋体" w:eastAsia="宋体" w:cs="宋体"/>
          <w:b/>
          <w:bCs/>
          <w:color w:val="auto"/>
          <w:sz w:val="24"/>
          <w:szCs w:val="32"/>
          <w:lang w:val="en-US" w:eastAsia="zh-CN"/>
        </w:rPr>
      </w:pPr>
      <w:r>
        <w:rPr>
          <w:rFonts w:hint="eastAsia" w:ascii="宋体" w:hAnsi="宋体" w:eastAsia="宋体" w:cs="宋体"/>
          <w:b/>
          <w:bCs/>
          <w:color w:val="auto"/>
          <w:sz w:val="24"/>
          <w:szCs w:val="32"/>
          <w:lang w:val="en-US" w:eastAsia="zh-CN"/>
        </w:rPr>
        <w:t>八、计算逻辑</w:t>
      </w:r>
    </w:p>
    <w:p w14:paraId="0F873CB1">
      <w:pPr>
        <w:spacing w:line="360" w:lineRule="auto"/>
        <w:ind w:firstLine="480" w:firstLineChars="200"/>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1.计算各维度原始得分，即</w:t>
      </w:r>
      <w:r>
        <w:rPr>
          <w:rFonts w:hint="eastAsia" w:ascii="宋体" w:hAnsi="宋体" w:eastAsia="宋体" w:cs="宋体"/>
          <w:b/>
          <w:bCs/>
          <w:color w:val="auto"/>
          <w:sz w:val="24"/>
          <w:szCs w:val="32"/>
          <w:lang w:val="en-US" w:eastAsia="zh-CN"/>
        </w:rPr>
        <w:t>各维度8题得分之和</w:t>
      </w:r>
      <w:r>
        <w:rPr>
          <w:rFonts w:hint="eastAsia" w:ascii="宋体" w:hAnsi="宋体" w:eastAsia="宋体" w:cs="宋体"/>
          <w:color w:val="auto"/>
          <w:sz w:val="24"/>
          <w:szCs w:val="32"/>
          <w:lang w:val="en-US" w:eastAsia="zh-CN"/>
        </w:rPr>
        <w:t>。每题答题计分为选择完全不符合计1分，比较不符合计2分，不确定计3分，比较符合计4分，完全符合计5分。反向计分题，计分时需反转，即原始1分计5分，原始2分计4分，原始3分计3分，原始4分计2分，原始5分计1分。</w:t>
      </w:r>
    </w:p>
    <w:p w14:paraId="7CD38C4F">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2.计算10个维度原始分，即原始分=</w:t>
      </w:r>
      <w:r>
        <w:rPr>
          <w:rFonts w:hint="eastAsia" w:ascii="宋体" w:hAnsi="宋体" w:eastAsia="宋体" w:cs="宋体"/>
          <w:b/>
          <w:bCs/>
          <w:color w:val="auto"/>
          <w:sz w:val="24"/>
          <w:szCs w:val="32"/>
          <w:lang w:val="en-US" w:eastAsia="zh-CN"/>
        </w:rPr>
        <w:t>该维度每题得分之和/该维度题量</w:t>
      </w:r>
      <w:r>
        <w:rPr>
          <w:rFonts w:hint="eastAsia" w:ascii="宋体" w:hAnsi="宋体" w:eastAsia="宋体" w:cs="宋体"/>
          <w:color w:val="auto"/>
          <w:sz w:val="24"/>
          <w:szCs w:val="32"/>
          <w:lang w:val="en-US" w:eastAsia="zh-CN"/>
        </w:rPr>
        <w:t>。</w:t>
      </w:r>
    </w:p>
    <w:p w14:paraId="2DE0EC16">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3.计算各维度百分制分数</w:t>
      </w:r>
    </w:p>
    <w:p w14:paraId="449FC548">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采用线性映射法，将原始分转换为百分制标准分（0～100分）：</w:t>
      </w:r>
    </w:p>
    <w:p w14:paraId="6C5254BC">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b/>
          <w:bCs/>
          <w:color w:val="0000FF"/>
          <w:sz w:val="24"/>
          <w:lang w:val="en-US" w:eastAsia="zh-CN"/>
        </w:rPr>
        <w:t>维度得分=25×原始平均分−25</w:t>
      </w:r>
    </w:p>
    <w:tbl>
      <w:tblPr>
        <w:tblStyle w:val="10"/>
        <w:tblW w:w="0" w:type="auto"/>
        <w:jc w:val="center"/>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autofit"/>
        <w:tblCellMar>
          <w:top w:w="0" w:type="dxa"/>
          <w:left w:w="108" w:type="dxa"/>
          <w:bottom w:w="0" w:type="dxa"/>
          <w:right w:w="108" w:type="dxa"/>
        </w:tblCellMar>
      </w:tblPr>
      <w:tblGrid>
        <w:gridCol w:w="1661"/>
        <w:gridCol w:w="1230"/>
        <w:gridCol w:w="1214"/>
        <w:gridCol w:w="1159"/>
        <w:gridCol w:w="3041"/>
      </w:tblGrid>
      <w:tr w14:paraId="48E9F14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2F5496"/>
          </w:tcPr>
          <w:p w14:paraId="403ED6FE">
            <w:pPr>
              <w:spacing w:before="40" w:after="40" w:line="312" w:lineRule="auto"/>
            </w:pPr>
            <w:r>
              <w:rPr>
                <w:rFonts w:ascii="Times New Roman" w:hAnsi="Times New Roman" w:eastAsia="宋体"/>
                <w:b/>
                <w:color w:val="FFFFFF"/>
                <w:sz w:val="21"/>
              </w:rPr>
              <w:t>维度名称</w:t>
            </w:r>
          </w:p>
        </w:tc>
        <w:tc>
          <w:tcPr>
            <w:tcW w:w="1230" w:type="dxa"/>
            <w:shd w:val="clear" w:color="auto" w:fill="2F5496"/>
          </w:tcPr>
          <w:p w14:paraId="23DF2263">
            <w:pPr>
              <w:spacing w:before="40" w:after="40" w:line="312" w:lineRule="auto"/>
              <w:rPr>
                <w:rFonts w:hint="eastAsia" w:eastAsia="宋体"/>
                <w:lang w:val="en-US" w:eastAsia="zh-CN"/>
              </w:rPr>
            </w:pPr>
            <w:r>
              <w:rPr>
                <w:rFonts w:ascii="Times New Roman" w:hAnsi="Times New Roman" w:eastAsia="宋体"/>
                <w:b/>
                <w:color w:val="FFFFFF"/>
                <w:sz w:val="21"/>
              </w:rPr>
              <w:t>常模分数</w:t>
            </w:r>
            <w:r>
              <w:rPr>
                <w:rFonts w:hint="eastAsia" w:ascii="Times New Roman" w:hAnsi="Times New Roman" w:eastAsia="宋体"/>
                <w:b/>
                <w:color w:val="FFFFFF"/>
                <w:sz w:val="21"/>
                <w:lang w:val="en-US" w:eastAsia="zh-CN"/>
              </w:rPr>
              <w:t>五分制</w:t>
            </w:r>
          </w:p>
        </w:tc>
        <w:tc>
          <w:tcPr>
            <w:tcW w:w="1214" w:type="dxa"/>
            <w:shd w:val="clear" w:color="auto" w:fill="2F5496"/>
          </w:tcPr>
          <w:p w14:paraId="22C136E3">
            <w:pPr>
              <w:spacing w:before="40" w:after="40" w:line="312" w:lineRule="auto"/>
            </w:pPr>
            <w:r>
              <w:rPr>
                <w:rFonts w:ascii="Times New Roman" w:hAnsi="Times New Roman" w:eastAsia="宋体"/>
                <w:b/>
                <w:color w:val="FFFFFF"/>
                <w:sz w:val="21"/>
              </w:rPr>
              <w:t>标准差（SD）</w:t>
            </w:r>
          </w:p>
        </w:tc>
        <w:tc>
          <w:tcPr>
            <w:tcW w:w="1159" w:type="dxa"/>
            <w:shd w:val="clear" w:color="auto" w:fill="2F5496"/>
          </w:tcPr>
          <w:p w14:paraId="582BC50A">
            <w:pPr>
              <w:spacing w:before="40" w:after="40" w:line="312" w:lineRule="auto"/>
              <w:rPr>
                <w:rFonts w:hint="default" w:ascii="Times New Roman" w:hAnsi="Times New Roman" w:eastAsia="宋体"/>
                <w:b/>
                <w:color w:val="FFFFFF"/>
                <w:sz w:val="21"/>
                <w:lang w:val="en-US" w:eastAsia="zh-CN"/>
              </w:rPr>
            </w:pPr>
            <w:r>
              <w:rPr>
                <w:rFonts w:hint="eastAsia" w:ascii="Times New Roman" w:hAnsi="Times New Roman" w:eastAsia="宋体"/>
                <w:b/>
                <w:color w:val="FFFFFF"/>
                <w:sz w:val="21"/>
                <w:lang w:val="en-US" w:eastAsia="zh-CN"/>
              </w:rPr>
              <w:t>常模分百分制</w:t>
            </w:r>
          </w:p>
        </w:tc>
        <w:tc>
          <w:tcPr>
            <w:tcW w:w="3041" w:type="dxa"/>
            <w:shd w:val="clear" w:color="auto" w:fill="2F5496"/>
          </w:tcPr>
          <w:p w14:paraId="2522EBBE">
            <w:pPr>
              <w:spacing w:before="40" w:after="40" w:line="312" w:lineRule="auto"/>
              <w:rPr>
                <w:rFonts w:hint="default" w:ascii="Times New Roman" w:hAnsi="Times New Roman" w:eastAsia="宋体"/>
                <w:b/>
                <w:color w:val="FFFFFF"/>
                <w:sz w:val="21"/>
                <w:lang w:val="en-US" w:eastAsia="zh-CN"/>
              </w:rPr>
            </w:pPr>
            <w:r>
              <w:rPr>
                <w:rFonts w:hint="eastAsia" w:ascii="Times New Roman" w:hAnsi="Times New Roman" w:eastAsia="宋体"/>
                <w:b/>
                <w:color w:val="FFFFFF"/>
                <w:sz w:val="21"/>
                <w:lang w:val="en-US" w:eastAsia="zh-CN"/>
              </w:rPr>
              <w:t>具体报告中没有这方面的体现</w:t>
            </w:r>
          </w:p>
        </w:tc>
      </w:tr>
      <w:tr w14:paraId="6C3B7AEE">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tcPr>
          <w:p w14:paraId="300A49AD">
            <w:pPr>
              <w:spacing w:before="40" w:after="40" w:line="312" w:lineRule="auto"/>
            </w:pPr>
            <w:r>
              <w:rPr>
                <w:rFonts w:ascii="Times New Roman" w:hAnsi="Times New Roman" w:eastAsia="宋体"/>
                <w:b w:val="0"/>
                <w:sz w:val="20"/>
              </w:rPr>
              <w:t>逻辑思维</w:t>
            </w:r>
          </w:p>
        </w:tc>
        <w:tc>
          <w:tcPr>
            <w:tcW w:w="1230" w:type="dxa"/>
            <w:vAlign w:val="top"/>
          </w:tcPr>
          <w:p w14:paraId="07261748">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vAlign w:val="top"/>
          </w:tcPr>
          <w:p w14:paraId="13BD1D35">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0.48</w:t>
            </w:r>
          </w:p>
        </w:tc>
        <w:tc>
          <w:tcPr>
            <w:tcW w:w="1159" w:type="dxa"/>
            <w:vAlign w:val="center"/>
          </w:tcPr>
          <w:p w14:paraId="47180B60">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vAlign w:val="center"/>
          </w:tcPr>
          <w:p w14:paraId="603DD695">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逻辑思维能力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87622D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tcPr>
          <w:p w14:paraId="1BB51621">
            <w:pPr>
              <w:spacing w:before="40" w:after="40" w:line="312" w:lineRule="auto"/>
            </w:pPr>
            <w:r>
              <w:rPr>
                <w:rFonts w:ascii="Times New Roman" w:hAnsi="Times New Roman" w:eastAsia="宋体"/>
                <w:b w:val="0"/>
                <w:sz w:val="20"/>
              </w:rPr>
              <w:t>数据应用</w:t>
            </w:r>
          </w:p>
        </w:tc>
        <w:tc>
          <w:tcPr>
            <w:tcW w:w="1230" w:type="dxa"/>
            <w:vAlign w:val="top"/>
          </w:tcPr>
          <w:p w14:paraId="3C6E1643">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3.4</w:t>
            </w:r>
          </w:p>
        </w:tc>
        <w:tc>
          <w:tcPr>
            <w:tcW w:w="1214" w:type="dxa"/>
            <w:vAlign w:val="top"/>
          </w:tcPr>
          <w:p w14:paraId="2B0D5F89">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vAlign w:val="center"/>
          </w:tcPr>
          <w:p w14:paraId="698DA92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60.00 </w:t>
            </w:r>
          </w:p>
        </w:tc>
        <w:tc>
          <w:tcPr>
            <w:tcW w:w="3041" w:type="dxa"/>
            <w:vAlign w:val="center"/>
          </w:tcPr>
          <w:p w14:paraId="6B45AE17">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数据应用能力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2EB4DFC4">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tcPr>
          <w:p w14:paraId="6EB707D7">
            <w:pPr>
              <w:spacing w:before="40" w:after="40" w:line="312" w:lineRule="auto"/>
            </w:pPr>
            <w:r>
              <w:rPr>
                <w:rFonts w:ascii="Times New Roman" w:hAnsi="Times New Roman" w:eastAsia="宋体"/>
                <w:b w:val="0"/>
                <w:sz w:val="20"/>
              </w:rPr>
              <w:t>计划执行</w:t>
            </w:r>
          </w:p>
        </w:tc>
        <w:tc>
          <w:tcPr>
            <w:tcW w:w="1230" w:type="dxa"/>
            <w:vAlign w:val="top"/>
          </w:tcPr>
          <w:p w14:paraId="694057F8">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3.6</w:t>
            </w:r>
          </w:p>
        </w:tc>
        <w:tc>
          <w:tcPr>
            <w:tcW w:w="1214" w:type="dxa"/>
            <w:vAlign w:val="top"/>
          </w:tcPr>
          <w:p w14:paraId="48AC1343">
            <w:pPr>
              <w:keepNext w:val="0"/>
              <w:keepLines w:val="0"/>
              <w:widowControl/>
              <w:suppressLineNumbers w:val="0"/>
              <w:jc w:val="both"/>
              <w:textAlignment w:val="top"/>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vAlign w:val="center"/>
          </w:tcPr>
          <w:p w14:paraId="709A7356">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65.00 </w:t>
            </w:r>
          </w:p>
        </w:tc>
        <w:tc>
          <w:tcPr>
            <w:tcW w:w="3041" w:type="dxa"/>
            <w:vAlign w:val="center"/>
          </w:tcPr>
          <w:p w14:paraId="38B04807">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计划执行能力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DD28A75">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1F307C38">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沟通表达</w:t>
            </w:r>
          </w:p>
        </w:tc>
        <w:tc>
          <w:tcPr>
            <w:tcW w:w="1230" w:type="dxa"/>
            <w:shd w:val="clear" w:color="auto" w:fill="auto"/>
            <w:vAlign w:val="top"/>
          </w:tcPr>
          <w:p w14:paraId="64C96DF4">
            <w:pPr>
              <w:keepNext w:val="0"/>
              <w:keepLines w:val="0"/>
              <w:widowControl/>
              <w:suppressLineNumbers w:val="0"/>
              <w:jc w:val="both"/>
              <w:textAlignment w:val="top"/>
              <w:rPr>
                <w:rFonts w:hint="eastAsia"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3.1</w:t>
            </w:r>
          </w:p>
        </w:tc>
        <w:tc>
          <w:tcPr>
            <w:tcW w:w="1214" w:type="dxa"/>
            <w:shd w:val="clear" w:color="auto" w:fill="auto"/>
            <w:vAlign w:val="top"/>
          </w:tcPr>
          <w:p w14:paraId="397193D9">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09DE09C7">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52.50 </w:t>
            </w:r>
          </w:p>
        </w:tc>
        <w:tc>
          <w:tcPr>
            <w:tcW w:w="3041" w:type="dxa"/>
            <w:shd w:val="clear" w:color="auto" w:fill="auto"/>
            <w:vAlign w:val="center"/>
          </w:tcPr>
          <w:p w14:paraId="3EB35993">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沟通表达能力</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9FE939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3F829BE2">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成就导向</w:t>
            </w:r>
          </w:p>
        </w:tc>
        <w:tc>
          <w:tcPr>
            <w:tcW w:w="1230" w:type="dxa"/>
            <w:shd w:val="clear" w:color="auto" w:fill="auto"/>
            <w:vAlign w:val="top"/>
          </w:tcPr>
          <w:p w14:paraId="05D30845">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shd w:val="clear" w:color="auto" w:fill="auto"/>
            <w:vAlign w:val="top"/>
          </w:tcPr>
          <w:p w14:paraId="00EEDDFC">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5ECA8718">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shd w:val="clear" w:color="auto" w:fill="auto"/>
            <w:vAlign w:val="center"/>
          </w:tcPr>
          <w:p w14:paraId="595F85C8">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成就导向</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4C4DADC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0175A734">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持续学习</w:t>
            </w:r>
          </w:p>
        </w:tc>
        <w:tc>
          <w:tcPr>
            <w:tcW w:w="1230" w:type="dxa"/>
            <w:shd w:val="clear" w:color="auto" w:fill="auto"/>
            <w:vAlign w:val="top"/>
          </w:tcPr>
          <w:p w14:paraId="65D6F0EC">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shd w:val="clear" w:color="auto" w:fill="auto"/>
            <w:vAlign w:val="top"/>
          </w:tcPr>
          <w:p w14:paraId="6898F3FB">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0.45</w:t>
            </w:r>
          </w:p>
        </w:tc>
        <w:tc>
          <w:tcPr>
            <w:tcW w:w="1159" w:type="dxa"/>
            <w:shd w:val="clear" w:color="auto" w:fill="auto"/>
            <w:vAlign w:val="center"/>
          </w:tcPr>
          <w:p w14:paraId="0AC10B47">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shd w:val="clear" w:color="auto" w:fill="auto"/>
            <w:vAlign w:val="center"/>
          </w:tcPr>
          <w:p w14:paraId="3A129420">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持续学习</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5DEDC88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50801ED5">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敬业奉献</w:t>
            </w:r>
          </w:p>
        </w:tc>
        <w:tc>
          <w:tcPr>
            <w:tcW w:w="1230" w:type="dxa"/>
            <w:shd w:val="clear" w:color="auto" w:fill="auto"/>
            <w:vAlign w:val="top"/>
          </w:tcPr>
          <w:p w14:paraId="6233C2D3">
            <w:pPr>
              <w:keepNext w:val="0"/>
              <w:keepLines w:val="0"/>
              <w:widowControl/>
              <w:suppressLineNumbers w:val="0"/>
              <w:jc w:val="both"/>
              <w:textAlignment w:val="top"/>
              <w:rPr>
                <w:rFonts w:hint="eastAsia"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 xml:space="preserve">3.4 </w:t>
            </w:r>
          </w:p>
        </w:tc>
        <w:tc>
          <w:tcPr>
            <w:tcW w:w="1214" w:type="dxa"/>
            <w:shd w:val="clear" w:color="auto" w:fill="auto"/>
            <w:vAlign w:val="top"/>
          </w:tcPr>
          <w:p w14:paraId="646B0808">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0.46</w:t>
            </w:r>
          </w:p>
        </w:tc>
        <w:tc>
          <w:tcPr>
            <w:tcW w:w="1159" w:type="dxa"/>
            <w:shd w:val="clear" w:color="auto" w:fill="auto"/>
            <w:vAlign w:val="center"/>
          </w:tcPr>
          <w:p w14:paraId="6B307FE4">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60.00 </w:t>
            </w:r>
          </w:p>
        </w:tc>
        <w:tc>
          <w:tcPr>
            <w:tcW w:w="3041" w:type="dxa"/>
            <w:shd w:val="clear" w:color="auto" w:fill="auto"/>
            <w:vAlign w:val="center"/>
          </w:tcPr>
          <w:p w14:paraId="521A6A14">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敬业奉献</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330B253B">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1D06EF9F">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求真务实</w:t>
            </w:r>
          </w:p>
        </w:tc>
        <w:tc>
          <w:tcPr>
            <w:tcW w:w="1230" w:type="dxa"/>
            <w:shd w:val="clear" w:color="auto" w:fill="auto"/>
            <w:vAlign w:val="top"/>
          </w:tcPr>
          <w:p w14:paraId="13590118">
            <w:pPr>
              <w:keepNext w:val="0"/>
              <w:keepLines w:val="0"/>
              <w:widowControl/>
              <w:suppressLineNumbers w:val="0"/>
              <w:jc w:val="both"/>
              <w:textAlignment w:val="top"/>
              <w:rPr>
                <w:rFonts w:hint="eastAsia"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3.3</w:t>
            </w:r>
          </w:p>
        </w:tc>
        <w:tc>
          <w:tcPr>
            <w:tcW w:w="1214" w:type="dxa"/>
            <w:shd w:val="clear" w:color="auto" w:fill="auto"/>
            <w:vAlign w:val="top"/>
          </w:tcPr>
          <w:p w14:paraId="7CC749B5">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796C7F42">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57.50 </w:t>
            </w:r>
          </w:p>
        </w:tc>
        <w:tc>
          <w:tcPr>
            <w:tcW w:w="3041" w:type="dxa"/>
            <w:shd w:val="clear" w:color="auto" w:fill="auto"/>
            <w:vAlign w:val="center"/>
          </w:tcPr>
          <w:p w14:paraId="1BFB57C3">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求真务实</w:t>
            </w:r>
            <w:r>
              <w:rPr>
                <w:rFonts w:hint="default" w:ascii="宋体" w:hAnsi="宋体" w:eastAsia="宋体" w:cs="宋体"/>
                <w:color w:val="0000FF"/>
                <w:sz w:val="22"/>
                <w:szCs w:val="22"/>
                <w:lang w:val="en-US" w:eastAsia="zh-CN"/>
              </w:rPr>
              <w:t>超过一般管理者</w:t>
            </w:r>
          </w:p>
        </w:tc>
      </w:tr>
      <w:tr w14:paraId="6E5B851C">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27339883">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自律性</w:t>
            </w:r>
          </w:p>
        </w:tc>
        <w:tc>
          <w:tcPr>
            <w:tcW w:w="1230" w:type="dxa"/>
            <w:shd w:val="clear" w:color="auto" w:fill="auto"/>
            <w:vAlign w:val="top"/>
          </w:tcPr>
          <w:p w14:paraId="6CC10BF2">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3.5</w:t>
            </w:r>
          </w:p>
        </w:tc>
        <w:tc>
          <w:tcPr>
            <w:tcW w:w="1214" w:type="dxa"/>
            <w:shd w:val="clear" w:color="auto" w:fill="auto"/>
            <w:vAlign w:val="top"/>
          </w:tcPr>
          <w:p w14:paraId="74782B83">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0.49</w:t>
            </w:r>
          </w:p>
        </w:tc>
        <w:tc>
          <w:tcPr>
            <w:tcW w:w="1159" w:type="dxa"/>
            <w:shd w:val="clear" w:color="auto" w:fill="auto"/>
            <w:vAlign w:val="center"/>
          </w:tcPr>
          <w:p w14:paraId="13210BEC">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62.50 </w:t>
            </w:r>
          </w:p>
        </w:tc>
        <w:tc>
          <w:tcPr>
            <w:tcW w:w="3041" w:type="dxa"/>
            <w:shd w:val="clear" w:color="auto" w:fill="auto"/>
            <w:vAlign w:val="center"/>
          </w:tcPr>
          <w:p w14:paraId="65B12689">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自律性</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0006AB2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507F99FB">
            <w:pPr>
              <w:spacing w:before="40" w:after="40" w:line="312" w:lineRule="auto"/>
              <w:rPr>
                <w:rFonts w:asciiTheme="minorHAnsi" w:hAnsiTheme="minorHAnsi" w:eastAsiaTheme="minorEastAsia" w:cstheme="minorBidi"/>
                <w:kern w:val="2"/>
                <w:sz w:val="21"/>
                <w:szCs w:val="24"/>
                <w:lang w:val="en-US" w:eastAsia="zh-CN" w:bidi="ar-SA"/>
              </w:rPr>
            </w:pPr>
            <w:r>
              <w:rPr>
                <w:rFonts w:ascii="Times New Roman" w:hAnsi="Times New Roman" w:eastAsia="宋体"/>
                <w:b w:val="0"/>
                <w:sz w:val="20"/>
              </w:rPr>
              <w:t>合作意识</w:t>
            </w:r>
          </w:p>
        </w:tc>
        <w:tc>
          <w:tcPr>
            <w:tcW w:w="1230" w:type="dxa"/>
            <w:shd w:val="clear" w:color="auto" w:fill="auto"/>
            <w:vAlign w:val="top"/>
          </w:tcPr>
          <w:p w14:paraId="744674DC">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3.2</w:t>
            </w:r>
          </w:p>
        </w:tc>
        <w:tc>
          <w:tcPr>
            <w:tcW w:w="1214" w:type="dxa"/>
            <w:shd w:val="clear" w:color="auto" w:fill="auto"/>
            <w:vAlign w:val="top"/>
          </w:tcPr>
          <w:p w14:paraId="2CDE8493">
            <w:pPr>
              <w:keepNext w:val="0"/>
              <w:keepLines w:val="0"/>
              <w:widowControl/>
              <w:suppressLineNumbers w:val="0"/>
              <w:jc w:val="both"/>
              <w:textAlignment w:val="top"/>
              <w:rPr>
                <w:rFonts w:asciiTheme="minorHAnsi" w:hAnsiTheme="minorHAnsi" w:eastAsiaTheme="minorEastAsia" w:cstheme="minorBidi"/>
                <w:kern w:val="2"/>
                <w:sz w:val="21"/>
                <w:szCs w:val="24"/>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0.5</w:t>
            </w:r>
          </w:p>
        </w:tc>
        <w:tc>
          <w:tcPr>
            <w:tcW w:w="1159" w:type="dxa"/>
            <w:shd w:val="clear" w:color="auto" w:fill="auto"/>
            <w:vAlign w:val="center"/>
          </w:tcPr>
          <w:p w14:paraId="69C55FAA">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ascii="宋体" w:hAnsi="宋体" w:eastAsia="宋体" w:cs="宋体"/>
                <w:i w:val="0"/>
                <w:iCs w:val="0"/>
                <w:color w:val="000000"/>
                <w:kern w:val="0"/>
                <w:sz w:val="22"/>
                <w:szCs w:val="22"/>
                <w:u w:val="none"/>
                <w:lang w:val="en-US" w:eastAsia="zh-CN" w:bidi="ar"/>
              </w:rPr>
              <w:t xml:space="preserve">55.00 </w:t>
            </w:r>
          </w:p>
        </w:tc>
        <w:tc>
          <w:tcPr>
            <w:tcW w:w="3041" w:type="dxa"/>
            <w:shd w:val="clear" w:color="auto" w:fill="auto"/>
            <w:vAlign w:val="center"/>
          </w:tcPr>
          <w:p w14:paraId="78AFCFA2">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合作意识</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r w14:paraId="1C23B56A">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jc w:val="center"/>
        </w:trPr>
        <w:tc>
          <w:tcPr>
            <w:tcW w:w="1661" w:type="dxa"/>
            <w:shd w:val="clear" w:color="auto" w:fill="auto"/>
            <w:vAlign w:val="top"/>
          </w:tcPr>
          <w:p w14:paraId="3CD3E398">
            <w:pPr>
              <w:spacing w:before="40" w:after="40" w:line="312" w:lineRule="auto"/>
              <w:rPr>
                <w:rFonts w:hint="eastAsia" w:ascii="Times New Roman" w:hAnsi="Times New Roman" w:eastAsia="宋体"/>
                <w:b w:val="0"/>
                <w:sz w:val="20"/>
                <w:lang w:val="en-US" w:eastAsia="zh-CN"/>
              </w:rPr>
            </w:pPr>
            <w:r>
              <w:rPr>
                <w:rFonts w:hint="eastAsia" w:ascii="Times New Roman" w:hAnsi="Times New Roman" w:eastAsia="宋体"/>
                <w:b w:val="0"/>
                <w:sz w:val="20"/>
                <w:lang w:val="en-US" w:eastAsia="zh-CN"/>
              </w:rPr>
              <w:t>总分</w:t>
            </w:r>
          </w:p>
        </w:tc>
        <w:tc>
          <w:tcPr>
            <w:tcW w:w="1230" w:type="dxa"/>
            <w:shd w:val="clear" w:color="auto" w:fill="auto"/>
            <w:vAlign w:val="center"/>
          </w:tcPr>
          <w:p w14:paraId="4BE159F8">
            <w:pPr>
              <w:keepNext w:val="0"/>
              <w:keepLines w:val="0"/>
              <w:widowControl/>
              <w:suppressLineNumbers w:val="0"/>
              <w:jc w:val="right"/>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33.1</w:t>
            </w:r>
          </w:p>
        </w:tc>
        <w:tc>
          <w:tcPr>
            <w:tcW w:w="1214" w:type="dxa"/>
            <w:shd w:val="clear" w:color="auto" w:fill="auto"/>
            <w:vAlign w:val="center"/>
          </w:tcPr>
          <w:p w14:paraId="2594FA20">
            <w:pPr>
              <w:keepNext w:val="0"/>
              <w:keepLines w:val="0"/>
              <w:widowControl/>
              <w:suppressLineNumbers w:val="0"/>
              <w:jc w:val="right"/>
              <w:textAlignment w:val="center"/>
              <w:rPr>
                <w:rFonts w:hint="default" w:ascii="Times New Roman" w:hAnsi="Times New Roman" w:eastAsia="宋体" w:cs="Times New Roman"/>
                <w:i w:val="0"/>
                <w:iCs w:val="0"/>
                <w:color w:val="000000"/>
                <w:kern w:val="0"/>
                <w:sz w:val="20"/>
                <w:szCs w:val="20"/>
                <w:u w:val="none"/>
                <w:lang w:val="en-US" w:eastAsia="zh-CN" w:bidi="ar"/>
              </w:rPr>
            </w:pPr>
          </w:p>
        </w:tc>
        <w:tc>
          <w:tcPr>
            <w:tcW w:w="1159" w:type="dxa"/>
            <w:shd w:val="clear" w:color="auto" w:fill="auto"/>
            <w:vAlign w:val="center"/>
          </w:tcPr>
          <w:p w14:paraId="62646D91">
            <w:pPr>
              <w:keepNext w:val="0"/>
              <w:keepLines w:val="0"/>
              <w:widowControl/>
              <w:suppressLineNumbers w:val="0"/>
              <w:jc w:val="righ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57.75</w:t>
            </w:r>
          </w:p>
        </w:tc>
        <w:tc>
          <w:tcPr>
            <w:tcW w:w="3041" w:type="dxa"/>
            <w:shd w:val="clear" w:color="auto" w:fill="auto"/>
            <w:vAlign w:val="center"/>
          </w:tcPr>
          <w:p w14:paraId="20B75BDB">
            <w:pPr>
              <w:keepNext w:val="0"/>
              <w:keepLines w:val="0"/>
              <w:widowControl/>
              <w:suppressLineNumbers w:val="0"/>
              <w:jc w:val="right"/>
              <w:textAlignment w:val="center"/>
              <w:rPr>
                <w:rFonts w:hint="default" w:ascii="宋体" w:hAnsi="宋体" w:eastAsia="宋体" w:cs="宋体"/>
                <w:color w:val="0000FF"/>
                <w:sz w:val="22"/>
                <w:szCs w:val="22"/>
                <w:lang w:val="en-US" w:eastAsia="zh-CN"/>
              </w:rPr>
            </w:pPr>
            <w:r>
              <w:rPr>
                <w:rFonts w:hint="default" w:ascii="宋体" w:hAnsi="宋体" w:eastAsia="宋体" w:cs="宋体"/>
                <w:color w:val="0000FF"/>
                <w:sz w:val="22"/>
                <w:szCs w:val="22"/>
                <w:lang w:val="en-US" w:eastAsia="zh-CN"/>
              </w:rPr>
              <w:t>高于此值表明</w:t>
            </w:r>
            <w:r>
              <w:rPr>
                <w:rFonts w:hint="eastAsia" w:ascii="宋体" w:hAnsi="宋体" w:eastAsia="宋体" w:cs="宋体"/>
                <w:color w:val="0000FF"/>
                <w:sz w:val="22"/>
                <w:szCs w:val="22"/>
                <w:lang w:val="en-US" w:eastAsia="zh-CN"/>
              </w:rPr>
              <w:t>胜任力总体分数</w:t>
            </w:r>
            <w:r>
              <w:rPr>
                <w:rFonts w:hint="default" w:ascii="宋体" w:hAnsi="宋体" w:eastAsia="宋体" w:cs="宋体"/>
                <w:color w:val="0000FF"/>
                <w:sz w:val="22"/>
                <w:szCs w:val="22"/>
                <w:lang w:val="en-US" w:eastAsia="zh-CN"/>
              </w:rPr>
              <w:t>超过一般</w:t>
            </w:r>
            <w:r>
              <w:rPr>
                <w:rFonts w:hint="eastAsia" w:ascii="宋体" w:hAnsi="宋体" w:eastAsia="宋体" w:cs="宋体"/>
                <w:color w:val="0000FF"/>
                <w:sz w:val="22"/>
                <w:szCs w:val="22"/>
                <w:lang w:val="en-US" w:eastAsia="zh-CN"/>
              </w:rPr>
              <w:t>员工/</w:t>
            </w:r>
            <w:r>
              <w:rPr>
                <w:rFonts w:hint="default" w:ascii="宋体" w:hAnsi="宋体" w:eastAsia="宋体" w:cs="宋体"/>
                <w:color w:val="0000FF"/>
                <w:sz w:val="22"/>
                <w:szCs w:val="22"/>
                <w:lang w:val="en-US" w:eastAsia="zh-CN"/>
              </w:rPr>
              <w:t>管理者</w:t>
            </w:r>
          </w:p>
        </w:tc>
      </w:tr>
    </w:tbl>
    <w:p w14:paraId="103A5ADE">
      <w:pPr>
        <w:spacing w:line="360" w:lineRule="auto"/>
        <w:ind w:firstLine="480" w:firstLineChars="200"/>
        <w:rPr>
          <w:rFonts w:hint="eastAsia"/>
          <w:sz w:val="24"/>
          <w:szCs w:val="32"/>
          <w:lang w:val="en-US" w:eastAsia="zh-CN"/>
        </w:rPr>
      </w:pPr>
      <w:r>
        <w:rPr>
          <w:rFonts w:hint="eastAsia"/>
          <w:sz w:val="24"/>
          <w:szCs w:val="32"/>
          <w:lang w:val="en-US" w:eastAsia="zh-CN"/>
        </w:rPr>
        <w:t>4.百分制对应等级</w:t>
      </w:r>
    </w:p>
    <w:p w14:paraId="5367AE88">
      <w:pPr>
        <w:spacing w:line="360" w:lineRule="auto"/>
        <w:ind w:firstLine="0" w:firstLineChars="0"/>
        <w:jc w:val="center"/>
        <w:rPr>
          <w:rFonts w:ascii="宋体" w:hAnsi="宋体" w:eastAsia="宋体" w:cs="宋体"/>
          <w:color w:val="0000FF"/>
          <w:sz w:val="24"/>
        </w:rPr>
      </w:pPr>
      <w:r>
        <w:rPr>
          <w:rFonts w:hint="eastAsia" w:ascii="宋体" w:hAnsi="宋体" w:eastAsia="宋体" w:cs="宋体"/>
          <w:color w:val="0000FF"/>
          <w:sz w:val="24"/>
        </w:rPr>
        <w:t xml:space="preserve">表  </w:t>
      </w:r>
      <w:r>
        <w:rPr>
          <w:rFonts w:hint="eastAsia" w:ascii="宋体" w:hAnsi="宋体" w:eastAsia="宋体" w:cs="宋体"/>
          <w:color w:val="0000FF"/>
          <w:sz w:val="24"/>
          <w:lang w:val="en-US" w:eastAsia="zh-CN"/>
        </w:rPr>
        <w:t>维度得分</w:t>
      </w:r>
      <w:r>
        <w:rPr>
          <w:rFonts w:hint="eastAsia" w:ascii="宋体" w:hAnsi="宋体" w:eastAsia="宋体" w:cs="宋体"/>
          <w:color w:val="0000FF"/>
          <w:sz w:val="24"/>
        </w:rPr>
        <w:t>区间与评价等级的对应表</w:t>
      </w:r>
    </w:p>
    <w:tbl>
      <w:tblPr>
        <w:tblStyle w:val="11"/>
        <w:tblW w:w="87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1726"/>
        <w:gridCol w:w="1230"/>
        <w:gridCol w:w="3510"/>
        <w:gridCol w:w="1512"/>
      </w:tblGrid>
      <w:tr w14:paraId="2E3A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698B811">
            <w:pPr>
              <w:spacing w:line="360" w:lineRule="auto"/>
              <w:jc w:val="center"/>
              <w:rPr>
                <w:rFonts w:hint="default" w:ascii="宋体" w:hAnsi="宋体" w:eastAsia="宋体" w:cs="宋体"/>
                <w:b/>
                <w:bCs/>
                <w:color w:val="0000FF"/>
                <w:sz w:val="20"/>
                <w:szCs w:val="20"/>
                <w:lang w:val="en-US" w:eastAsia="zh-CN"/>
              </w:rPr>
            </w:pPr>
            <w:r>
              <w:rPr>
                <w:rFonts w:hint="eastAsia" w:ascii="宋体" w:hAnsi="宋体" w:eastAsia="宋体" w:cs="宋体"/>
                <w:b/>
                <w:bCs/>
                <w:color w:val="0000FF"/>
                <w:sz w:val="20"/>
                <w:szCs w:val="20"/>
                <w:lang w:val="en-US" w:eastAsia="zh-CN"/>
              </w:rPr>
              <w:t>等级</w:t>
            </w:r>
          </w:p>
        </w:tc>
        <w:tc>
          <w:tcPr>
            <w:tcW w:w="1726" w:type="dxa"/>
            <w:vAlign w:val="center"/>
          </w:tcPr>
          <w:p w14:paraId="46CE037B">
            <w:pPr>
              <w:spacing w:line="360" w:lineRule="auto"/>
              <w:jc w:val="center"/>
              <w:rPr>
                <w:rFonts w:hint="default" w:ascii="宋体" w:hAnsi="宋体" w:eastAsia="宋体" w:cs="宋体"/>
                <w:b/>
                <w:bCs/>
                <w:color w:val="0000FF"/>
                <w:sz w:val="20"/>
                <w:szCs w:val="20"/>
                <w:lang w:val="en-US" w:eastAsia="zh-CN"/>
              </w:rPr>
            </w:pPr>
            <w:r>
              <w:rPr>
                <w:rFonts w:hint="eastAsia" w:ascii="宋体" w:hAnsi="宋体" w:eastAsia="宋体" w:cs="宋体"/>
                <w:b/>
                <w:bCs/>
                <w:color w:val="0000FF"/>
                <w:sz w:val="20"/>
                <w:szCs w:val="20"/>
                <w:lang w:val="en-US" w:eastAsia="zh-CN"/>
              </w:rPr>
              <w:t>维度得分区间</w:t>
            </w:r>
          </w:p>
        </w:tc>
        <w:tc>
          <w:tcPr>
            <w:tcW w:w="1230" w:type="dxa"/>
            <w:vAlign w:val="center"/>
          </w:tcPr>
          <w:p w14:paraId="77B07776">
            <w:pPr>
              <w:spacing w:line="360" w:lineRule="auto"/>
              <w:jc w:val="center"/>
              <w:rPr>
                <w:rFonts w:hint="default" w:ascii="宋体" w:hAnsi="宋体" w:eastAsia="宋体" w:cs="宋体"/>
                <w:b/>
                <w:bCs/>
                <w:color w:val="0000FF"/>
                <w:sz w:val="20"/>
                <w:szCs w:val="20"/>
                <w:lang w:val="en-US" w:eastAsia="zh-CN"/>
              </w:rPr>
            </w:pPr>
            <w:r>
              <w:rPr>
                <w:rFonts w:hint="default" w:ascii="宋体" w:hAnsi="宋体" w:eastAsia="宋体" w:cs="宋体"/>
                <w:b/>
                <w:bCs/>
                <w:color w:val="0000FF"/>
                <w:sz w:val="20"/>
                <w:szCs w:val="20"/>
                <w:lang w:val="en-US" w:eastAsia="zh-CN"/>
              </w:rPr>
              <w:t>等级评价</w:t>
            </w:r>
          </w:p>
        </w:tc>
        <w:tc>
          <w:tcPr>
            <w:tcW w:w="3510" w:type="dxa"/>
            <w:vAlign w:val="center"/>
          </w:tcPr>
          <w:p w14:paraId="53E936D8">
            <w:pPr>
              <w:spacing w:line="360" w:lineRule="auto"/>
              <w:jc w:val="center"/>
              <w:rPr>
                <w:rFonts w:hint="eastAsia" w:ascii="宋体" w:hAnsi="宋体" w:eastAsia="宋体" w:cs="宋体"/>
                <w:b/>
                <w:bCs/>
                <w:color w:val="0000FF"/>
                <w:sz w:val="20"/>
                <w:szCs w:val="20"/>
                <w:lang w:val="en-US" w:eastAsia="zh-CN"/>
              </w:rPr>
            </w:pPr>
            <w:r>
              <w:rPr>
                <w:rFonts w:hint="default" w:ascii="宋体" w:hAnsi="宋体" w:eastAsia="宋体" w:cs="宋体"/>
                <w:b/>
                <w:bCs/>
                <w:color w:val="0000FF"/>
                <w:sz w:val="20"/>
                <w:szCs w:val="20"/>
                <w:lang w:val="en-US" w:eastAsia="zh-CN"/>
              </w:rPr>
              <w:t>核心特征描述</w:t>
            </w:r>
          </w:p>
        </w:tc>
        <w:tc>
          <w:tcPr>
            <w:tcW w:w="1512" w:type="dxa"/>
            <w:shd w:val="clear" w:color="auto" w:fill="auto"/>
            <w:vAlign w:val="center"/>
          </w:tcPr>
          <w:p w14:paraId="55201120">
            <w:pPr>
              <w:spacing w:line="360" w:lineRule="auto"/>
              <w:jc w:val="center"/>
              <w:rPr>
                <w:rFonts w:hint="default" w:ascii="宋体" w:hAnsi="宋体" w:eastAsia="宋体" w:cs="宋体"/>
                <w:b/>
                <w:bCs/>
                <w:color w:val="0000FF"/>
                <w:kern w:val="2"/>
                <w:sz w:val="20"/>
                <w:szCs w:val="20"/>
                <w:lang w:val="en-US" w:eastAsia="zh-CN" w:bidi="ar-SA"/>
              </w:rPr>
            </w:pPr>
            <w:r>
              <w:rPr>
                <w:rFonts w:hint="default" w:ascii="宋体" w:hAnsi="宋体" w:eastAsia="宋体" w:cs="宋体"/>
                <w:b/>
                <w:bCs/>
                <w:color w:val="0000FF"/>
                <w:sz w:val="20"/>
                <w:szCs w:val="20"/>
                <w:lang w:val="en-US" w:eastAsia="zh-CN"/>
              </w:rPr>
              <w:t>百分位范围</w:t>
            </w:r>
          </w:p>
        </w:tc>
      </w:tr>
      <w:tr w14:paraId="3DF3E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0AD5AEF">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L1</w:t>
            </w:r>
          </w:p>
        </w:tc>
        <w:tc>
          <w:tcPr>
            <w:tcW w:w="1726" w:type="dxa"/>
            <w:vAlign w:val="center"/>
          </w:tcPr>
          <w:p w14:paraId="57B9E5F9">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S</w:t>
            </w:r>
            <w:r>
              <w:rPr>
                <w:rFonts w:hint="eastAsia" w:ascii="微软雅黑" w:hAnsi="微软雅黑" w:eastAsia="微软雅黑" w:cs="微软雅黑"/>
                <w:color w:val="0000FF"/>
                <w:sz w:val="20"/>
                <w:szCs w:val="20"/>
                <w:lang w:val="en-US" w:eastAsia="zh-CN"/>
              </w:rPr>
              <w:t>&gt;</w:t>
            </w:r>
            <w:r>
              <w:rPr>
                <w:rFonts w:hint="default" w:ascii="宋体" w:hAnsi="宋体" w:eastAsia="宋体" w:cs="宋体"/>
                <w:color w:val="0000FF"/>
                <w:sz w:val="20"/>
                <w:szCs w:val="20"/>
                <w:lang w:val="en-US" w:eastAsia="zh-CN"/>
              </w:rPr>
              <w:t>90</w:t>
            </w:r>
            <w:r>
              <w:rPr>
                <w:rFonts w:hint="eastAsia" w:ascii="宋体" w:hAnsi="宋体" w:eastAsia="宋体" w:cs="宋体"/>
                <w:color w:val="0000FF"/>
                <w:sz w:val="20"/>
                <w:szCs w:val="20"/>
                <w:lang w:val="en-US" w:eastAsia="zh-CN"/>
              </w:rPr>
              <w:t>分</w:t>
            </w:r>
          </w:p>
        </w:tc>
        <w:tc>
          <w:tcPr>
            <w:tcW w:w="1230" w:type="dxa"/>
            <w:vAlign w:val="center"/>
          </w:tcPr>
          <w:p w14:paraId="1DE63EA2">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优秀</w:t>
            </w:r>
          </w:p>
        </w:tc>
        <w:tc>
          <w:tcPr>
            <w:tcW w:w="3510" w:type="dxa"/>
            <w:vAlign w:val="center"/>
          </w:tcPr>
          <w:p w14:paraId="00698135">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处于常模群体前10%，表现突出</w:t>
            </w:r>
          </w:p>
        </w:tc>
        <w:tc>
          <w:tcPr>
            <w:tcW w:w="1512" w:type="dxa"/>
            <w:shd w:val="clear" w:color="auto" w:fill="auto"/>
            <w:vAlign w:val="center"/>
          </w:tcPr>
          <w:p w14:paraId="4BCCF6E1">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前10%</w:t>
            </w:r>
          </w:p>
        </w:tc>
      </w:tr>
      <w:tr w14:paraId="72E9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5FFE3DA5">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L2</w:t>
            </w:r>
          </w:p>
        </w:tc>
        <w:tc>
          <w:tcPr>
            <w:tcW w:w="1726" w:type="dxa"/>
            <w:vAlign w:val="center"/>
          </w:tcPr>
          <w:p w14:paraId="794B38AD">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7</w:t>
            </w:r>
            <w:r>
              <w:rPr>
                <w:rFonts w:hint="default" w:ascii="宋体" w:hAnsi="宋体" w:eastAsia="宋体" w:cs="宋体"/>
                <w:color w:val="0000FF"/>
                <w:sz w:val="20"/>
                <w:szCs w:val="20"/>
                <w:lang w:val="en-US" w:eastAsia="zh-CN"/>
              </w:rPr>
              <w:t>0</w:t>
            </w:r>
            <w:r>
              <w:rPr>
                <w:rFonts w:hint="eastAsia" w:ascii="微软雅黑" w:hAnsi="微软雅黑" w:eastAsia="微软雅黑" w:cs="微软雅黑"/>
                <w:color w:val="0000FF"/>
                <w:sz w:val="20"/>
                <w:szCs w:val="20"/>
                <w:lang w:val="en-US" w:eastAsia="zh-CN"/>
              </w:rPr>
              <w:t>&lt;</w:t>
            </w:r>
            <w:r>
              <w:rPr>
                <w:rFonts w:hint="eastAsia" w:ascii="宋体" w:hAnsi="宋体" w:eastAsia="宋体" w:cs="宋体"/>
                <w:color w:val="0000FF"/>
                <w:sz w:val="20"/>
                <w:szCs w:val="20"/>
                <w:lang w:val="en-US" w:eastAsia="zh-CN"/>
              </w:rPr>
              <w:t>S</w:t>
            </w:r>
            <w:r>
              <w:rPr>
                <w:rFonts w:hint="eastAsia" w:ascii="微软雅黑" w:hAnsi="微软雅黑" w:eastAsia="微软雅黑" w:cs="微软雅黑"/>
                <w:color w:val="0000FF"/>
                <w:sz w:val="20"/>
                <w:szCs w:val="20"/>
                <w:lang w:val="en-US" w:eastAsia="zh-CN"/>
              </w:rPr>
              <w:t>≤</w:t>
            </w:r>
            <w:r>
              <w:rPr>
                <w:rFonts w:hint="eastAsia" w:ascii="宋体" w:hAnsi="宋体" w:eastAsia="宋体" w:cs="宋体"/>
                <w:color w:val="0000FF"/>
                <w:sz w:val="20"/>
                <w:szCs w:val="20"/>
                <w:lang w:val="en-US" w:eastAsia="zh-CN"/>
              </w:rPr>
              <w:t>9</w:t>
            </w:r>
            <w:r>
              <w:rPr>
                <w:rFonts w:hint="default" w:ascii="宋体" w:hAnsi="宋体" w:eastAsia="宋体" w:cs="宋体"/>
                <w:color w:val="0000FF"/>
                <w:sz w:val="20"/>
                <w:szCs w:val="20"/>
                <w:lang w:val="en-US" w:eastAsia="zh-CN"/>
              </w:rPr>
              <w:t>0</w:t>
            </w:r>
            <w:r>
              <w:rPr>
                <w:rFonts w:hint="eastAsia" w:ascii="宋体" w:hAnsi="宋体" w:eastAsia="宋体" w:cs="宋体"/>
                <w:color w:val="0000FF"/>
                <w:sz w:val="20"/>
                <w:szCs w:val="20"/>
                <w:lang w:val="en-US" w:eastAsia="zh-CN"/>
              </w:rPr>
              <w:t>分</w:t>
            </w:r>
          </w:p>
        </w:tc>
        <w:tc>
          <w:tcPr>
            <w:tcW w:w="1230" w:type="dxa"/>
            <w:vAlign w:val="center"/>
          </w:tcPr>
          <w:p w14:paraId="6C40239E">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良好</w:t>
            </w:r>
          </w:p>
        </w:tc>
        <w:tc>
          <w:tcPr>
            <w:tcW w:w="3510" w:type="dxa"/>
            <w:vAlign w:val="center"/>
          </w:tcPr>
          <w:p w14:paraId="544AC0B9">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高于大部分人群</w:t>
            </w:r>
            <w:r>
              <w:rPr>
                <w:rFonts w:hint="eastAsia" w:ascii="宋体" w:hAnsi="宋体" w:eastAsia="宋体" w:cs="宋体"/>
                <w:color w:val="0000FF"/>
                <w:sz w:val="20"/>
                <w:szCs w:val="20"/>
                <w:lang w:val="en-US" w:eastAsia="zh-CN"/>
              </w:rPr>
              <w:t>，表现良好</w:t>
            </w:r>
          </w:p>
        </w:tc>
        <w:tc>
          <w:tcPr>
            <w:tcW w:w="1512" w:type="dxa"/>
            <w:shd w:val="clear" w:color="auto" w:fill="auto"/>
            <w:vAlign w:val="center"/>
          </w:tcPr>
          <w:p w14:paraId="5D81AC6A">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前10%～</w:t>
            </w:r>
            <w:r>
              <w:rPr>
                <w:rFonts w:hint="eastAsia" w:ascii="宋体" w:hAnsi="宋体" w:eastAsia="宋体" w:cs="宋体"/>
                <w:color w:val="0000FF"/>
                <w:sz w:val="20"/>
                <w:szCs w:val="20"/>
                <w:lang w:val="en-US" w:eastAsia="zh-CN"/>
              </w:rPr>
              <w:t>30</w:t>
            </w:r>
            <w:r>
              <w:rPr>
                <w:rFonts w:hint="default" w:ascii="宋体" w:hAnsi="宋体" w:eastAsia="宋体" w:cs="宋体"/>
                <w:color w:val="0000FF"/>
                <w:sz w:val="20"/>
                <w:szCs w:val="20"/>
                <w:lang w:val="en-US" w:eastAsia="zh-CN"/>
              </w:rPr>
              <w:t>%</w:t>
            </w:r>
          </w:p>
        </w:tc>
      </w:tr>
      <w:tr w14:paraId="75354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0AC8AC47">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L3</w:t>
            </w:r>
          </w:p>
        </w:tc>
        <w:tc>
          <w:tcPr>
            <w:tcW w:w="1726" w:type="dxa"/>
            <w:vAlign w:val="center"/>
          </w:tcPr>
          <w:p w14:paraId="0827A607">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30</w:t>
            </w:r>
            <w:r>
              <w:rPr>
                <w:rFonts w:hint="eastAsia" w:ascii="微软雅黑" w:hAnsi="微软雅黑" w:eastAsia="微软雅黑" w:cs="微软雅黑"/>
                <w:color w:val="0000FF"/>
                <w:sz w:val="20"/>
                <w:szCs w:val="20"/>
                <w:lang w:val="en-US" w:eastAsia="zh-CN"/>
              </w:rPr>
              <w:t>&lt;</w:t>
            </w:r>
            <w:r>
              <w:rPr>
                <w:rFonts w:hint="eastAsia" w:ascii="宋体" w:hAnsi="宋体" w:eastAsia="宋体" w:cs="宋体"/>
                <w:color w:val="0000FF"/>
                <w:sz w:val="20"/>
                <w:szCs w:val="20"/>
                <w:lang w:val="en-US" w:eastAsia="zh-CN"/>
              </w:rPr>
              <w:t>S</w:t>
            </w:r>
            <w:r>
              <w:rPr>
                <w:rFonts w:hint="eastAsia" w:ascii="微软雅黑" w:hAnsi="微软雅黑" w:eastAsia="微软雅黑" w:cs="微软雅黑"/>
                <w:color w:val="0000FF"/>
                <w:sz w:val="20"/>
                <w:szCs w:val="20"/>
                <w:lang w:val="en-US" w:eastAsia="zh-CN"/>
              </w:rPr>
              <w:t>≤</w:t>
            </w:r>
            <w:r>
              <w:rPr>
                <w:rFonts w:hint="eastAsia" w:ascii="宋体" w:hAnsi="宋体" w:eastAsia="宋体" w:cs="宋体"/>
                <w:color w:val="0000FF"/>
                <w:sz w:val="20"/>
                <w:szCs w:val="20"/>
                <w:lang w:val="en-US" w:eastAsia="zh-CN"/>
              </w:rPr>
              <w:t>70分</w:t>
            </w:r>
          </w:p>
        </w:tc>
        <w:tc>
          <w:tcPr>
            <w:tcW w:w="1230" w:type="dxa"/>
            <w:vAlign w:val="center"/>
          </w:tcPr>
          <w:p w14:paraId="343CED74">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合格</w:t>
            </w:r>
          </w:p>
        </w:tc>
        <w:tc>
          <w:tcPr>
            <w:tcW w:w="3510" w:type="dxa"/>
            <w:vAlign w:val="center"/>
          </w:tcPr>
          <w:p w14:paraId="5AB25696">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处于常模群体中间区域</w:t>
            </w:r>
          </w:p>
        </w:tc>
        <w:tc>
          <w:tcPr>
            <w:tcW w:w="1512" w:type="dxa"/>
            <w:shd w:val="clear" w:color="auto" w:fill="auto"/>
            <w:vAlign w:val="center"/>
          </w:tcPr>
          <w:p w14:paraId="304ECD69">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中间</w:t>
            </w:r>
            <w:r>
              <w:rPr>
                <w:rFonts w:hint="eastAsia" w:ascii="宋体" w:hAnsi="宋体" w:eastAsia="宋体" w:cs="宋体"/>
                <w:color w:val="0000FF"/>
                <w:sz w:val="20"/>
                <w:szCs w:val="20"/>
                <w:lang w:val="en-US" w:eastAsia="zh-CN"/>
              </w:rPr>
              <w:t>4</w:t>
            </w:r>
            <w:r>
              <w:rPr>
                <w:rFonts w:hint="default" w:ascii="宋体" w:hAnsi="宋体" w:eastAsia="宋体" w:cs="宋体"/>
                <w:color w:val="0000FF"/>
                <w:sz w:val="20"/>
                <w:szCs w:val="20"/>
                <w:lang w:val="en-US" w:eastAsia="zh-CN"/>
              </w:rPr>
              <w:t>0%</w:t>
            </w:r>
          </w:p>
        </w:tc>
      </w:tr>
      <w:tr w14:paraId="2D8A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350DC098">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L4</w:t>
            </w:r>
          </w:p>
        </w:tc>
        <w:tc>
          <w:tcPr>
            <w:tcW w:w="1726" w:type="dxa"/>
            <w:vAlign w:val="center"/>
          </w:tcPr>
          <w:p w14:paraId="12BA1A31">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10</w:t>
            </w:r>
            <w:r>
              <w:rPr>
                <w:rFonts w:hint="eastAsia" w:ascii="微软雅黑" w:hAnsi="微软雅黑" w:eastAsia="微软雅黑" w:cs="微软雅黑"/>
                <w:color w:val="0000FF"/>
                <w:sz w:val="20"/>
                <w:szCs w:val="20"/>
                <w:lang w:val="en-US" w:eastAsia="zh-CN"/>
              </w:rPr>
              <w:t>&lt;</w:t>
            </w:r>
            <w:r>
              <w:rPr>
                <w:rFonts w:hint="eastAsia" w:ascii="宋体" w:hAnsi="宋体" w:eastAsia="宋体" w:cs="宋体"/>
                <w:color w:val="0000FF"/>
                <w:sz w:val="20"/>
                <w:szCs w:val="20"/>
                <w:lang w:val="en-US" w:eastAsia="zh-CN"/>
              </w:rPr>
              <w:t>S</w:t>
            </w:r>
            <w:r>
              <w:rPr>
                <w:rFonts w:hint="eastAsia" w:ascii="微软雅黑" w:hAnsi="微软雅黑" w:eastAsia="微软雅黑" w:cs="微软雅黑"/>
                <w:color w:val="0000FF"/>
                <w:sz w:val="20"/>
                <w:szCs w:val="20"/>
                <w:lang w:val="en-US" w:eastAsia="zh-CN"/>
              </w:rPr>
              <w:t>≤</w:t>
            </w:r>
            <w:r>
              <w:rPr>
                <w:rFonts w:hint="eastAsia" w:ascii="宋体" w:hAnsi="宋体" w:eastAsia="宋体" w:cs="宋体"/>
                <w:color w:val="0000FF"/>
                <w:sz w:val="20"/>
                <w:szCs w:val="20"/>
                <w:lang w:val="en-US" w:eastAsia="zh-CN"/>
              </w:rPr>
              <w:t>30分</w:t>
            </w:r>
          </w:p>
        </w:tc>
        <w:tc>
          <w:tcPr>
            <w:tcW w:w="1230" w:type="dxa"/>
            <w:vAlign w:val="center"/>
          </w:tcPr>
          <w:p w14:paraId="38959ECD">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欠佳</w:t>
            </w:r>
          </w:p>
        </w:tc>
        <w:tc>
          <w:tcPr>
            <w:tcW w:w="3510" w:type="dxa"/>
            <w:vAlign w:val="center"/>
          </w:tcPr>
          <w:p w14:paraId="0C472C00">
            <w:pPr>
              <w:spacing w:line="360" w:lineRule="auto"/>
              <w:jc w:val="center"/>
              <w:rPr>
                <w:rFonts w:hint="default"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低于大部分人群</w:t>
            </w:r>
            <w:r>
              <w:rPr>
                <w:rFonts w:hint="eastAsia" w:ascii="宋体" w:hAnsi="宋体" w:eastAsia="宋体" w:cs="宋体"/>
                <w:color w:val="0000FF"/>
                <w:sz w:val="20"/>
                <w:szCs w:val="20"/>
                <w:lang w:val="en-US" w:eastAsia="zh-CN"/>
              </w:rPr>
              <w:t>，相对短板</w:t>
            </w:r>
          </w:p>
        </w:tc>
        <w:tc>
          <w:tcPr>
            <w:tcW w:w="1512" w:type="dxa"/>
            <w:shd w:val="clear" w:color="auto" w:fill="auto"/>
            <w:vAlign w:val="center"/>
          </w:tcPr>
          <w:p w14:paraId="0C85435B">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后10%～</w:t>
            </w:r>
            <w:r>
              <w:rPr>
                <w:rFonts w:hint="eastAsia" w:ascii="宋体" w:hAnsi="宋体" w:eastAsia="宋体" w:cs="宋体"/>
                <w:color w:val="0000FF"/>
                <w:sz w:val="20"/>
                <w:szCs w:val="20"/>
                <w:lang w:val="en-US" w:eastAsia="zh-CN"/>
              </w:rPr>
              <w:t>30</w:t>
            </w:r>
            <w:r>
              <w:rPr>
                <w:rFonts w:hint="default" w:ascii="宋体" w:hAnsi="宋体" w:eastAsia="宋体" w:cs="宋体"/>
                <w:color w:val="0000FF"/>
                <w:sz w:val="20"/>
                <w:szCs w:val="20"/>
                <w:lang w:val="en-US" w:eastAsia="zh-CN"/>
              </w:rPr>
              <w:t>%</w:t>
            </w:r>
          </w:p>
        </w:tc>
      </w:tr>
      <w:tr w14:paraId="79D9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79" w:type="dxa"/>
            <w:vAlign w:val="center"/>
          </w:tcPr>
          <w:p w14:paraId="7B047D70">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L5</w:t>
            </w:r>
          </w:p>
        </w:tc>
        <w:tc>
          <w:tcPr>
            <w:tcW w:w="1726" w:type="dxa"/>
            <w:vAlign w:val="center"/>
          </w:tcPr>
          <w:p w14:paraId="29368C3B">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S</w:t>
            </w:r>
            <w:r>
              <w:rPr>
                <w:rFonts w:hint="eastAsia" w:ascii="微软雅黑" w:hAnsi="微软雅黑" w:eastAsia="微软雅黑" w:cs="微软雅黑"/>
                <w:color w:val="0000FF"/>
                <w:sz w:val="20"/>
                <w:szCs w:val="20"/>
                <w:lang w:val="en-US" w:eastAsia="zh-CN"/>
              </w:rPr>
              <w:t>≤</w:t>
            </w:r>
            <w:r>
              <w:rPr>
                <w:rFonts w:hint="default" w:ascii="宋体" w:hAnsi="宋体" w:eastAsia="宋体" w:cs="宋体"/>
                <w:color w:val="0000FF"/>
                <w:sz w:val="20"/>
                <w:szCs w:val="20"/>
                <w:lang w:val="en-US" w:eastAsia="zh-CN"/>
              </w:rPr>
              <w:t>10</w:t>
            </w:r>
            <w:r>
              <w:rPr>
                <w:rFonts w:hint="eastAsia" w:ascii="宋体" w:hAnsi="宋体" w:eastAsia="宋体" w:cs="宋体"/>
                <w:color w:val="0000FF"/>
                <w:sz w:val="20"/>
                <w:szCs w:val="20"/>
                <w:lang w:val="en-US" w:eastAsia="zh-CN"/>
              </w:rPr>
              <w:t>分</w:t>
            </w:r>
          </w:p>
        </w:tc>
        <w:tc>
          <w:tcPr>
            <w:tcW w:w="1230" w:type="dxa"/>
            <w:vAlign w:val="center"/>
          </w:tcPr>
          <w:p w14:paraId="067B2E36">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不足</w:t>
            </w:r>
          </w:p>
        </w:tc>
        <w:tc>
          <w:tcPr>
            <w:tcW w:w="3510" w:type="dxa"/>
            <w:vAlign w:val="center"/>
          </w:tcPr>
          <w:p w14:paraId="54E4DA02">
            <w:pPr>
              <w:spacing w:line="360" w:lineRule="auto"/>
              <w:jc w:val="center"/>
              <w:rPr>
                <w:rFonts w:hint="eastAsia" w:ascii="宋体" w:hAnsi="宋体" w:eastAsia="宋体" w:cs="宋体"/>
                <w:color w:val="0000FF"/>
                <w:sz w:val="20"/>
                <w:szCs w:val="20"/>
                <w:lang w:val="en-US" w:eastAsia="zh-CN"/>
              </w:rPr>
            </w:pPr>
            <w:r>
              <w:rPr>
                <w:rFonts w:hint="default" w:ascii="宋体" w:hAnsi="宋体" w:eastAsia="宋体" w:cs="宋体"/>
                <w:color w:val="0000FF"/>
                <w:sz w:val="20"/>
                <w:szCs w:val="20"/>
                <w:lang w:val="en-US" w:eastAsia="zh-CN"/>
              </w:rPr>
              <w:t>处于常模群体后10%，重点关注</w:t>
            </w:r>
          </w:p>
        </w:tc>
        <w:tc>
          <w:tcPr>
            <w:tcW w:w="1512" w:type="dxa"/>
            <w:shd w:val="clear" w:color="auto" w:fill="auto"/>
            <w:vAlign w:val="center"/>
          </w:tcPr>
          <w:p w14:paraId="62893FEE">
            <w:pPr>
              <w:spacing w:line="360" w:lineRule="auto"/>
              <w:jc w:val="center"/>
              <w:rPr>
                <w:rFonts w:hint="default" w:ascii="宋体" w:hAnsi="宋体" w:eastAsia="宋体" w:cs="宋体"/>
                <w:color w:val="0000FF"/>
                <w:kern w:val="2"/>
                <w:sz w:val="20"/>
                <w:szCs w:val="20"/>
                <w:lang w:val="en-US" w:eastAsia="zh-CN" w:bidi="ar-SA"/>
              </w:rPr>
            </w:pPr>
            <w:r>
              <w:rPr>
                <w:rFonts w:hint="default" w:ascii="宋体" w:hAnsi="宋体" w:eastAsia="宋体" w:cs="宋体"/>
                <w:color w:val="0000FF"/>
                <w:sz w:val="20"/>
                <w:szCs w:val="20"/>
                <w:lang w:val="en-US" w:eastAsia="zh-CN"/>
              </w:rPr>
              <w:t>后10%</w:t>
            </w:r>
          </w:p>
        </w:tc>
      </w:tr>
    </w:tbl>
    <w:p w14:paraId="5116BCEA">
      <w:pPr>
        <w:spacing w:line="360" w:lineRule="auto"/>
        <w:ind w:firstLine="480"/>
        <w:rPr>
          <w:rFonts w:ascii="宋体" w:hAnsi="宋体" w:eastAsia="宋体" w:cs="宋体"/>
          <w:color w:val="0000FF"/>
          <w:sz w:val="24"/>
        </w:rPr>
      </w:pPr>
      <w:r>
        <w:rPr>
          <w:rFonts w:hint="eastAsia" w:ascii="宋体" w:hAnsi="宋体" w:eastAsia="宋体" w:cs="宋体"/>
          <w:color w:val="0000FF"/>
          <w:sz w:val="24"/>
          <w:lang w:val="en-US" w:eastAsia="zh-CN"/>
        </w:rPr>
        <w:t>说明：</w:t>
      </w:r>
      <w:r>
        <w:rPr>
          <w:rFonts w:hint="eastAsia" w:ascii="宋体" w:hAnsi="宋体" w:eastAsia="宋体" w:cs="宋体"/>
          <w:color w:val="0000FF"/>
          <w:sz w:val="24"/>
        </w:rPr>
        <w:t>基于常模群体的实际百分位分布，直接划定等级边界，不以标准差为唯一依据。</w:t>
      </w:r>
    </w:p>
    <w:p w14:paraId="611E4C3A">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5.各模块得分计算</w:t>
      </w:r>
    </w:p>
    <w:p w14:paraId="570D5940">
      <w:pPr>
        <w:spacing w:line="360" w:lineRule="auto"/>
        <w:ind w:firstLine="480"/>
        <w:rPr>
          <w:rFonts w:hint="default" w:ascii="宋体" w:hAnsi="宋体" w:eastAsia="宋体" w:cs="宋体"/>
          <w:color w:val="0000FF"/>
          <w:sz w:val="24"/>
          <w:lang w:val="en-US" w:eastAsia="zh-CN"/>
        </w:rPr>
      </w:pPr>
      <w:r>
        <w:rPr>
          <w:rFonts w:hint="eastAsia" w:ascii="宋体" w:hAnsi="宋体" w:eastAsia="宋体" w:cs="宋体"/>
          <w:color w:val="0000FF"/>
          <w:sz w:val="24"/>
          <w:lang w:val="en-US" w:eastAsia="zh-CN"/>
        </w:rPr>
        <w:t>任务管理/人际管理/自我管理得分=各维度得分的平均分</w:t>
      </w:r>
    </w:p>
    <w:tbl>
      <w:tblPr>
        <w:tblStyle w:val="10"/>
        <w:tblW w:w="831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20"/>
        <w:gridCol w:w="1515"/>
        <w:gridCol w:w="992"/>
        <w:gridCol w:w="969"/>
        <w:gridCol w:w="3520"/>
      </w:tblGrid>
      <w:tr w14:paraId="5A08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20" w:type="dxa"/>
            <w:tcBorders>
              <w:top w:val="nil"/>
              <w:left w:val="nil"/>
              <w:bottom w:val="nil"/>
              <w:right w:val="nil"/>
            </w:tcBorders>
            <w:shd w:val="clear" w:color="auto" w:fill="auto"/>
            <w:noWrap/>
            <w:vAlign w:val="center"/>
          </w:tcPr>
          <w:p w14:paraId="263B7EB0">
            <w:pPr>
              <w:keepNext w:val="0"/>
              <w:keepLines w:val="0"/>
              <w:pageBreakBefore w:val="0"/>
              <w:widowControl/>
              <w:kinsoku/>
              <w:wordWrap/>
              <w:overflowPunct/>
              <w:topLinePunct w:val="0"/>
              <w:autoSpaceDE/>
              <w:autoSpaceDN/>
              <w:bidi w:val="0"/>
              <w:adjustRightInd/>
              <w:snapToGrid/>
              <w:ind w:firstLineChars="0"/>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模块</w:t>
            </w:r>
          </w:p>
        </w:tc>
        <w:tc>
          <w:tcPr>
            <w:tcW w:w="1515" w:type="dxa"/>
            <w:tcBorders>
              <w:top w:val="nil"/>
              <w:left w:val="nil"/>
              <w:bottom w:val="nil"/>
              <w:right w:val="nil"/>
            </w:tcBorders>
            <w:shd w:val="clear" w:color="auto" w:fill="auto"/>
            <w:noWrap/>
            <w:vAlign w:val="center"/>
          </w:tcPr>
          <w:p w14:paraId="266DD75F">
            <w:pPr>
              <w:keepNext w:val="0"/>
              <w:keepLines w:val="0"/>
              <w:pageBreakBefore w:val="0"/>
              <w:widowControl/>
              <w:kinsoku/>
              <w:wordWrap/>
              <w:overflowPunct/>
              <w:topLinePunct w:val="0"/>
              <w:autoSpaceDE/>
              <w:autoSpaceDN/>
              <w:bidi w:val="0"/>
              <w:adjustRightInd/>
              <w:snapToGrid/>
              <w:ind w:firstLineChars="0"/>
              <w:rPr>
                <w:rFonts w:hint="default"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具体维度</w:t>
            </w:r>
          </w:p>
        </w:tc>
        <w:tc>
          <w:tcPr>
            <w:tcW w:w="992" w:type="dxa"/>
            <w:tcBorders>
              <w:top w:val="nil"/>
              <w:left w:val="nil"/>
              <w:bottom w:val="nil"/>
              <w:right w:val="nil"/>
            </w:tcBorders>
            <w:shd w:val="clear" w:color="auto" w:fill="auto"/>
            <w:noWrap/>
            <w:vAlign w:val="center"/>
          </w:tcPr>
          <w:p w14:paraId="22BE7326">
            <w:pPr>
              <w:keepNext w:val="0"/>
              <w:keepLines w:val="0"/>
              <w:pageBreakBefore w:val="0"/>
              <w:widowControl/>
              <w:suppressLineNumbers w:val="0"/>
              <w:kinsoku/>
              <w:wordWrap/>
              <w:overflowPunct/>
              <w:topLinePunct w:val="0"/>
              <w:autoSpaceDE/>
              <w:autoSpaceDN/>
              <w:bidi w:val="0"/>
              <w:adjustRightInd/>
              <w:snapToGrid/>
              <w:ind w:firstLineChars="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常模分</w:t>
            </w:r>
          </w:p>
        </w:tc>
        <w:tc>
          <w:tcPr>
            <w:tcW w:w="969" w:type="dxa"/>
            <w:tcBorders>
              <w:top w:val="nil"/>
              <w:left w:val="nil"/>
              <w:bottom w:val="nil"/>
              <w:right w:val="nil"/>
            </w:tcBorders>
            <w:shd w:val="clear" w:color="auto" w:fill="auto"/>
            <w:noWrap/>
            <w:vAlign w:val="center"/>
          </w:tcPr>
          <w:p w14:paraId="1FE6AA76">
            <w:pPr>
              <w:keepNext w:val="0"/>
              <w:keepLines w:val="0"/>
              <w:pageBreakBefore w:val="0"/>
              <w:widowControl/>
              <w:kinsoku/>
              <w:wordWrap/>
              <w:overflowPunct/>
              <w:topLinePunct w:val="0"/>
              <w:autoSpaceDE/>
              <w:autoSpaceDN/>
              <w:bidi w:val="0"/>
              <w:adjustRightInd/>
              <w:snapToGrid/>
              <w:ind w:firstLineChars="0"/>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常模分</w:t>
            </w:r>
          </w:p>
        </w:tc>
        <w:tc>
          <w:tcPr>
            <w:tcW w:w="3520" w:type="dxa"/>
            <w:tcBorders>
              <w:top w:val="nil"/>
              <w:left w:val="nil"/>
              <w:bottom w:val="nil"/>
              <w:right w:val="nil"/>
            </w:tcBorders>
            <w:shd w:val="clear" w:color="auto" w:fill="auto"/>
            <w:noWrap/>
            <w:vAlign w:val="center"/>
          </w:tcPr>
          <w:p w14:paraId="6AEEA2D6">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b/>
                <w:bCs/>
                <w:i w:val="0"/>
                <w:iCs w:val="0"/>
                <w:color w:val="0000FF"/>
                <w:kern w:val="0"/>
                <w:sz w:val="21"/>
                <w:szCs w:val="21"/>
                <w:u w:val="none"/>
                <w:lang w:val="en-US" w:eastAsia="zh-CN" w:bidi="ar"/>
              </w:rPr>
            </w:pPr>
            <w:r>
              <w:rPr>
                <w:rFonts w:hint="eastAsia" w:ascii="宋体" w:hAnsi="宋体" w:eastAsia="宋体" w:cs="宋体"/>
                <w:b/>
                <w:bCs/>
                <w:i w:val="0"/>
                <w:iCs w:val="0"/>
                <w:color w:val="0000FF"/>
                <w:kern w:val="0"/>
                <w:sz w:val="21"/>
                <w:szCs w:val="21"/>
                <w:u w:val="none"/>
                <w:lang w:val="en-US" w:eastAsia="zh-CN" w:bidi="ar"/>
              </w:rPr>
              <w:t>与常模对比结果分析</w:t>
            </w:r>
          </w:p>
          <w:p w14:paraId="7DF25438">
            <w:pPr>
              <w:keepNext w:val="0"/>
              <w:keepLines w:val="0"/>
              <w:pageBreakBefore w:val="0"/>
              <w:widowControl/>
              <w:kinsoku/>
              <w:wordWrap/>
              <w:overflowPunct/>
              <w:topLinePunct w:val="0"/>
              <w:autoSpaceDE/>
              <w:autoSpaceDN/>
              <w:bidi w:val="0"/>
              <w:adjustRightInd/>
              <w:snapToGrid/>
              <w:ind w:firstLineChars="0"/>
              <w:jc w:val="center"/>
              <w:rPr>
                <w:rFonts w:hint="default" w:ascii="宋体" w:hAnsi="宋体" w:eastAsia="宋体" w:cs="宋体"/>
                <w:b/>
                <w:bCs/>
                <w:i w:val="0"/>
                <w:iCs w:val="0"/>
                <w:color w:val="0000FF"/>
                <w:kern w:val="0"/>
                <w:sz w:val="21"/>
                <w:szCs w:val="21"/>
                <w:u w:val="none"/>
                <w:lang w:val="en-US" w:eastAsia="zh-CN" w:bidi="ar"/>
              </w:rPr>
            </w:pPr>
            <w:r>
              <w:rPr>
                <w:rFonts w:hint="eastAsia" w:ascii="宋体" w:hAnsi="宋体" w:eastAsia="宋体" w:cs="宋体"/>
                <w:b/>
                <w:bCs/>
                <w:i w:val="0"/>
                <w:iCs w:val="0"/>
                <w:color w:val="0000FF"/>
                <w:kern w:val="0"/>
                <w:sz w:val="21"/>
                <w:szCs w:val="21"/>
                <w:u w:val="none"/>
                <w:lang w:val="en-US" w:eastAsia="zh-CN" w:bidi="ar"/>
              </w:rPr>
              <w:t>对应报告概览各模块评价</w:t>
            </w:r>
          </w:p>
        </w:tc>
      </w:tr>
      <w:tr w14:paraId="15B2B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20" w:type="dxa"/>
            <w:vMerge w:val="restart"/>
            <w:tcBorders>
              <w:top w:val="nil"/>
              <w:left w:val="nil"/>
              <w:bottom w:val="nil"/>
              <w:right w:val="nil"/>
            </w:tcBorders>
            <w:shd w:val="clear" w:color="auto" w:fill="auto"/>
            <w:noWrap/>
            <w:vAlign w:val="center"/>
          </w:tcPr>
          <w:p w14:paraId="078BA50B">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任务管理</w:t>
            </w:r>
          </w:p>
        </w:tc>
        <w:tc>
          <w:tcPr>
            <w:tcW w:w="1515" w:type="dxa"/>
            <w:tcBorders>
              <w:top w:val="nil"/>
              <w:left w:val="nil"/>
              <w:bottom w:val="nil"/>
              <w:right w:val="nil"/>
            </w:tcBorders>
            <w:shd w:val="clear" w:color="auto" w:fill="auto"/>
            <w:noWrap/>
            <w:vAlign w:val="center"/>
          </w:tcPr>
          <w:p w14:paraId="04E737A4">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逻辑思维</w:t>
            </w:r>
          </w:p>
        </w:tc>
        <w:tc>
          <w:tcPr>
            <w:tcW w:w="992" w:type="dxa"/>
            <w:tcBorders>
              <w:top w:val="nil"/>
              <w:left w:val="nil"/>
              <w:bottom w:val="nil"/>
              <w:right w:val="nil"/>
            </w:tcBorders>
            <w:shd w:val="clear" w:color="auto" w:fill="auto"/>
            <w:noWrap/>
            <w:vAlign w:val="center"/>
          </w:tcPr>
          <w:p w14:paraId="3205400F">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55.00 </w:t>
            </w:r>
          </w:p>
        </w:tc>
        <w:tc>
          <w:tcPr>
            <w:tcW w:w="969" w:type="dxa"/>
            <w:vMerge w:val="restart"/>
            <w:tcBorders>
              <w:top w:val="nil"/>
              <w:left w:val="nil"/>
              <w:bottom w:val="nil"/>
              <w:right w:val="nil"/>
            </w:tcBorders>
            <w:shd w:val="clear" w:color="auto" w:fill="auto"/>
            <w:noWrap/>
            <w:vAlign w:val="center"/>
          </w:tcPr>
          <w:p w14:paraId="402E030B">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58</w:t>
            </w:r>
          </w:p>
        </w:tc>
        <w:tc>
          <w:tcPr>
            <w:tcW w:w="3520" w:type="dxa"/>
            <w:vMerge w:val="restart"/>
            <w:tcBorders>
              <w:top w:val="nil"/>
              <w:left w:val="nil"/>
              <w:right w:val="nil"/>
            </w:tcBorders>
            <w:shd w:val="clear" w:color="auto" w:fill="auto"/>
            <w:noWrap/>
            <w:vAlign w:val="center"/>
          </w:tcPr>
          <w:p w14:paraId="6A4DBDDB">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得分75以上  优势突出，</w:t>
            </w:r>
          </w:p>
          <w:p w14:paraId="681FEA64">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61-74略高于常模分，</w:t>
            </w:r>
          </w:p>
          <w:p w14:paraId="4DBE91C8">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56-60与常模分持平，</w:t>
            </w:r>
          </w:p>
          <w:p w14:paraId="59813E67">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55及以下，低于常模分</w:t>
            </w:r>
          </w:p>
        </w:tc>
      </w:tr>
      <w:tr w14:paraId="7C95D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20" w:type="dxa"/>
            <w:vMerge w:val="continue"/>
            <w:tcBorders>
              <w:top w:val="nil"/>
              <w:left w:val="nil"/>
              <w:bottom w:val="nil"/>
              <w:right w:val="nil"/>
            </w:tcBorders>
            <w:shd w:val="clear" w:color="auto" w:fill="auto"/>
            <w:noWrap/>
            <w:vAlign w:val="center"/>
          </w:tcPr>
          <w:p w14:paraId="39FC622A">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63D9A83A">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计划执行</w:t>
            </w:r>
          </w:p>
        </w:tc>
        <w:tc>
          <w:tcPr>
            <w:tcW w:w="992" w:type="dxa"/>
            <w:tcBorders>
              <w:top w:val="nil"/>
              <w:left w:val="nil"/>
              <w:bottom w:val="nil"/>
              <w:right w:val="nil"/>
            </w:tcBorders>
            <w:shd w:val="clear" w:color="auto" w:fill="auto"/>
            <w:noWrap/>
            <w:vAlign w:val="center"/>
          </w:tcPr>
          <w:p w14:paraId="06A1A842">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65.00 </w:t>
            </w:r>
          </w:p>
        </w:tc>
        <w:tc>
          <w:tcPr>
            <w:tcW w:w="969" w:type="dxa"/>
            <w:vMerge w:val="continue"/>
            <w:tcBorders>
              <w:top w:val="nil"/>
              <w:left w:val="nil"/>
              <w:bottom w:val="nil"/>
              <w:right w:val="nil"/>
            </w:tcBorders>
            <w:shd w:val="clear" w:color="auto" w:fill="auto"/>
            <w:noWrap/>
            <w:vAlign w:val="center"/>
          </w:tcPr>
          <w:p w14:paraId="4B3C091D">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3520" w:type="dxa"/>
            <w:vMerge w:val="continue"/>
            <w:tcBorders>
              <w:left w:val="nil"/>
              <w:right w:val="nil"/>
            </w:tcBorders>
            <w:shd w:val="clear" w:color="auto" w:fill="auto"/>
            <w:noWrap/>
            <w:vAlign w:val="center"/>
          </w:tcPr>
          <w:p w14:paraId="65C164FD">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r>
      <w:tr w14:paraId="4FBAA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20" w:type="dxa"/>
            <w:vMerge w:val="continue"/>
            <w:tcBorders>
              <w:top w:val="nil"/>
              <w:left w:val="nil"/>
              <w:bottom w:val="nil"/>
              <w:right w:val="nil"/>
            </w:tcBorders>
            <w:shd w:val="clear" w:color="auto" w:fill="auto"/>
            <w:noWrap/>
            <w:vAlign w:val="center"/>
          </w:tcPr>
          <w:p w14:paraId="23769AB2">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28A10F02">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数字应用</w:t>
            </w:r>
          </w:p>
        </w:tc>
        <w:tc>
          <w:tcPr>
            <w:tcW w:w="992" w:type="dxa"/>
            <w:tcBorders>
              <w:top w:val="nil"/>
              <w:left w:val="nil"/>
              <w:bottom w:val="nil"/>
              <w:right w:val="nil"/>
            </w:tcBorders>
            <w:shd w:val="clear" w:color="auto" w:fill="auto"/>
            <w:noWrap/>
            <w:vAlign w:val="center"/>
          </w:tcPr>
          <w:p w14:paraId="39A8970B">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60.00 </w:t>
            </w:r>
          </w:p>
        </w:tc>
        <w:tc>
          <w:tcPr>
            <w:tcW w:w="969" w:type="dxa"/>
            <w:vMerge w:val="continue"/>
            <w:tcBorders>
              <w:top w:val="nil"/>
              <w:left w:val="nil"/>
              <w:bottom w:val="nil"/>
              <w:right w:val="nil"/>
            </w:tcBorders>
            <w:shd w:val="clear" w:color="auto" w:fill="auto"/>
            <w:noWrap/>
            <w:vAlign w:val="center"/>
          </w:tcPr>
          <w:p w14:paraId="71C9D476">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3520" w:type="dxa"/>
            <w:vMerge w:val="continue"/>
            <w:tcBorders>
              <w:left w:val="nil"/>
              <w:right w:val="nil"/>
            </w:tcBorders>
            <w:shd w:val="clear" w:color="auto" w:fill="auto"/>
            <w:noWrap/>
            <w:vAlign w:val="center"/>
          </w:tcPr>
          <w:p w14:paraId="1FA037A2">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r>
      <w:tr w14:paraId="785A1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20" w:type="dxa"/>
            <w:vMerge w:val="continue"/>
            <w:tcBorders>
              <w:top w:val="nil"/>
              <w:left w:val="nil"/>
              <w:bottom w:val="nil"/>
              <w:right w:val="nil"/>
            </w:tcBorders>
            <w:shd w:val="clear" w:color="auto" w:fill="auto"/>
            <w:noWrap/>
            <w:vAlign w:val="center"/>
          </w:tcPr>
          <w:p w14:paraId="29406F84">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0DEE101E">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成就导向</w:t>
            </w:r>
          </w:p>
        </w:tc>
        <w:tc>
          <w:tcPr>
            <w:tcW w:w="992" w:type="dxa"/>
            <w:tcBorders>
              <w:top w:val="nil"/>
              <w:left w:val="nil"/>
              <w:bottom w:val="nil"/>
              <w:right w:val="nil"/>
            </w:tcBorders>
            <w:shd w:val="clear" w:color="auto" w:fill="auto"/>
            <w:noWrap/>
            <w:vAlign w:val="center"/>
          </w:tcPr>
          <w:p w14:paraId="23260DC9">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55.00 </w:t>
            </w:r>
          </w:p>
        </w:tc>
        <w:tc>
          <w:tcPr>
            <w:tcW w:w="969" w:type="dxa"/>
            <w:vMerge w:val="continue"/>
            <w:tcBorders>
              <w:top w:val="nil"/>
              <w:left w:val="nil"/>
              <w:bottom w:val="nil"/>
              <w:right w:val="nil"/>
            </w:tcBorders>
            <w:shd w:val="clear" w:color="auto" w:fill="auto"/>
            <w:noWrap/>
            <w:vAlign w:val="center"/>
          </w:tcPr>
          <w:p w14:paraId="4E681850">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3520" w:type="dxa"/>
            <w:vMerge w:val="continue"/>
            <w:tcBorders>
              <w:left w:val="nil"/>
              <w:right w:val="nil"/>
            </w:tcBorders>
            <w:shd w:val="clear" w:color="auto" w:fill="auto"/>
            <w:noWrap/>
            <w:vAlign w:val="center"/>
          </w:tcPr>
          <w:p w14:paraId="748FEF20">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r>
      <w:tr w14:paraId="252AD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20" w:type="dxa"/>
            <w:vMerge w:val="continue"/>
            <w:tcBorders>
              <w:top w:val="nil"/>
              <w:left w:val="nil"/>
              <w:bottom w:val="nil"/>
              <w:right w:val="nil"/>
            </w:tcBorders>
            <w:shd w:val="clear" w:color="auto" w:fill="auto"/>
            <w:noWrap/>
            <w:vAlign w:val="center"/>
          </w:tcPr>
          <w:p w14:paraId="337B3AF9">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4DF38EF3">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持续学习</w:t>
            </w:r>
          </w:p>
        </w:tc>
        <w:tc>
          <w:tcPr>
            <w:tcW w:w="992" w:type="dxa"/>
            <w:tcBorders>
              <w:top w:val="nil"/>
              <w:left w:val="nil"/>
              <w:bottom w:val="nil"/>
              <w:right w:val="nil"/>
            </w:tcBorders>
            <w:shd w:val="clear" w:color="auto" w:fill="auto"/>
            <w:noWrap/>
            <w:vAlign w:val="center"/>
          </w:tcPr>
          <w:p w14:paraId="3E010517">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55.00 </w:t>
            </w:r>
          </w:p>
        </w:tc>
        <w:tc>
          <w:tcPr>
            <w:tcW w:w="969" w:type="dxa"/>
            <w:vMerge w:val="continue"/>
            <w:tcBorders>
              <w:top w:val="nil"/>
              <w:left w:val="nil"/>
              <w:bottom w:val="nil"/>
              <w:right w:val="nil"/>
            </w:tcBorders>
            <w:shd w:val="clear" w:color="auto" w:fill="auto"/>
            <w:noWrap/>
            <w:vAlign w:val="center"/>
          </w:tcPr>
          <w:p w14:paraId="7144537E">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3520" w:type="dxa"/>
            <w:vMerge w:val="continue"/>
            <w:tcBorders>
              <w:left w:val="nil"/>
              <w:bottom w:val="nil"/>
              <w:right w:val="nil"/>
            </w:tcBorders>
            <w:shd w:val="clear" w:color="auto" w:fill="auto"/>
            <w:noWrap/>
            <w:vAlign w:val="center"/>
          </w:tcPr>
          <w:p w14:paraId="15AE078E">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r>
      <w:tr w14:paraId="4C98F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20" w:type="dxa"/>
            <w:vMerge w:val="restart"/>
            <w:tcBorders>
              <w:top w:val="nil"/>
              <w:left w:val="nil"/>
              <w:bottom w:val="nil"/>
              <w:right w:val="nil"/>
            </w:tcBorders>
            <w:shd w:val="clear" w:color="auto" w:fill="auto"/>
            <w:noWrap/>
            <w:vAlign w:val="center"/>
          </w:tcPr>
          <w:p w14:paraId="33F1B815">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人际管理</w:t>
            </w:r>
          </w:p>
        </w:tc>
        <w:tc>
          <w:tcPr>
            <w:tcW w:w="1515" w:type="dxa"/>
            <w:tcBorders>
              <w:top w:val="nil"/>
              <w:left w:val="nil"/>
              <w:bottom w:val="nil"/>
              <w:right w:val="nil"/>
            </w:tcBorders>
            <w:shd w:val="clear" w:color="auto" w:fill="auto"/>
            <w:noWrap/>
            <w:vAlign w:val="center"/>
          </w:tcPr>
          <w:p w14:paraId="0041C74F">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沟通表达</w:t>
            </w:r>
          </w:p>
        </w:tc>
        <w:tc>
          <w:tcPr>
            <w:tcW w:w="992" w:type="dxa"/>
            <w:tcBorders>
              <w:top w:val="nil"/>
              <w:left w:val="nil"/>
              <w:bottom w:val="nil"/>
              <w:right w:val="nil"/>
            </w:tcBorders>
            <w:shd w:val="clear" w:color="auto" w:fill="auto"/>
            <w:noWrap/>
            <w:vAlign w:val="center"/>
          </w:tcPr>
          <w:p w14:paraId="1CF755D6">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52.50 </w:t>
            </w:r>
          </w:p>
        </w:tc>
        <w:tc>
          <w:tcPr>
            <w:tcW w:w="969" w:type="dxa"/>
            <w:vMerge w:val="restart"/>
            <w:tcBorders>
              <w:top w:val="nil"/>
              <w:left w:val="nil"/>
              <w:bottom w:val="nil"/>
              <w:right w:val="nil"/>
            </w:tcBorders>
            <w:shd w:val="clear" w:color="auto" w:fill="auto"/>
            <w:noWrap/>
            <w:vAlign w:val="center"/>
          </w:tcPr>
          <w:p w14:paraId="289E7E6D">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53.75</w:t>
            </w:r>
          </w:p>
        </w:tc>
        <w:tc>
          <w:tcPr>
            <w:tcW w:w="3520" w:type="dxa"/>
            <w:vMerge w:val="restart"/>
            <w:tcBorders>
              <w:top w:val="nil"/>
              <w:left w:val="nil"/>
              <w:right w:val="nil"/>
            </w:tcBorders>
            <w:shd w:val="clear" w:color="auto" w:fill="auto"/>
            <w:noWrap/>
            <w:vAlign w:val="center"/>
          </w:tcPr>
          <w:p w14:paraId="1EF28BC3">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得分70以上  优势突出，</w:t>
            </w:r>
          </w:p>
          <w:p w14:paraId="674BB3D1">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56-69略高于常模分，</w:t>
            </w:r>
          </w:p>
          <w:p w14:paraId="37554244">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50-55与常模分持平，</w:t>
            </w:r>
          </w:p>
          <w:p w14:paraId="7F751868">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50及以下，低于常模分</w:t>
            </w:r>
          </w:p>
        </w:tc>
      </w:tr>
      <w:tr w14:paraId="7C26C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20" w:type="dxa"/>
            <w:vMerge w:val="continue"/>
            <w:tcBorders>
              <w:top w:val="nil"/>
              <w:left w:val="nil"/>
              <w:bottom w:val="nil"/>
              <w:right w:val="nil"/>
            </w:tcBorders>
            <w:shd w:val="clear" w:color="auto" w:fill="auto"/>
            <w:noWrap/>
            <w:vAlign w:val="center"/>
          </w:tcPr>
          <w:p w14:paraId="1467D3F7">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27C942A8">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合作意识</w:t>
            </w:r>
          </w:p>
        </w:tc>
        <w:tc>
          <w:tcPr>
            <w:tcW w:w="992" w:type="dxa"/>
            <w:tcBorders>
              <w:top w:val="nil"/>
              <w:left w:val="nil"/>
              <w:bottom w:val="nil"/>
              <w:right w:val="nil"/>
            </w:tcBorders>
            <w:shd w:val="clear" w:color="auto" w:fill="auto"/>
            <w:noWrap/>
            <w:vAlign w:val="center"/>
          </w:tcPr>
          <w:p w14:paraId="7DC08B10">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55.00 </w:t>
            </w:r>
          </w:p>
        </w:tc>
        <w:tc>
          <w:tcPr>
            <w:tcW w:w="969" w:type="dxa"/>
            <w:vMerge w:val="continue"/>
            <w:tcBorders>
              <w:top w:val="nil"/>
              <w:left w:val="nil"/>
              <w:bottom w:val="nil"/>
              <w:right w:val="nil"/>
            </w:tcBorders>
            <w:shd w:val="clear" w:color="auto" w:fill="auto"/>
            <w:noWrap/>
            <w:vAlign w:val="center"/>
          </w:tcPr>
          <w:p w14:paraId="3B62A48F">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3520" w:type="dxa"/>
            <w:vMerge w:val="continue"/>
            <w:tcBorders>
              <w:left w:val="nil"/>
              <w:bottom w:val="nil"/>
              <w:right w:val="nil"/>
            </w:tcBorders>
            <w:shd w:val="clear" w:color="auto" w:fill="auto"/>
            <w:noWrap/>
            <w:vAlign w:val="center"/>
          </w:tcPr>
          <w:p w14:paraId="54893AD1">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r>
      <w:tr w14:paraId="7C4EB7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20" w:type="dxa"/>
            <w:vMerge w:val="restart"/>
            <w:tcBorders>
              <w:top w:val="nil"/>
              <w:left w:val="nil"/>
              <w:bottom w:val="nil"/>
              <w:right w:val="nil"/>
            </w:tcBorders>
            <w:shd w:val="clear" w:color="auto" w:fill="auto"/>
            <w:noWrap/>
            <w:vAlign w:val="center"/>
          </w:tcPr>
          <w:p w14:paraId="537917BA">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自我管理</w:t>
            </w:r>
          </w:p>
        </w:tc>
        <w:tc>
          <w:tcPr>
            <w:tcW w:w="1515" w:type="dxa"/>
            <w:tcBorders>
              <w:top w:val="nil"/>
              <w:left w:val="nil"/>
              <w:bottom w:val="nil"/>
              <w:right w:val="nil"/>
            </w:tcBorders>
            <w:shd w:val="clear" w:color="auto" w:fill="auto"/>
            <w:noWrap/>
            <w:vAlign w:val="center"/>
          </w:tcPr>
          <w:p w14:paraId="452B97D6">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求真务实</w:t>
            </w:r>
          </w:p>
        </w:tc>
        <w:tc>
          <w:tcPr>
            <w:tcW w:w="992" w:type="dxa"/>
            <w:tcBorders>
              <w:top w:val="nil"/>
              <w:left w:val="nil"/>
              <w:bottom w:val="nil"/>
              <w:right w:val="nil"/>
            </w:tcBorders>
            <w:shd w:val="clear" w:color="auto" w:fill="auto"/>
            <w:noWrap/>
            <w:vAlign w:val="center"/>
          </w:tcPr>
          <w:p w14:paraId="00BBA69C">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57.50 </w:t>
            </w:r>
          </w:p>
        </w:tc>
        <w:tc>
          <w:tcPr>
            <w:tcW w:w="969" w:type="dxa"/>
            <w:vMerge w:val="restart"/>
            <w:tcBorders>
              <w:top w:val="nil"/>
              <w:left w:val="nil"/>
              <w:bottom w:val="nil"/>
              <w:right w:val="nil"/>
            </w:tcBorders>
            <w:shd w:val="clear" w:color="auto" w:fill="auto"/>
            <w:noWrap/>
            <w:vAlign w:val="center"/>
          </w:tcPr>
          <w:p w14:paraId="59100E90">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60</w:t>
            </w:r>
          </w:p>
        </w:tc>
        <w:tc>
          <w:tcPr>
            <w:tcW w:w="3520" w:type="dxa"/>
            <w:vMerge w:val="restart"/>
            <w:tcBorders>
              <w:top w:val="nil"/>
              <w:left w:val="nil"/>
              <w:right w:val="nil"/>
            </w:tcBorders>
            <w:shd w:val="clear" w:color="auto" w:fill="auto"/>
            <w:noWrap/>
            <w:vAlign w:val="center"/>
          </w:tcPr>
          <w:p w14:paraId="34A33C12">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得分75以上  优势突出，</w:t>
            </w:r>
          </w:p>
          <w:p w14:paraId="6594E5B2">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63-74略高于常模分，</w:t>
            </w:r>
          </w:p>
          <w:p w14:paraId="04AFFD2C">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58-62与常模分持平，</w:t>
            </w:r>
          </w:p>
          <w:p w14:paraId="37BDD490">
            <w:pPr>
              <w:keepNext w:val="0"/>
              <w:keepLines w:val="0"/>
              <w:pageBreakBefore w:val="0"/>
              <w:widowControl/>
              <w:suppressLineNumbers w:val="0"/>
              <w:kinsoku/>
              <w:wordWrap/>
              <w:overflowPunct/>
              <w:topLinePunct w:val="0"/>
              <w:autoSpaceDE/>
              <w:autoSpaceDN/>
              <w:bidi w:val="0"/>
              <w:adjustRightInd/>
              <w:snapToGrid/>
              <w:ind w:firstLineChars="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57及以下，低于常模分</w:t>
            </w:r>
          </w:p>
        </w:tc>
      </w:tr>
      <w:tr w14:paraId="51C79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20" w:type="dxa"/>
            <w:vMerge w:val="continue"/>
            <w:tcBorders>
              <w:top w:val="nil"/>
              <w:left w:val="nil"/>
              <w:bottom w:val="nil"/>
              <w:right w:val="nil"/>
            </w:tcBorders>
            <w:shd w:val="clear" w:color="auto" w:fill="auto"/>
            <w:noWrap/>
            <w:vAlign w:val="center"/>
          </w:tcPr>
          <w:p w14:paraId="5EBB8BB5">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6023DF0E">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自律性</w:t>
            </w:r>
          </w:p>
        </w:tc>
        <w:tc>
          <w:tcPr>
            <w:tcW w:w="992" w:type="dxa"/>
            <w:tcBorders>
              <w:top w:val="nil"/>
              <w:left w:val="nil"/>
              <w:bottom w:val="nil"/>
              <w:right w:val="nil"/>
            </w:tcBorders>
            <w:shd w:val="clear" w:color="auto" w:fill="auto"/>
            <w:noWrap/>
            <w:vAlign w:val="center"/>
          </w:tcPr>
          <w:p w14:paraId="128E6EE4">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62.50 </w:t>
            </w:r>
          </w:p>
        </w:tc>
        <w:tc>
          <w:tcPr>
            <w:tcW w:w="969" w:type="dxa"/>
            <w:vMerge w:val="continue"/>
            <w:tcBorders>
              <w:top w:val="nil"/>
              <w:left w:val="nil"/>
              <w:bottom w:val="nil"/>
              <w:right w:val="nil"/>
            </w:tcBorders>
            <w:shd w:val="clear" w:color="auto" w:fill="auto"/>
            <w:noWrap/>
            <w:vAlign w:val="center"/>
          </w:tcPr>
          <w:p w14:paraId="1C537E85">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3520" w:type="dxa"/>
            <w:vMerge w:val="continue"/>
            <w:tcBorders>
              <w:left w:val="nil"/>
              <w:right w:val="nil"/>
            </w:tcBorders>
            <w:shd w:val="clear" w:color="auto" w:fill="auto"/>
            <w:noWrap/>
            <w:vAlign w:val="center"/>
          </w:tcPr>
          <w:p w14:paraId="02BF35C3">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r>
      <w:tr w14:paraId="5D2E3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1320" w:type="dxa"/>
            <w:vMerge w:val="continue"/>
            <w:tcBorders>
              <w:top w:val="nil"/>
              <w:left w:val="nil"/>
              <w:bottom w:val="nil"/>
              <w:right w:val="nil"/>
            </w:tcBorders>
            <w:shd w:val="clear" w:color="auto" w:fill="auto"/>
            <w:noWrap/>
            <w:vAlign w:val="center"/>
          </w:tcPr>
          <w:p w14:paraId="074FA81A">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33F4358A">
            <w:pPr>
              <w:keepNext w:val="0"/>
              <w:keepLines w:val="0"/>
              <w:pageBreakBefore w:val="0"/>
              <w:widowControl/>
              <w:suppressLineNumbers w:val="0"/>
              <w:kinsoku/>
              <w:wordWrap/>
              <w:overflowPunct/>
              <w:topLinePunct w:val="0"/>
              <w:autoSpaceDE/>
              <w:autoSpaceDN/>
              <w:bidi w:val="0"/>
              <w:adjustRightInd/>
              <w:snapToGrid/>
              <w:ind w:firstLineChars="0"/>
              <w:jc w:val="both"/>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敬业奉献</w:t>
            </w:r>
          </w:p>
        </w:tc>
        <w:tc>
          <w:tcPr>
            <w:tcW w:w="992" w:type="dxa"/>
            <w:tcBorders>
              <w:top w:val="nil"/>
              <w:left w:val="nil"/>
              <w:bottom w:val="nil"/>
              <w:right w:val="nil"/>
            </w:tcBorders>
            <w:shd w:val="clear" w:color="auto" w:fill="auto"/>
            <w:noWrap/>
            <w:vAlign w:val="center"/>
          </w:tcPr>
          <w:p w14:paraId="7EBDA4E5">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 xml:space="preserve">60.00 </w:t>
            </w:r>
          </w:p>
        </w:tc>
        <w:tc>
          <w:tcPr>
            <w:tcW w:w="969" w:type="dxa"/>
            <w:vMerge w:val="continue"/>
            <w:tcBorders>
              <w:top w:val="nil"/>
              <w:left w:val="nil"/>
              <w:bottom w:val="nil"/>
              <w:right w:val="nil"/>
            </w:tcBorders>
            <w:shd w:val="clear" w:color="auto" w:fill="auto"/>
            <w:noWrap/>
            <w:vAlign w:val="center"/>
          </w:tcPr>
          <w:p w14:paraId="0CDA0958">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c>
          <w:tcPr>
            <w:tcW w:w="3520" w:type="dxa"/>
            <w:vMerge w:val="continue"/>
            <w:tcBorders>
              <w:left w:val="nil"/>
              <w:bottom w:val="nil"/>
              <w:right w:val="nil"/>
            </w:tcBorders>
            <w:shd w:val="clear" w:color="auto" w:fill="auto"/>
            <w:noWrap/>
            <w:vAlign w:val="center"/>
          </w:tcPr>
          <w:p w14:paraId="4C70F935">
            <w:pPr>
              <w:keepNext w:val="0"/>
              <w:keepLines w:val="0"/>
              <w:pageBreakBefore w:val="0"/>
              <w:widowControl/>
              <w:kinsoku/>
              <w:wordWrap/>
              <w:overflowPunct/>
              <w:topLinePunct w:val="0"/>
              <w:autoSpaceDE/>
              <w:autoSpaceDN/>
              <w:bidi w:val="0"/>
              <w:adjustRightInd/>
              <w:snapToGrid/>
              <w:ind w:firstLineChars="0"/>
              <w:jc w:val="center"/>
              <w:rPr>
                <w:rFonts w:hint="eastAsia" w:ascii="宋体" w:hAnsi="宋体" w:eastAsia="宋体" w:cs="宋体"/>
                <w:i w:val="0"/>
                <w:iCs w:val="0"/>
                <w:color w:val="000000"/>
                <w:sz w:val="22"/>
                <w:szCs w:val="22"/>
                <w:u w:val="none"/>
              </w:rPr>
            </w:pPr>
          </w:p>
        </w:tc>
      </w:tr>
      <w:tr w14:paraId="5DBB3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320" w:type="dxa"/>
            <w:tcBorders>
              <w:top w:val="nil"/>
              <w:left w:val="nil"/>
              <w:bottom w:val="nil"/>
              <w:right w:val="nil"/>
            </w:tcBorders>
            <w:shd w:val="clear" w:color="auto" w:fill="auto"/>
            <w:noWrap/>
            <w:vAlign w:val="center"/>
          </w:tcPr>
          <w:p w14:paraId="0278A7E7">
            <w:pPr>
              <w:keepNext w:val="0"/>
              <w:keepLines w:val="0"/>
              <w:pageBreakBefore w:val="0"/>
              <w:widowControl/>
              <w:kinsoku/>
              <w:wordWrap/>
              <w:overflowPunct/>
              <w:topLinePunct w:val="0"/>
              <w:autoSpaceDE/>
              <w:autoSpaceDN/>
              <w:bidi w:val="0"/>
              <w:adjustRightInd/>
              <w:snapToGrid/>
              <w:ind w:firstLineChars="0"/>
              <w:rPr>
                <w:rFonts w:hint="eastAsia" w:ascii="宋体" w:hAnsi="宋体" w:eastAsia="宋体" w:cs="宋体"/>
                <w:i w:val="0"/>
                <w:iCs w:val="0"/>
                <w:color w:val="000000"/>
                <w:sz w:val="22"/>
                <w:szCs w:val="22"/>
                <w:u w:val="none"/>
              </w:rPr>
            </w:pPr>
          </w:p>
        </w:tc>
        <w:tc>
          <w:tcPr>
            <w:tcW w:w="1515" w:type="dxa"/>
            <w:tcBorders>
              <w:top w:val="nil"/>
              <w:left w:val="nil"/>
              <w:bottom w:val="nil"/>
              <w:right w:val="nil"/>
            </w:tcBorders>
            <w:shd w:val="clear" w:color="auto" w:fill="auto"/>
            <w:noWrap/>
            <w:vAlign w:val="center"/>
          </w:tcPr>
          <w:p w14:paraId="5DB5D384">
            <w:pPr>
              <w:keepNext w:val="0"/>
              <w:keepLines w:val="0"/>
              <w:pageBreakBefore w:val="0"/>
              <w:widowControl/>
              <w:kinsoku/>
              <w:wordWrap/>
              <w:overflowPunct/>
              <w:topLinePunct w:val="0"/>
              <w:autoSpaceDE/>
              <w:autoSpaceDN/>
              <w:bidi w:val="0"/>
              <w:adjustRightInd/>
              <w:snapToGrid/>
              <w:ind w:firstLineChars="0"/>
              <w:rPr>
                <w:rFonts w:hint="eastAsia" w:ascii="宋体" w:hAnsi="宋体" w:eastAsia="宋体" w:cs="宋体"/>
                <w:i w:val="0"/>
                <w:iCs w:val="0"/>
                <w:color w:val="000000"/>
                <w:sz w:val="22"/>
                <w:szCs w:val="22"/>
                <w:u w:val="none"/>
              </w:rPr>
            </w:pPr>
          </w:p>
        </w:tc>
        <w:tc>
          <w:tcPr>
            <w:tcW w:w="992" w:type="dxa"/>
            <w:tcBorders>
              <w:top w:val="nil"/>
              <w:left w:val="nil"/>
              <w:bottom w:val="nil"/>
              <w:right w:val="nil"/>
            </w:tcBorders>
            <w:shd w:val="clear" w:color="auto" w:fill="auto"/>
            <w:noWrap/>
            <w:vAlign w:val="center"/>
          </w:tcPr>
          <w:p w14:paraId="0AA7874C">
            <w:pPr>
              <w:keepNext w:val="0"/>
              <w:keepLines w:val="0"/>
              <w:pageBreakBefore w:val="0"/>
              <w:widowControl/>
              <w:suppressLineNumbers w:val="0"/>
              <w:kinsoku/>
              <w:wordWrap/>
              <w:overflowPunct/>
              <w:topLinePunct w:val="0"/>
              <w:autoSpaceDE/>
              <w:autoSpaceDN/>
              <w:bidi w:val="0"/>
              <w:adjustRightInd/>
              <w:snapToGrid/>
              <w:ind w:firstLineChars="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57.75</w:t>
            </w:r>
          </w:p>
        </w:tc>
        <w:tc>
          <w:tcPr>
            <w:tcW w:w="969" w:type="dxa"/>
            <w:tcBorders>
              <w:top w:val="nil"/>
              <w:left w:val="nil"/>
              <w:bottom w:val="nil"/>
              <w:right w:val="nil"/>
            </w:tcBorders>
            <w:shd w:val="clear" w:color="auto" w:fill="auto"/>
            <w:noWrap/>
            <w:vAlign w:val="center"/>
          </w:tcPr>
          <w:p w14:paraId="5443A386">
            <w:pPr>
              <w:keepNext w:val="0"/>
              <w:keepLines w:val="0"/>
              <w:pageBreakBefore w:val="0"/>
              <w:widowControl/>
              <w:kinsoku/>
              <w:wordWrap/>
              <w:overflowPunct/>
              <w:topLinePunct w:val="0"/>
              <w:autoSpaceDE/>
              <w:autoSpaceDN/>
              <w:bidi w:val="0"/>
              <w:adjustRightInd/>
              <w:snapToGrid/>
              <w:ind w:firstLineChars="0"/>
              <w:rPr>
                <w:rFonts w:hint="eastAsia" w:ascii="宋体" w:hAnsi="宋体" w:eastAsia="宋体" w:cs="宋体"/>
                <w:i w:val="0"/>
                <w:iCs w:val="0"/>
                <w:color w:val="000000"/>
                <w:sz w:val="22"/>
                <w:szCs w:val="22"/>
                <w:u w:val="none"/>
              </w:rPr>
            </w:pPr>
          </w:p>
        </w:tc>
        <w:tc>
          <w:tcPr>
            <w:tcW w:w="3520" w:type="dxa"/>
            <w:tcBorders>
              <w:top w:val="nil"/>
              <w:left w:val="nil"/>
              <w:bottom w:val="nil"/>
              <w:right w:val="nil"/>
            </w:tcBorders>
            <w:shd w:val="clear" w:color="auto" w:fill="auto"/>
            <w:noWrap/>
            <w:vAlign w:val="center"/>
          </w:tcPr>
          <w:p w14:paraId="76C0F8D7">
            <w:pPr>
              <w:keepNext w:val="0"/>
              <w:keepLines w:val="0"/>
              <w:pageBreakBefore w:val="0"/>
              <w:widowControl/>
              <w:kinsoku/>
              <w:wordWrap/>
              <w:overflowPunct/>
              <w:topLinePunct w:val="0"/>
              <w:autoSpaceDE/>
              <w:autoSpaceDN/>
              <w:bidi w:val="0"/>
              <w:adjustRightInd/>
              <w:snapToGrid/>
              <w:ind w:firstLineChars="0"/>
              <w:rPr>
                <w:rFonts w:hint="eastAsia" w:ascii="宋体" w:hAnsi="宋体" w:eastAsia="宋体" w:cs="宋体"/>
                <w:i w:val="0"/>
                <w:iCs w:val="0"/>
                <w:color w:val="000000"/>
                <w:sz w:val="22"/>
                <w:szCs w:val="22"/>
                <w:u w:val="none"/>
              </w:rPr>
            </w:pPr>
          </w:p>
        </w:tc>
      </w:tr>
    </w:tbl>
    <w:p w14:paraId="2F9358DE">
      <w:pPr>
        <w:spacing w:line="360" w:lineRule="auto"/>
        <w:ind w:firstLine="480"/>
        <w:rPr>
          <w:rFonts w:hint="eastAsia" w:ascii="宋体" w:hAnsi="宋体" w:eastAsia="宋体" w:cs="宋体"/>
          <w:color w:val="0000FF"/>
          <w:sz w:val="24"/>
          <w:lang w:val="en-US" w:eastAsia="zh-CN"/>
        </w:rPr>
      </w:pPr>
    </w:p>
    <w:p w14:paraId="0E9AC29E">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6.综合得分：百分制计算</w:t>
      </w:r>
    </w:p>
    <w:p w14:paraId="61B548CA">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第一步：将10个维度的百分制得分相加，得到维度总分（满分1000分）。</w:t>
      </w:r>
    </w:p>
    <w:p w14:paraId="0353F109">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第二步：折算为百分制综合得分：</w:t>
      </w:r>
    </w:p>
    <w:p w14:paraId="14A286B1">
      <w:pPr>
        <w:spacing w:line="360" w:lineRule="auto"/>
        <w:ind w:firstLine="480"/>
        <w:rPr>
          <w:rFonts w:hint="eastAsia" w:ascii="宋体" w:hAnsi="宋体" w:eastAsia="宋体" w:cs="宋体"/>
          <w:color w:val="0000FF"/>
          <w:sz w:val="24"/>
          <w:lang w:val="en-US" w:eastAsia="zh-CN"/>
        </w:rPr>
      </w:pPr>
      <w:r>
        <w:rPr>
          <w:rFonts w:hint="eastAsia" w:ascii="宋体" w:hAnsi="宋体" w:eastAsia="宋体" w:cs="宋体"/>
          <w:color w:val="0000FF"/>
          <w:sz w:val="24"/>
          <w:lang w:val="en-US" w:eastAsia="zh-CN"/>
        </w:rPr>
        <w:t>综合得分（百分制）=（10个维度百分制得分之和÷1000）×100</w:t>
      </w:r>
    </w:p>
    <w:p w14:paraId="0AF51068">
      <w:pPr>
        <w:spacing w:line="360" w:lineRule="auto"/>
        <w:ind w:firstLine="480"/>
        <w:rPr>
          <w:rFonts w:hint="default" w:ascii="宋体" w:hAnsi="宋体" w:eastAsia="宋体" w:cs="宋体"/>
          <w:color w:val="0000FF"/>
          <w:sz w:val="24"/>
          <w:lang w:val="en-US" w:eastAsia="zh-CN"/>
        </w:rPr>
      </w:pPr>
      <w:r>
        <w:rPr>
          <w:rFonts w:hint="eastAsia" w:ascii="宋体" w:hAnsi="宋体" w:eastAsia="宋体" w:cs="宋体"/>
          <w:color w:val="0000FF"/>
          <w:sz w:val="24"/>
          <w:lang w:val="en-US" w:eastAsia="zh-CN"/>
        </w:rPr>
        <w:t>即各维度平均分</w:t>
      </w:r>
    </w:p>
    <w:p w14:paraId="4F3622D2">
      <w:pPr>
        <w:spacing w:line="360" w:lineRule="auto"/>
        <w:ind w:firstLine="480"/>
        <w:rPr>
          <w:rFonts w:hint="eastAsia" w:ascii="宋体" w:hAnsi="宋体" w:eastAsia="宋体" w:cs="宋体"/>
          <w:sz w:val="24"/>
          <w:lang w:eastAsia="zh-CN"/>
        </w:rPr>
      </w:pPr>
      <w:r>
        <w:rPr>
          <w:rFonts w:hint="eastAsia" w:ascii="宋体" w:hAnsi="宋体" w:eastAsia="宋体" w:cs="宋体"/>
          <w:color w:val="0000FF"/>
          <w:sz w:val="24"/>
          <w:lang w:val="en-US" w:eastAsia="zh-CN"/>
        </w:rPr>
        <w:t>第三步：</w:t>
      </w:r>
      <w:r>
        <w:rPr>
          <w:rFonts w:hint="eastAsia" w:ascii="宋体" w:hAnsi="宋体" w:eastAsia="宋体" w:cs="宋体"/>
          <w:sz w:val="24"/>
        </w:rPr>
        <w:t>将</w:t>
      </w:r>
      <w:r>
        <w:rPr>
          <w:rFonts w:hint="eastAsia" w:ascii="宋体" w:hAnsi="宋体" w:eastAsia="宋体" w:cs="宋体"/>
          <w:sz w:val="24"/>
          <w:lang w:val="en-US" w:eastAsia="zh-CN"/>
        </w:rPr>
        <w:t>综合得分</w:t>
      </w:r>
      <w:r>
        <w:rPr>
          <w:rFonts w:hint="eastAsia" w:ascii="宋体" w:hAnsi="宋体" w:eastAsia="宋体" w:cs="宋体"/>
          <w:sz w:val="24"/>
        </w:rPr>
        <w:t>与相应的分数区间进行匹配，以确定</w:t>
      </w:r>
      <w:r>
        <w:rPr>
          <w:rFonts w:hint="eastAsia" w:ascii="宋体" w:hAnsi="宋体" w:eastAsia="宋体" w:cs="宋体"/>
          <w:sz w:val="24"/>
          <w:lang w:val="en-US" w:eastAsia="zh-CN"/>
        </w:rPr>
        <w:t>综合</w:t>
      </w:r>
      <w:r>
        <w:rPr>
          <w:rFonts w:hint="eastAsia" w:ascii="宋体" w:hAnsi="宋体" w:eastAsia="宋体" w:cs="宋体"/>
          <w:sz w:val="24"/>
        </w:rPr>
        <w:t>评价等级及等级描述</w:t>
      </w:r>
      <w:r>
        <w:rPr>
          <w:rFonts w:hint="eastAsia" w:ascii="宋体" w:hAnsi="宋体" w:eastAsia="宋体" w:cs="宋体"/>
          <w:sz w:val="24"/>
          <w:lang w:val="en-US" w:eastAsia="zh-CN"/>
        </w:rPr>
        <w:t>，综合评语和发展建议详见附件</w:t>
      </w:r>
      <w:r>
        <w:rPr>
          <w:rFonts w:hint="eastAsia" w:ascii="宋体" w:hAnsi="宋体" w:eastAsia="宋体" w:cs="宋体"/>
          <w:sz w:val="24"/>
          <w:lang w:eastAsia="zh-CN"/>
        </w:rPr>
        <w:t>。</w:t>
      </w:r>
      <w:bookmarkStart w:id="0" w:name="_GoBack"/>
      <w:bookmarkEnd w:id="0"/>
    </w:p>
    <w:tbl>
      <w:tblPr>
        <w:tblStyle w:val="10"/>
        <w:tblW w:w="852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16"/>
        <w:gridCol w:w="1892"/>
        <w:gridCol w:w="4612"/>
      </w:tblGrid>
      <w:tr w14:paraId="55BCD0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B87E9B">
            <w:pPr>
              <w:keepNext w:val="0"/>
              <w:keepLines w:val="0"/>
              <w:widowControl/>
              <w:suppressLineNumbers w:val="0"/>
              <w:jc w:val="center"/>
              <w:textAlignment w:val="center"/>
              <w:rPr>
                <w:rFonts w:hint="eastAsia" w:ascii="宋体" w:hAnsi="宋体" w:eastAsia="宋体" w:cs="宋体"/>
                <w:b/>
                <w:bCs/>
                <w:i w:val="0"/>
                <w:iCs w:val="0"/>
                <w:color w:val="0000FF"/>
                <w:sz w:val="21"/>
                <w:szCs w:val="21"/>
                <w:u w:val="none"/>
              </w:rPr>
            </w:pPr>
            <w:r>
              <w:rPr>
                <w:rFonts w:hint="eastAsia" w:ascii="宋体" w:hAnsi="宋体" w:eastAsia="宋体" w:cs="宋体"/>
                <w:b/>
                <w:bCs/>
                <w:i w:val="0"/>
                <w:iCs w:val="0"/>
                <w:color w:val="0000FF"/>
                <w:kern w:val="0"/>
                <w:sz w:val="21"/>
                <w:szCs w:val="21"/>
                <w:u w:val="none"/>
                <w:lang w:val="en-US" w:eastAsia="zh-CN" w:bidi="ar"/>
              </w:rPr>
              <w:t>胜任者类型</w:t>
            </w:r>
          </w:p>
        </w:tc>
        <w:tc>
          <w:tcPr>
            <w:tcW w:w="18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DC4BB9">
            <w:pPr>
              <w:keepNext w:val="0"/>
              <w:keepLines w:val="0"/>
              <w:widowControl/>
              <w:suppressLineNumbers w:val="0"/>
              <w:jc w:val="center"/>
              <w:textAlignment w:val="center"/>
              <w:rPr>
                <w:rFonts w:hint="eastAsia" w:ascii="宋体" w:hAnsi="宋体" w:eastAsia="宋体" w:cs="宋体"/>
                <w:b/>
                <w:bCs/>
                <w:i w:val="0"/>
                <w:iCs w:val="0"/>
                <w:color w:val="0000FF"/>
                <w:sz w:val="21"/>
                <w:szCs w:val="21"/>
                <w:u w:val="none"/>
              </w:rPr>
            </w:pPr>
            <w:r>
              <w:rPr>
                <w:rFonts w:hint="eastAsia" w:ascii="宋体" w:hAnsi="宋体" w:eastAsia="宋体" w:cs="宋体"/>
                <w:b/>
                <w:bCs/>
                <w:i w:val="0"/>
                <w:iCs w:val="0"/>
                <w:color w:val="0000FF"/>
                <w:kern w:val="0"/>
                <w:sz w:val="21"/>
                <w:szCs w:val="21"/>
                <w:u w:val="none"/>
                <w:lang w:val="en-US" w:eastAsia="zh-CN" w:bidi="ar"/>
              </w:rPr>
              <w:t>百分制（上包含）</w:t>
            </w:r>
          </w:p>
        </w:tc>
        <w:tc>
          <w:tcPr>
            <w:tcW w:w="461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8E812C">
            <w:pPr>
              <w:keepNext w:val="0"/>
              <w:keepLines w:val="0"/>
              <w:widowControl/>
              <w:suppressLineNumbers w:val="0"/>
              <w:jc w:val="center"/>
              <w:textAlignment w:val="center"/>
              <w:rPr>
                <w:rFonts w:hint="eastAsia" w:ascii="宋体" w:hAnsi="宋体" w:eastAsia="宋体" w:cs="宋体"/>
                <w:b/>
                <w:bCs/>
                <w:i w:val="0"/>
                <w:iCs w:val="0"/>
                <w:color w:val="0000FF"/>
                <w:kern w:val="0"/>
                <w:sz w:val="21"/>
                <w:szCs w:val="21"/>
                <w:u w:val="none"/>
                <w:lang w:val="en-US" w:eastAsia="zh-CN" w:bidi="ar"/>
              </w:rPr>
            </w:pPr>
            <w:r>
              <w:rPr>
                <w:rFonts w:hint="eastAsia" w:ascii="宋体" w:hAnsi="宋体" w:eastAsia="宋体" w:cs="宋体"/>
                <w:b/>
                <w:bCs/>
                <w:i w:val="0"/>
                <w:iCs w:val="0"/>
                <w:color w:val="0000FF"/>
                <w:kern w:val="0"/>
                <w:sz w:val="21"/>
                <w:szCs w:val="21"/>
                <w:u w:val="none"/>
                <w:lang w:val="en-US" w:eastAsia="zh-CN" w:bidi="ar"/>
              </w:rPr>
              <w:t>与常模对比结果分析</w:t>
            </w:r>
          </w:p>
          <w:p w14:paraId="1B065904">
            <w:pPr>
              <w:keepNext w:val="0"/>
              <w:keepLines w:val="0"/>
              <w:widowControl/>
              <w:suppressLineNumbers w:val="0"/>
              <w:jc w:val="center"/>
              <w:textAlignment w:val="center"/>
              <w:rPr>
                <w:rFonts w:hint="eastAsia" w:ascii="宋体" w:hAnsi="宋体" w:eastAsia="宋体" w:cs="宋体"/>
                <w:b/>
                <w:bCs/>
                <w:i w:val="0"/>
                <w:iCs w:val="0"/>
                <w:color w:val="0000FF"/>
                <w:kern w:val="0"/>
                <w:sz w:val="21"/>
                <w:szCs w:val="21"/>
                <w:u w:val="none"/>
                <w:lang w:val="en-US" w:eastAsia="zh-CN" w:bidi="ar"/>
              </w:rPr>
            </w:pPr>
            <w:r>
              <w:rPr>
                <w:rFonts w:hint="eastAsia" w:ascii="宋体" w:hAnsi="宋体" w:eastAsia="宋体" w:cs="宋体"/>
                <w:b/>
                <w:bCs/>
                <w:i w:val="0"/>
                <w:iCs w:val="0"/>
                <w:color w:val="0000FF"/>
                <w:kern w:val="0"/>
                <w:sz w:val="21"/>
                <w:szCs w:val="21"/>
                <w:u w:val="none"/>
                <w:lang w:val="en-US" w:eastAsia="zh-CN" w:bidi="ar"/>
              </w:rPr>
              <w:t>对应报告概览总体评价</w:t>
            </w:r>
          </w:p>
          <w:p w14:paraId="7AB776F2">
            <w:pPr>
              <w:keepNext w:val="0"/>
              <w:keepLines w:val="0"/>
              <w:widowControl/>
              <w:suppressLineNumbers w:val="0"/>
              <w:jc w:val="center"/>
              <w:textAlignment w:val="center"/>
              <w:rPr>
                <w:rFonts w:hint="default" w:ascii="宋体" w:hAnsi="宋体" w:eastAsia="宋体" w:cs="宋体"/>
                <w:b/>
                <w:bCs/>
                <w:i w:val="0"/>
                <w:iCs w:val="0"/>
                <w:color w:val="0000FF"/>
                <w:kern w:val="0"/>
                <w:sz w:val="21"/>
                <w:szCs w:val="21"/>
                <w:u w:val="none"/>
                <w:lang w:val="en-US" w:eastAsia="zh-CN" w:bidi="ar"/>
              </w:rPr>
            </w:pPr>
            <w:r>
              <w:rPr>
                <w:rFonts w:hint="eastAsia" w:ascii="宋体" w:hAnsi="宋体" w:eastAsia="宋体" w:cs="宋体"/>
                <w:b/>
                <w:bCs/>
                <w:i w:val="0"/>
                <w:iCs w:val="0"/>
                <w:color w:val="0000FF"/>
                <w:kern w:val="0"/>
                <w:sz w:val="21"/>
                <w:szCs w:val="21"/>
                <w:u w:val="none"/>
                <w:lang w:val="en-US" w:eastAsia="zh-CN" w:bidi="ar"/>
              </w:rPr>
              <w:t>总体常模分是57.75</w:t>
            </w:r>
          </w:p>
        </w:tc>
      </w:tr>
      <w:tr w14:paraId="46054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1B012">
            <w:pPr>
              <w:keepNext w:val="0"/>
              <w:keepLines w:val="0"/>
              <w:widowControl/>
              <w:suppressLineNumbers w:val="0"/>
              <w:jc w:val="center"/>
              <w:textAlignment w:val="center"/>
              <w:rPr>
                <w:rFonts w:hint="eastAsia" w:ascii="宋体" w:hAnsi="宋体" w:eastAsia="宋体" w:cs="宋体"/>
                <w:b/>
                <w:bCs/>
                <w:i w:val="0"/>
                <w:iCs w:val="0"/>
                <w:color w:val="0000FF"/>
                <w:sz w:val="21"/>
                <w:szCs w:val="21"/>
                <w:u w:val="none"/>
              </w:rPr>
            </w:pPr>
            <w:r>
              <w:rPr>
                <w:rFonts w:hint="eastAsia" w:ascii="宋体" w:hAnsi="宋体" w:eastAsia="宋体" w:cs="宋体"/>
                <w:b/>
                <w:bCs/>
                <w:i w:val="0"/>
                <w:iCs w:val="0"/>
                <w:color w:val="0000FF"/>
                <w:kern w:val="0"/>
                <w:sz w:val="21"/>
                <w:szCs w:val="21"/>
                <w:u w:val="none"/>
                <w:lang w:val="en-US" w:eastAsia="zh-CN" w:bidi="ar"/>
              </w:rPr>
              <w:t>优秀胜任</w:t>
            </w:r>
          </w:p>
        </w:tc>
        <w:tc>
          <w:tcPr>
            <w:tcW w:w="18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7A0F7">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S&gt;</w:t>
            </w:r>
            <w:r>
              <w:rPr>
                <w:rFonts w:hint="default" w:ascii="宋体" w:hAnsi="宋体" w:eastAsia="宋体" w:cs="宋体"/>
                <w:color w:val="0000FF"/>
                <w:sz w:val="20"/>
                <w:szCs w:val="20"/>
                <w:lang w:val="en-US" w:eastAsia="zh-CN"/>
              </w:rPr>
              <w:t>90</w:t>
            </w:r>
            <w:r>
              <w:rPr>
                <w:rFonts w:hint="eastAsia" w:ascii="宋体" w:hAnsi="宋体" w:eastAsia="宋体" w:cs="宋体"/>
                <w:color w:val="0000FF"/>
                <w:sz w:val="20"/>
                <w:szCs w:val="20"/>
                <w:lang w:val="en-US" w:eastAsia="zh-CN"/>
              </w:rPr>
              <w:t>分</w:t>
            </w:r>
          </w:p>
        </w:tc>
        <w:tc>
          <w:tcPr>
            <w:tcW w:w="4612" w:type="dxa"/>
            <w:vMerge w:val="restart"/>
            <w:tcBorders>
              <w:top w:val="single" w:color="000000" w:sz="4" w:space="0"/>
              <w:left w:val="single" w:color="000000" w:sz="4" w:space="0"/>
              <w:right w:val="single" w:color="000000" w:sz="4" w:space="0"/>
            </w:tcBorders>
            <w:shd w:val="clear" w:color="auto" w:fill="auto"/>
            <w:vAlign w:val="center"/>
          </w:tcPr>
          <w:p w14:paraId="7E7BE047">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70分及以上，优于常模分，对应等级看类型区间；</w:t>
            </w:r>
          </w:p>
          <w:p w14:paraId="3A413A46">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63-69以上，略高于常模分，对应合格胜任；</w:t>
            </w:r>
          </w:p>
          <w:p w14:paraId="2A05692D">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55-62分，基本与常模分持平，对应合格胜任；</w:t>
            </w:r>
          </w:p>
          <w:p w14:paraId="100305C0">
            <w:pPr>
              <w:spacing w:line="360" w:lineRule="auto"/>
              <w:jc w:val="center"/>
              <w:rPr>
                <w:rFonts w:hint="default"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54及以下，低于常模分，对应等级看类型区间；</w:t>
            </w:r>
          </w:p>
        </w:tc>
      </w:tr>
      <w:tr w14:paraId="02DD0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10B253">
            <w:pPr>
              <w:keepNext w:val="0"/>
              <w:keepLines w:val="0"/>
              <w:widowControl/>
              <w:suppressLineNumbers w:val="0"/>
              <w:jc w:val="center"/>
              <w:textAlignment w:val="center"/>
              <w:rPr>
                <w:rFonts w:hint="eastAsia" w:ascii="宋体" w:hAnsi="宋体" w:eastAsia="宋体" w:cs="宋体"/>
                <w:b/>
                <w:bCs/>
                <w:i w:val="0"/>
                <w:iCs w:val="0"/>
                <w:color w:val="0000FF"/>
                <w:sz w:val="21"/>
                <w:szCs w:val="21"/>
                <w:u w:val="none"/>
              </w:rPr>
            </w:pPr>
            <w:r>
              <w:rPr>
                <w:rFonts w:hint="eastAsia" w:ascii="宋体" w:hAnsi="宋体" w:eastAsia="宋体" w:cs="宋体"/>
                <w:b/>
                <w:bCs/>
                <w:i w:val="0"/>
                <w:iCs w:val="0"/>
                <w:color w:val="0000FF"/>
                <w:kern w:val="0"/>
                <w:sz w:val="21"/>
                <w:szCs w:val="21"/>
                <w:u w:val="none"/>
                <w:lang w:val="en-US" w:eastAsia="zh-CN" w:bidi="ar"/>
              </w:rPr>
              <w:t>良好胜任</w:t>
            </w:r>
          </w:p>
        </w:tc>
        <w:tc>
          <w:tcPr>
            <w:tcW w:w="18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86700B">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7</w:t>
            </w:r>
            <w:r>
              <w:rPr>
                <w:rFonts w:hint="default" w:ascii="宋体" w:hAnsi="宋体" w:eastAsia="宋体" w:cs="宋体"/>
                <w:color w:val="0000FF"/>
                <w:sz w:val="20"/>
                <w:szCs w:val="20"/>
                <w:lang w:val="en-US" w:eastAsia="zh-CN"/>
              </w:rPr>
              <w:t>0</w:t>
            </w:r>
            <w:r>
              <w:rPr>
                <w:rFonts w:hint="eastAsia" w:ascii="宋体" w:hAnsi="宋体" w:eastAsia="宋体" w:cs="宋体"/>
                <w:color w:val="0000FF"/>
                <w:sz w:val="20"/>
                <w:szCs w:val="20"/>
                <w:lang w:val="en-US" w:eastAsia="zh-CN"/>
              </w:rPr>
              <w:t>&lt;S≤9</w:t>
            </w:r>
            <w:r>
              <w:rPr>
                <w:rFonts w:hint="default" w:ascii="宋体" w:hAnsi="宋体" w:eastAsia="宋体" w:cs="宋体"/>
                <w:color w:val="0000FF"/>
                <w:sz w:val="20"/>
                <w:szCs w:val="20"/>
                <w:lang w:val="en-US" w:eastAsia="zh-CN"/>
              </w:rPr>
              <w:t>0</w:t>
            </w:r>
            <w:r>
              <w:rPr>
                <w:rFonts w:hint="eastAsia" w:ascii="宋体" w:hAnsi="宋体" w:eastAsia="宋体" w:cs="宋体"/>
                <w:color w:val="0000FF"/>
                <w:sz w:val="20"/>
                <w:szCs w:val="20"/>
                <w:lang w:val="en-US" w:eastAsia="zh-CN"/>
              </w:rPr>
              <w:t>分</w:t>
            </w:r>
          </w:p>
        </w:tc>
        <w:tc>
          <w:tcPr>
            <w:tcW w:w="4612" w:type="dxa"/>
            <w:vMerge w:val="continue"/>
            <w:tcBorders>
              <w:left w:val="single" w:color="000000" w:sz="4" w:space="0"/>
              <w:right w:val="single" w:color="000000" w:sz="4" w:space="0"/>
            </w:tcBorders>
            <w:shd w:val="clear" w:color="auto" w:fill="auto"/>
            <w:vAlign w:val="center"/>
          </w:tcPr>
          <w:p w14:paraId="74AE57A1">
            <w:pPr>
              <w:spacing w:line="360" w:lineRule="auto"/>
              <w:jc w:val="center"/>
              <w:rPr>
                <w:rFonts w:hint="eastAsia" w:ascii="宋体" w:hAnsi="宋体" w:eastAsia="宋体" w:cs="宋体"/>
                <w:color w:val="0000FF"/>
                <w:sz w:val="20"/>
                <w:szCs w:val="20"/>
                <w:lang w:val="en-US" w:eastAsia="zh-CN"/>
              </w:rPr>
            </w:pPr>
          </w:p>
        </w:tc>
      </w:tr>
      <w:tr w14:paraId="555A24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E70846">
            <w:pPr>
              <w:keepNext w:val="0"/>
              <w:keepLines w:val="0"/>
              <w:widowControl/>
              <w:suppressLineNumbers w:val="0"/>
              <w:jc w:val="center"/>
              <w:textAlignment w:val="center"/>
              <w:rPr>
                <w:rFonts w:hint="eastAsia" w:ascii="宋体" w:hAnsi="宋体" w:eastAsia="宋体" w:cs="宋体"/>
                <w:b/>
                <w:bCs/>
                <w:i w:val="0"/>
                <w:iCs w:val="0"/>
                <w:color w:val="0000FF"/>
                <w:sz w:val="21"/>
                <w:szCs w:val="21"/>
                <w:u w:val="none"/>
              </w:rPr>
            </w:pPr>
            <w:r>
              <w:rPr>
                <w:rFonts w:hint="eastAsia" w:ascii="宋体" w:hAnsi="宋体" w:eastAsia="宋体" w:cs="宋体"/>
                <w:b/>
                <w:bCs/>
                <w:i w:val="0"/>
                <w:iCs w:val="0"/>
                <w:color w:val="0000FF"/>
                <w:kern w:val="0"/>
                <w:sz w:val="21"/>
                <w:szCs w:val="21"/>
                <w:u w:val="none"/>
                <w:lang w:val="en-US" w:eastAsia="zh-CN" w:bidi="ar"/>
              </w:rPr>
              <w:t>合格胜任</w:t>
            </w:r>
          </w:p>
        </w:tc>
        <w:tc>
          <w:tcPr>
            <w:tcW w:w="18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62F0C4">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30&lt;S≤70分</w:t>
            </w:r>
          </w:p>
        </w:tc>
        <w:tc>
          <w:tcPr>
            <w:tcW w:w="4612" w:type="dxa"/>
            <w:vMerge w:val="continue"/>
            <w:tcBorders>
              <w:left w:val="single" w:color="000000" w:sz="4" w:space="0"/>
              <w:right w:val="single" w:color="000000" w:sz="4" w:space="0"/>
            </w:tcBorders>
            <w:shd w:val="clear" w:color="auto" w:fill="auto"/>
            <w:vAlign w:val="center"/>
          </w:tcPr>
          <w:p w14:paraId="11D0FBCF">
            <w:pPr>
              <w:spacing w:line="360" w:lineRule="auto"/>
              <w:jc w:val="center"/>
              <w:rPr>
                <w:rFonts w:hint="eastAsia" w:ascii="宋体" w:hAnsi="宋体" w:eastAsia="宋体" w:cs="宋体"/>
                <w:color w:val="0000FF"/>
                <w:sz w:val="20"/>
                <w:szCs w:val="20"/>
                <w:lang w:val="en-US" w:eastAsia="zh-CN"/>
              </w:rPr>
            </w:pPr>
          </w:p>
        </w:tc>
      </w:tr>
      <w:tr w14:paraId="58B0A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2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1B9813">
            <w:pPr>
              <w:keepNext w:val="0"/>
              <w:keepLines w:val="0"/>
              <w:widowControl/>
              <w:suppressLineNumbers w:val="0"/>
              <w:jc w:val="center"/>
              <w:textAlignment w:val="center"/>
              <w:rPr>
                <w:rFonts w:hint="eastAsia" w:ascii="宋体" w:hAnsi="宋体" w:eastAsia="宋体" w:cs="宋体"/>
                <w:b/>
                <w:bCs/>
                <w:i w:val="0"/>
                <w:iCs w:val="0"/>
                <w:color w:val="0000FF"/>
                <w:sz w:val="21"/>
                <w:szCs w:val="21"/>
                <w:u w:val="none"/>
              </w:rPr>
            </w:pPr>
            <w:r>
              <w:rPr>
                <w:rFonts w:hint="eastAsia" w:ascii="宋体" w:hAnsi="宋体" w:eastAsia="宋体" w:cs="宋体"/>
                <w:b/>
                <w:bCs/>
                <w:i w:val="0"/>
                <w:iCs w:val="0"/>
                <w:color w:val="0000FF"/>
                <w:kern w:val="0"/>
                <w:sz w:val="21"/>
                <w:szCs w:val="21"/>
                <w:u w:val="none"/>
                <w:lang w:val="en-US" w:eastAsia="zh-CN" w:bidi="ar"/>
              </w:rPr>
              <w:t>薄弱胜任</w:t>
            </w:r>
          </w:p>
        </w:tc>
        <w:tc>
          <w:tcPr>
            <w:tcW w:w="18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0FD2B">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10&lt;S≤30分</w:t>
            </w:r>
          </w:p>
        </w:tc>
        <w:tc>
          <w:tcPr>
            <w:tcW w:w="4612" w:type="dxa"/>
            <w:vMerge w:val="continue"/>
            <w:tcBorders>
              <w:left w:val="single" w:color="000000" w:sz="4" w:space="0"/>
              <w:right w:val="single" w:color="000000" w:sz="4" w:space="0"/>
            </w:tcBorders>
            <w:shd w:val="clear" w:color="auto" w:fill="auto"/>
            <w:vAlign w:val="center"/>
          </w:tcPr>
          <w:p w14:paraId="40176A61">
            <w:pPr>
              <w:spacing w:line="360" w:lineRule="auto"/>
              <w:jc w:val="center"/>
              <w:rPr>
                <w:rFonts w:hint="eastAsia" w:ascii="宋体" w:hAnsi="宋体" w:eastAsia="宋体" w:cs="宋体"/>
                <w:color w:val="0000FF"/>
                <w:sz w:val="20"/>
                <w:szCs w:val="20"/>
                <w:lang w:val="en-US" w:eastAsia="zh-CN"/>
              </w:rPr>
            </w:pPr>
          </w:p>
        </w:tc>
      </w:tr>
      <w:tr w14:paraId="3D76DE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2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9AC98">
            <w:pPr>
              <w:keepNext w:val="0"/>
              <w:keepLines w:val="0"/>
              <w:widowControl/>
              <w:suppressLineNumbers w:val="0"/>
              <w:jc w:val="center"/>
              <w:textAlignment w:val="center"/>
              <w:rPr>
                <w:rFonts w:hint="eastAsia" w:ascii="宋体" w:hAnsi="宋体" w:eastAsia="宋体" w:cs="宋体"/>
                <w:b/>
                <w:bCs/>
                <w:i w:val="0"/>
                <w:iCs w:val="0"/>
                <w:color w:val="0000FF"/>
                <w:sz w:val="21"/>
                <w:szCs w:val="21"/>
                <w:u w:val="none"/>
              </w:rPr>
            </w:pPr>
            <w:r>
              <w:rPr>
                <w:rFonts w:hint="eastAsia" w:ascii="宋体" w:hAnsi="宋体" w:eastAsia="宋体" w:cs="宋体"/>
                <w:b/>
                <w:bCs/>
                <w:i w:val="0"/>
                <w:iCs w:val="0"/>
                <w:color w:val="0000FF"/>
                <w:kern w:val="0"/>
                <w:sz w:val="21"/>
                <w:szCs w:val="21"/>
                <w:u w:val="none"/>
                <w:lang w:val="en-US" w:eastAsia="zh-CN" w:bidi="ar"/>
              </w:rPr>
              <w:t>尚未胜任</w:t>
            </w:r>
          </w:p>
        </w:tc>
        <w:tc>
          <w:tcPr>
            <w:tcW w:w="18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21D0EC">
            <w:pPr>
              <w:spacing w:line="360" w:lineRule="auto"/>
              <w:jc w:val="center"/>
              <w:rPr>
                <w:rFonts w:hint="eastAsia" w:ascii="宋体" w:hAnsi="宋体" w:eastAsia="宋体" w:cs="宋体"/>
                <w:color w:val="0000FF"/>
                <w:sz w:val="20"/>
                <w:szCs w:val="20"/>
                <w:lang w:val="en-US" w:eastAsia="zh-CN"/>
              </w:rPr>
            </w:pPr>
            <w:r>
              <w:rPr>
                <w:rFonts w:hint="eastAsia" w:ascii="宋体" w:hAnsi="宋体" w:eastAsia="宋体" w:cs="宋体"/>
                <w:color w:val="0000FF"/>
                <w:sz w:val="20"/>
                <w:szCs w:val="20"/>
                <w:lang w:val="en-US" w:eastAsia="zh-CN"/>
              </w:rPr>
              <w:t>S≤</w:t>
            </w:r>
            <w:r>
              <w:rPr>
                <w:rFonts w:hint="default" w:ascii="宋体" w:hAnsi="宋体" w:eastAsia="宋体" w:cs="宋体"/>
                <w:color w:val="0000FF"/>
                <w:sz w:val="20"/>
                <w:szCs w:val="20"/>
                <w:lang w:val="en-US" w:eastAsia="zh-CN"/>
              </w:rPr>
              <w:t>10</w:t>
            </w:r>
            <w:r>
              <w:rPr>
                <w:rFonts w:hint="eastAsia" w:ascii="宋体" w:hAnsi="宋体" w:eastAsia="宋体" w:cs="宋体"/>
                <w:color w:val="0000FF"/>
                <w:sz w:val="20"/>
                <w:szCs w:val="20"/>
                <w:lang w:val="en-US" w:eastAsia="zh-CN"/>
              </w:rPr>
              <w:t>分</w:t>
            </w:r>
          </w:p>
        </w:tc>
        <w:tc>
          <w:tcPr>
            <w:tcW w:w="4612" w:type="dxa"/>
            <w:vMerge w:val="continue"/>
            <w:tcBorders>
              <w:left w:val="single" w:color="000000" w:sz="4" w:space="0"/>
              <w:bottom w:val="single" w:color="000000" w:sz="4" w:space="0"/>
              <w:right w:val="single" w:color="000000" w:sz="4" w:space="0"/>
            </w:tcBorders>
            <w:shd w:val="clear" w:color="auto" w:fill="auto"/>
            <w:vAlign w:val="center"/>
          </w:tcPr>
          <w:p w14:paraId="48F4C79C">
            <w:pPr>
              <w:spacing w:line="360" w:lineRule="auto"/>
              <w:jc w:val="center"/>
              <w:rPr>
                <w:rFonts w:hint="eastAsia" w:ascii="宋体" w:hAnsi="宋体" w:eastAsia="宋体" w:cs="宋体"/>
                <w:color w:val="0000FF"/>
                <w:sz w:val="20"/>
                <w:szCs w:val="20"/>
                <w:lang w:val="en-US" w:eastAsia="zh-CN"/>
              </w:rPr>
            </w:pPr>
          </w:p>
        </w:tc>
      </w:tr>
    </w:tbl>
    <w:p w14:paraId="2CC05720">
      <w:pPr>
        <w:spacing w:line="360" w:lineRule="auto"/>
        <w:ind w:firstLine="480" w:firstLineChars="200"/>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7.计算效度量表总分，即将所有题目得分相加。若效度总分＞35分（满分50分的70%），则判定该份答卷整体“效度存疑”，需在测评报告的总体评价中对该情况予以提示；若效度总分≤35分，则判定该份答卷整体“效度良好”。</w:t>
      </w:r>
    </w:p>
    <w:p w14:paraId="39D8E1E3">
      <w:pPr>
        <w:spacing w:before="40" w:after="40" w:line="360" w:lineRule="auto"/>
        <w:ind w:firstLine="480"/>
      </w:pPr>
    </w:p>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FA77F">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14:paraId="1DD46D56">
                    <w:pPr>
                      <w:widowControl w:val="0"/>
                      <w:tabs>
                        <w:tab w:val="center" w:pos="4153"/>
                        <w:tab w:val="right" w:pos="8306"/>
                      </w:tabs>
                      <w:snapToGrid w:val="0"/>
                      <w:jc w:val="left"/>
                      <w:rPr>
                        <w:rFonts w:ascii="Calibri" w:hAnsi="Calibri" w:eastAsia="宋体" w:cs="Times New Roman"/>
                        <w:kern w:val="2"/>
                        <w:sz w:val="18"/>
                        <w:szCs w:val="24"/>
                        <w:lang w:val="en-US" w:eastAsia="zh-CN" w:bidi="ar-SA"/>
                      </w:rPr>
                    </w:pPr>
                    <w:r>
                      <w:rPr>
                        <w:rFonts w:ascii="Calibri" w:hAnsi="Calibri" w:eastAsia="宋体" w:cs="Times New Roman"/>
                        <w:kern w:val="2"/>
                        <w:sz w:val="18"/>
                        <w:szCs w:val="24"/>
                        <w:lang w:val="en-US" w:eastAsia="zh-CN" w:bidi="ar-SA"/>
                      </w:rPr>
                      <w:t xml:space="preserve">第 </w:t>
                    </w:r>
                    <w:r>
                      <w:rPr>
                        <w:rFonts w:ascii="Calibri" w:hAnsi="Calibri" w:eastAsia="宋体" w:cs="Times New Roman"/>
                        <w:kern w:val="2"/>
                        <w:sz w:val="18"/>
                        <w:szCs w:val="24"/>
                        <w:lang w:val="en-US" w:eastAsia="zh-CN" w:bidi="ar-SA"/>
                      </w:rPr>
                      <w:fldChar w:fldCharType="begin"/>
                    </w:r>
                    <w:r>
                      <w:rPr>
                        <w:rFonts w:ascii="Calibri" w:hAnsi="Calibri" w:eastAsia="宋体" w:cs="Times New Roman"/>
                        <w:kern w:val="2"/>
                        <w:sz w:val="18"/>
                        <w:szCs w:val="24"/>
                        <w:lang w:val="en-US" w:eastAsia="zh-CN" w:bidi="ar-SA"/>
                      </w:rPr>
                      <w:instrText xml:space="preserve"> PAGE  \* MERGEFORMAT </w:instrText>
                    </w:r>
                    <w:r>
                      <w:rPr>
                        <w:rFonts w:ascii="Calibri" w:hAnsi="Calibri" w:eastAsia="宋体" w:cs="Times New Roman"/>
                        <w:kern w:val="2"/>
                        <w:sz w:val="18"/>
                        <w:szCs w:val="24"/>
                        <w:lang w:val="en-US" w:eastAsia="zh-CN" w:bidi="ar-SA"/>
                      </w:rPr>
                      <w:fldChar w:fldCharType="separate"/>
                    </w:r>
                    <w:r>
                      <w:rPr>
                        <w:rFonts w:ascii="Calibri" w:hAnsi="Calibri" w:eastAsia="宋体" w:cs="Times New Roman"/>
                        <w:kern w:val="2"/>
                        <w:sz w:val="18"/>
                        <w:szCs w:val="24"/>
                        <w:lang w:val="en-US" w:eastAsia="zh-CN" w:bidi="ar-SA"/>
                      </w:rPr>
                      <w:t>1</w:t>
                    </w:r>
                    <w:r>
                      <w:rPr>
                        <w:rFonts w:ascii="Calibri" w:hAnsi="Calibri" w:eastAsia="宋体" w:cs="Times New Roman"/>
                        <w:kern w:val="2"/>
                        <w:sz w:val="18"/>
                        <w:szCs w:val="24"/>
                        <w:lang w:val="en-US" w:eastAsia="zh-CN" w:bidi="ar-SA"/>
                      </w:rPr>
                      <w:fldChar w:fldCharType="end"/>
                    </w:r>
                    <w:r>
                      <w:rPr>
                        <w:rFonts w:ascii="Calibri" w:hAnsi="Calibri" w:eastAsia="宋体" w:cs="Times New Roman"/>
                        <w:kern w:val="2"/>
                        <w:sz w:val="18"/>
                        <w:szCs w:val="24"/>
                        <w:lang w:val="en-US" w:eastAsia="zh-CN" w:bidi="ar-SA"/>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C8D37">
    <w:pPr>
      <w:widowControl w:val="0"/>
      <w:pBdr>
        <w:top w:val="none" w:color="auto" w:sz="0" w:space="1"/>
        <w:left w:val="none" w:color="auto" w:sz="0" w:space="4"/>
        <w:bottom w:val="none" w:color="auto" w:sz="0" w:space="1"/>
        <w:right w:val="none" w:color="auto" w:sz="0" w:space="4"/>
      </w:pBdr>
      <w:tabs>
        <w:tab w:val="center" w:pos="4153"/>
        <w:tab w:val="right" w:pos="8306"/>
      </w:tabs>
      <w:snapToGrid w:val="0"/>
      <w:jc w:val="right"/>
      <w:rPr>
        <w:rFonts w:hint="eastAsia" w:ascii="仿宋" w:hAnsi="仿宋" w:eastAsia="仿宋" w:cs="仿宋"/>
        <w:kern w:val="2"/>
        <w:sz w:val="18"/>
        <w:szCs w:val="24"/>
        <w:lang w:val="en-US" w:eastAsia="zh-CN" w:bidi="ar-SA"/>
      </w:rPr>
    </w:pPr>
    <w:r>
      <w:rPr>
        <w:rFonts w:hint="eastAsia" w:ascii="仿宋" w:hAnsi="仿宋" w:eastAsia="仿宋" w:cs="仿宋"/>
        <w:kern w:val="2"/>
        <w:sz w:val="18"/>
        <w:szCs w:val="24"/>
        <w:lang w:val="en-US" w:eastAsia="zh-CN" w:bidi="ar-SA"/>
      </w:rPr>
      <w:t>胜任力测评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7B58D9"/>
    <w:rsid w:val="00FE7B94"/>
    <w:rsid w:val="01241382"/>
    <w:rsid w:val="01B34F24"/>
    <w:rsid w:val="02647ECA"/>
    <w:rsid w:val="033C49A3"/>
    <w:rsid w:val="03A56240"/>
    <w:rsid w:val="044472EE"/>
    <w:rsid w:val="045F2EBA"/>
    <w:rsid w:val="046534EF"/>
    <w:rsid w:val="04E21E20"/>
    <w:rsid w:val="051D1818"/>
    <w:rsid w:val="051D5E5E"/>
    <w:rsid w:val="05EA06E6"/>
    <w:rsid w:val="06A44D39"/>
    <w:rsid w:val="0781151E"/>
    <w:rsid w:val="0995305F"/>
    <w:rsid w:val="0A6C39FA"/>
    <w:rsid w:val="0ACF21EB"/>
    <w:rsid w:val="0AFA5870"/>
    <w:rsid w:val="0B512FB6"/>
    <w:rsid w:val="0CD65E68"/>
    <w:rsid w:val="0DCF4D92"/>
    <w:rsid w:val="0E230C39"/>
    <w:rsid w:val="0E7771D7"/>
    <w:rsid w:val="0EFB1BB6"/>
    <w:rsid w:val="0F213CE5"/>
    <w:rsid w:val="0F352FC1"/>
    <w:rsid w:val="10611850"/>
    <w:rsid w:val="10B63FE7"/>
    <w:rsid w:val="10DE353E"/>
    <w:rsid w:val="110E5BD1"/>
    <w:rsid w:val="12B9051A"/>
    <w:rsid w:val="12FE1C75"/>
    <w:rsid w:val="13631599"/>
    <w:rsid w:val="139B4E1F"/>
    <w:rsid w:val="140409B7"/>
    <w:rsid w:val="14863CD0"/>
    <w:rsid w:val="14C73390"/>
    <w:rsid w:val="169721C5"/>
    <w:rsid w:val="16A06DAB"/>
    <w:rsid w:val="170535D2"/>
    <w:rsid w:val="171E4694"/>
    <w:rsid w:val="174E29A3"/>
    <w:rsid w:val="181D731F"/>
    <w:rsid w:val="19CB0A1B"/>
    <w:rsid w:val="1A420699"/>
    <w:rsid w:val="1A705206"/>
    <w:rsid w:val="1BC021BE"/>
    <w:rsid w:val="1BF51F40"/>
    <w:rsid w:val="1BFE3CEC"/>
    <w:rsid w:val="1C964CCC"/>
    <w:rsid w:val="1CD47D8B"/>
    <w:rsid w:val="1D61352C"/>
    <w:rsid w:val="1E13030E"/>
    <w:rsid w:val="1E2307E2"/>
    <w:rsid w:val="1EF74148"/>
    <w:rsid w:val="1F0B1394"/>
    <w:rsid w:val="1F903C55"/>
    <w:rsid w:val="2006717B"/>
    <w:rsid w:val="200E651C"/>
    <w:rsid w:val="20280331"/>
    <w:rsid w:val="20450EE3"/>
    <w:rsid w:val="212C3AE1"/>
    <w:rsid w:val="212E7BC9"/>
    <w:rsid w:val="224A024D"/>
    <w:rsid w:val="227C6712"/>
    <w:rsid w:val="23022A8D"/>
    <w:rsid w:val="25C1725E"/>
    <w:rsid w:val="271820AF"/>
    <w:rsid w:val="278E12DD"/>
    <w:rsid w:val="27E64D5A"/>
    <w:rsid w:val="27F10F49"/>
    <w:rsid w:val="28357982"/>
    <w:rsid w:val="285F4B0C"/>
    <w:rsid w:val="28A6098D"/>
    <w:rsid w:val="2940049A"/>
    <w:rsid w:val="2984532D"/>
    <w:rsid w:val="29946A38"/>
    <w:rsid w:val="29C42E79"/>
    <w:rsid w:val="29D76E30"/>
    <w:rsid w:val="2A655FBB"/>
    <w:rsid w:val="2A6F0AB4"/>
    <w:rsid w:val="2A816FBC"/>
    <w:rsid w:val="2AEB08D9"/>
    <w:rsid w:val="2BA56CDA"/>
    <w:rsid w:val="2BE65A2F"/>
    <w:rsid w:val="2BE710A1"/>
    <w:rsid w:val="2DAD00C8"/>
    <w:rsid w:val="2DB87C27"/>
    <w:rsid w:val="2E1E4B22"/>
    <w:rsid w:val="2F285C58"/>
    <w:rsid w:val="2F2A45B3"/>
    <w:rsid w:val="30A06996"/>
    <w:rsid w:val="313528AE"/>
    <w:rsid w:val="31903F88"/>
    <w:rsid w:val="31A35A6A"/>
    <w:rsid w:val="32442AEC"/>
    <w:rsid w:val="33753436"/>
    <w:rsid w:val="34473024"/>
    <w:rsid w:val="34513374"/>
    <w:rsid w:val="346E0078"/>
    <w:rsid w:val="35C501ED"/>
    <w:rsid w:val="36CA3770"/>
    <w:rsid w:val="36F071F1"/>
    <w:rsid w:val="3797430F"/>
    <w:rsid w:val="37C30C14"/>
    <w:rsid w:val="37D10844"/>
    <w:rsid w:val="380E4214"/>
    <w:rsid w:val="38D75A4F"/>
    <w:rsid w:val="38FE7E8D"/>
    <w:rsid w:val="3A687850"/>
    <w:rsid w:val="3A9B19D4"/>
    <w:rsid w:val="3AA63AE9"/>
    <w:rsid w:val="3BBB7067"/>
    <w:rsid w:val="3D72291F"/>
    <w:rsid w:val="3E2D5039"/>
    <w:rsid w:val="3EB76436"/>
    <w:rsid w:val="3EF65CCA"/>
    <w:rsid w:val="3F206C20"/>
    <w:rsid w:val="3F8540C1"/>
    <w:rsid w:val="4004289C"/>
    <w:rsid w:val="40F04493"/>
    <w:rsid w:val="40FE2CBD"/>
    <w:rsid w:val="417B58D9"/>
    <w:rsid w:val="42312C1E"/>
    <w:rsid w:val="423B3A9C"/>
    <w:rsid w:val="423F17DF"/>
    <w:rsid w:val="430215D1"/>
    <w:rsid w:val="446D6D8C"/>
    <w:rsid w:val="449000D0"/>
    <w:rsid w:val="44AB6CB7"/>
    <w:rsid w:val="44CB1015"/>
    <w:rsid w:val="45352A25"/>
    <w:rsid w:val="456B4699"/>
    <w:rsid w:val="459E05CA"/>
    <w:rsid w:val="465B470D"/>
    <w:rsid w:val="465F6AEF"/>
    <w:rsid w:val="46676190"/>
    <w:rsid w:val="46FD09E2"/>
    <w:rsid w:val="472D198A"/>
    <w:rsid w:val="47426808"/>
    <w:rsid w:val="477D03F7"/>
    <w:rsid w:val="47E2412D"/>
    <w:rsid w:val="47F00E85"/>
    <w:rsid w:val="47F94765"/>
    <w:rsid w:val="48582E92"/>
    <w:rsid w:val="493B20E8"/>
    <w:rsid w:val="49A87C69"/>
    <w:rsid w:val="49F96717"/>
    <w:rsid w:val="4A873D23"/>
    <w:rsid w:val="4AD118F1"/>
    <w:rsid w:val="4B4E4840"/>
    <w:rsid w:val="4B5A4F93"/>
    <w:rsid w:val="4BAD1567"/>
    <w:rsid w:val="4C083B30"/>
    <w:rsid w:val="4C8D3147"/>
    <w:rsid w:val="4C9B44C2"/>
    <w:rsid w:val="4D25419A"/>
    <w:rsid w:val="4E656129"/>
    <w:rsid w:val="4F697E9B"/>
    <w:rsid w:val="50135F43"/>
    <w:rsid w:val="519A6787"/>
    <w:rsid w:val="51A54246"/>
    <w:rsid w:val="521A36CE"/>
    <w:rsid w:val="53433809"/>
    <w:rsid w:val="53F51CFD"/>
    <w:rsid w:val="546658C6"/>
    <w:rsid w:val="553C6AD8"/>
    <w:rsid w:val="55E069DD"/>
    <w:rsid w:val="56232843"/>
    <w:rsid w:val="567822CA"/>
    <w:rsid w:val="56EB73E7"/>
    <w:rsid w:val="577608BD"/>
    <w:rsid w:val="57C30A5B"/>
    <w:rsid w:val="58124961"/>
    <w:rsid w:val="5825309C"/>
    <w:rsid w:val="58692CBA"/>
    <w:rsid w:val="58D4181A"/>
    <w:rsid w:val="596B480F"/>
    <w:rsid w:val="5A397635"/>
    <w:rsid w:val="5A935E72"/>
    <w:rsid w:val="5AC42429"/>
    <w:rsid w:val="5AC81FAD"/>
    <w:rsid w:val="5ADA1984"/>
    <w:rsid w:val="5BB47782"/>
    <w:rsid w:val="5C225659"/>
    <w:rsid w:val="5C425CFC"/>
    <w:rsid w:val="5D072AA1"/>
    <w:rsid w:val="5E6C3504"/>
    <w:rsid w:val="5E7D74BF"/>
    <w:rsid w:val="5F13572D"/>
    <w:rsid w:val="5F525023"/>
    <w:rsid w:val="5F97635E"/>
    <w:rsid w:val="61F749C0"/>
    <w:rsid w:val="62134E52"/>
    <w:rsid w:val="623F6839"/>
    <w:rsid w:val="6332564A"/>
    <w:rsid w:val="63BB3B80"/>
    <w:rsid w:val="63DF6526"/>
    <w:rsid w:val="643C1282"/>
    <w:rsid w:val="645C1924"/>
    <w:rsid w:val="64917820"/>
    <w:rsid w:val="64E831B8"/>
    <w:rsid w:val="65007136"/>
    <w:rsid w:val="653E2EF1"/>
    <w:rsid w:val="65430192"/>
    <w:rsid w:val="66976033"/>
    <w:rsid w:val="670A38BA"/>
    <w:rsid w:val="67905363"/>
    <w:rsid w:val="67BA0E3C"/>
    <w:rsid w:val="68867A24"/>
    <w:rsid w:val="6887414D"/>
    <w:rsid w:val="68BF2482"/>
    <w:rsid w:val="691C02C6"/>
    <w:rsid w:val="69F83E9D"/>
    <w:rsid w:val="69FF6C68"/>
    <w:rsid w:val="6A162576"/>
    <w:rsid w:val="6A856B9B"/>
    <w:rsid w:val="6AA06406"/>
    <w:rsid w:val="6B295972"/>
    <w:rsid w:val="6BCD4579"/>
    <w:rsid w:val="6BDE3191"/>
    <w:rsid w:val="6CDF5FF9"/>
    <w:rsid w:val="6D261E17"/>
    <w:rsid w:val="6D673BD9"/>
    <w:rsid w:val="6E13574A"/>
    <w:rsid w:val="7044557F"/>
    <w:rsid w:val="71482132"/>
    <w:rsid w:val="724203AC"/>
    <w:rsid w:val="72485159"/>
    <w:rsid w:val="725B3B7F"/>
    <w:rsid w:val="72AE3301"/>
    <w:rsid w:val="73C13552"/>
    <w:rsid w:val="74861898"/>
    <w:rsid w:val="75295853"/>
    <w:rsid w:val="75622B13"/>
    <w:rsid w:val="758A7B90"/>
    <w:rsid w:val="769907B6"/>
    <w:rsid w:val="76C02583"/>
    <w:rsid w:val="774C29A1"/>
    <w:rsid w:val="778C12A1"/>
    <w:rsid w:val="77B641B8"/>
    <w:rsid w:val="78654DF4"/>
    <w:rsid w:val="78A02EF8"/>
    <w:rsid w:val="78FE71F8"/>
    <w:rsid w:val="7ACD0A2E"/>
    <w:rsid w:val="7ADD5115"/>
    <w:rsid w:val="7AEC6D89"/>
    <w:rsid w:val="7BBE279B"/>
    <w:rsid w:val="7BF72207"/>
    <w:rsid w:val="7C3B772F"/>
    <w:rsid w:val="7C705B15"/>
    <w:rsid w:val="7CB023B6"/>
    <w:rsid w:val="7DD90862"/>
    <w:rsid w:val="7DDF623D"/>
    <w:rsid w:val="7E074257"/>
    <w:rsid w:val="7E3D2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ascii="Arial" w:hAnsi="Arial" w:eastAsia="宋体" w:cs="Arial"/>
      <w:b/>
      <w:snapToGrid w:val="0"/>
      <w:color w:val="000000"/>
      <w:kern w:val="44"/>
      <w:sz w:val="28"/>
      <w:szCs w:val="21"/>
      <w:lang w:eastAsia="en-US"/>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footnote text"/>
    <w:basedOn w:val="1"/>
    <w:qFormat/>
    <w:uiPriority w:val="0"/>
    <w:pPr>
      <w:snapToGrid w:val="0"/>
      <w:jc w:val="left"/>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Emphasis"/>
    <w:basedOn w:val="12"/>
    <w:qFormat/>
    <w:uiPriority w:val="0"/>
    <w:rPr>
      <w:i/>
    </w:rPr>
  </w:style>
  <w:style w:type="character" w:styleId="15">
    <w:name w:val="Hyperlink"/>
    <w:basedOn w:val="12"/>
    <w:qFormat/>
    <w:uiPriority w:val="0"/>
    <w:rPr>
      <w:color w:val="0000FF"/>
      <w:u w:val="single"/>
    </w:rPr>
  </w:style>
  <w:style w:type="character" w:styleId="16">
    <w:name w:val="footnote reference"/>
    <w:basedOn w:val="12"/>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08eff2bf-ac6d-4a7c-8965-edca0f3005af</errorID>
      <errorWord>因此开发</errorWord>
      <group>L1_Grammar</group>
      <groupName>语法问题</groupName>
      <ability>L2_Grammar</ability>
      <abilityName>语法错误</abilityName>
      <candidateList>
        <item>开发</item>
      </candidateList>
      <explain/>
      <paraID>4616532C</paraID>
      <start>71</start>
      <end>75</end>
      <status>unmodified</status>
      <modifiedWord/>
      <trackRevisions>false</trackRevisions>
    </reviewItem>
    <reviewItem>
      <errorID>36651a54-764d-4931-93df-e13e5dd86bc4</errorID>
      <errorWord> </errorWord>
      <group>L1_Punc</group>
      <groupName>标点问题</groupName>
      <ability>L2_Punc_CN</ability>
      <abilityName>标点符号问题</abilityName>
      <candidateList>
        <item>·</item>
      </candidateList>
      <explain/>
      <paraID>6B2B0AAD</paraID>
      <start>13</start>
      <end>14</end>
      <status>unmodified</status>
      <modifiedWord/>
      <trackRevisions>false</trackRevisions>
    </reviewItem>
    <reviewItem>
      <errorID>da894752-8f89-4d29-adb4-dafc9a00c225</errorID>
      <errorWord>《胜任力工作：卓越绩效模型》</errorWord>
      <group>L1_Other</group>
      <groupName>其他问题</groupName>
      <ability>L2_Consistency</ability>
      <abilityName>一致性检查</abilityName>
      <candidateList>
        <item>《工作中的胜任特征》</item>
      </candidateList>
      <explain>实体一致性：前文提及斯潘塞（Spencer &amp; Spencer, 1993）的著作，一处命名为《胜任力工作：卓越绩效模型》，另一处命名为《工作中的胜任特征》，同一作者同年的同一份研究成果对应著作名称不一致</explain>
      <paraID>1E5260A0</paraID>
      <start>54</start>
      <end>68</end>
      <status>unmodified</status>
      <modifiedWord/>
      <trackRevisions>false</trackRevisions>
    </reviewItem>
    <reviewItem>
      <errorID>30661090-89d5-459b-bf9e-47cec53f46ca</errorID>
      <errorWord> </errorWord>
      <group>L1_Punc</group>
      <groupName>标点问题</groupName>
      <ability>L2_Punc_CN</ability>
      <abilityName>标点符号问题</abilityName>
      <candidateList>
        <item>·</item>
      </candidateList>
      <explain/>
      <paraID>3B714FB0</paraID>
      <start>8</start>
      <end>9</end>
      <status>unmodified</status>
      <modifiedWord/>
      <trackRevisions>false</trackRevisions>
    </reviewItem>
    <reviewItem>
      <errorID>934e117f-d295-48e2-bf19-e3f11dc23d32</errorID>
      <errorWord>是对</errorWord>
      <group>L1_Word</group>
      <groupName>字词问题</groupName>
      <ability>L2_Typo</ability>
      <abilityName>字词错误</abilityName>
      <candidateList>
        <item>是</item>
      </candidateList>
      <explain/>
      <paraID>305BB265</paraID>
      <start>8</start>
      <end>10</end>
      <status>unmodified</status>
      <modifiedWord/>
      <trackRevisions>false</trackRevisions>
    </reviewItem>
    <reviewItem>
      <errorID>68c89e70-068a-41e3-9157-1f34688e5f84</errorID>
      <errorWord>表层</errorWord>
      <group>L1_Word</group>
      <groupName>字词问题</groupName>
      <ability>L2_Typo</ability>
      <abilityName>字词错误</abilityName>
      <candidateList>
        <item>于表层</item>
      </candidateList>
      <explain/>
      <paraID>305BB265</paraID>
      <start>35</start>
      <end>37</end>
      <status>unmodified</status>
      <modifiedWord/>
      <trackRevisions>false</trackRevisions>
    </reviewItem>
    <reviewItem>
      <errorID>1fe76916-374e-4b1e-a39f-b9135ea5fef2</errorID>
      <errorWord>，这</errorWord>
      <group>L1_Word</group>
      <groupName>字词问题</groupName>
      <ability>L2_Typo</ability>
      <abilityName>字词错误</abilityName>
      <candidateList>
        <item>，</item>
      </candidateList>
      <explain/>
      <paraID>305BB265</paraID>
      <start>52</start>
      <end>54</end>
      <status>unmodified</status>
      <modifiedWord/>
      <trackRevisions>false</trackRevisions>
    </reviewItem>
    <reviewItem>
      <errorID>58b34fdb-f515-4ddf-b621-46cf7dfd5009</errorID>
      <errorWord>内在的</errorWord>
      <group>L1_Word</group>
      <groupName>字词问题</groupName>
      <ability>L2_Typo</ability>
      <abilityName>字词错误</abilityName>
      <candidateList>
        <item>内在</item>
      </candidateList>
      <explain/>
      <paraID>15BE2785</paraID>
      <start>38</start>
      <end>41</end>
      <status>unmodified</status>
      <modifiedWord/>
      <trackRevisions>false</trackRevisions>
    </reviewItem>
    <reviewItem>
      <errorID>d5a466fd-1f5e-48c4-badc-57300d84e394</errorID>
      <errorWord>是非观</errorWord>
      <group>L1_Word</group>
      <groupName>字词问题</groupName>
      <ability>L2_Typo</ability>
      <abilityName>字词错误</abilityName>
      <candidateList>
        <item>价值观</item>
      </candidateList>
      <explain/>
      <paraID>15BE2785</paraID>
      <start>88</start>
      <end>91</end>
      <status>unmodified</status>
      <modifiedWord/>
      <trackRevisions>false</trackRevisions>
    </reviewItem>
    <reviewItem>
      <errorID>cbe915d3-fcdf-4686-8e27-18ccb842a461</errorID>
      <errorWord>六、</errorWord>
      <group>L1_Format</group>
      <groupName>格式问题</groupName>
      <ability>L2_Ordinal</ability>
      <abilityName>序号格式</abilityName>
      <candidateList>
        <item>五、</item>
      </candidateList>
      <explain>标题顺序错误，请检查标题顺序是否合理。</explain>
      <paraID>47063B4D</paraID>
      <start>0</start>
      <end>2</end>
      <status>unmodified</status>
      <modifiedWord/>
      <trackRevisions>false</trackRevisions>
    </reviewItem>
    <reviewItem>
      <errorID>fd962c1a-f0ac-4314-8b36-cb7807f02b9e</errorID>
      <errorWord>两个层级40个维度</errorWord>
      <group>L1_Other</group>
      <groupName>其他问题</groupName>
      <ability>L2_Consistency</ability>
      <abilityName>一致性检查</abilityName>
      <candidateList>
        <item>三个层级40个维度</item>
      </candidateList>
      <explain>数字一致性：后文明确评估框架为三个层级整合40个维度，此处表述为两个层级40个维度，前后层级数量和总维度所属层级数量不一致</explain>
      <paraID>5963FAEE</paraID>
      <start>35</start>
      <end>44</end>
      <status>unmodified</status>
      <modifiedWord/>
      <trackRevisions>false</trackRevisions>
    </reviewItem>
    <reviewItem>
      <errorID>4b70e150-769f-4129-9d8c-aace103e79ec</errorID>
      <errorWord>80%-90%</errorWord>
      <group>L1_Knowledge</group>
      <groupName>知识性问题</groupName>
      <ability>L2_Knowledge</ability>
      <abilityName>其他知识</abilityName>
      <candidateList>
        <item>80%—90%</item>
      </candidateList>
      <explain>1. “80%-90%”中的单位“%”仅出现在后一个数字上，容易引起歧义；根据《现代汉语标点符号数字用法规范手册》，数字表示范围两边需要使用统一的格式。2.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53</start>
      <end>60</end>
      <status>unmodified</status>
      <modifiedWord/>
      <trackRevisions>false</trackRevisions>
    </reviewItem>
    <reviewItem>
      <errorID>25db45f5-24db-424d-b4af-90d8b3b55505</errorID>
      <errorWord>65%-80%</errorWord>
      <group>L1_Knowledge</group>
      <groupName>知识性问题</groupName>
      <ability>L2_Knowledge</ability>
      <abilityName>其他知识</abilityName>
      <candidateList>
        <item>65%—80%</item>
      </candidateList>
      <explain>1. “65%-80%”中的单位“%”仅出现在后一个数字上，容易引起歧义；根据《现代汉语标点符号数字用法规范手册》，数字表示范围两边需要使用统一的格式。2.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71</start>
      <end>78</end>
      <status>unmodified</status>
      <modifiedWord/>
      <trackRevisions>false</trackRevisions>
    </reviewItem>
    <reviewItem>
      <errorID>fe9eaa8f-54f9-484e-8ade-432128cfeb38</errorID>
      <errorWord>50%-65%</errorWord>
      <group>L1_Knowledge</group>
      <groupName>知识性问题</groupName>
      <ability>L2_Knowledge</ability>
      <abilityName>其他知识</abilityName>
      <candidateList>
        <item>50%—65%</item>
      </candidateList>
      <explain>1. “50%-65%”中的单位“%”仅出现在后一个数字上，容易引起歧义；根据《现代汉语标点符号数字用法规范手册》，数字表示范围两边需要使用统一的格式。2. 根据标点国标 4.13 中的规则，数字、时间或地域连接符应使用（视觉上更长的）“—”或“～”。</explain>
      <paraID>423B7EFE</paraID>
      <start>89</start>
      <end>96</end>
      <status>unmodified</status>
      <modifiedWord/>
      <trackRevisions>false</trackRevisions>
    </reviewItem>
    <reviewItem>
      <errorID>5d4f44fb-0264-42d8-ab50-d595e4dd49ff</errorID>
      <errorWord>管理</errorWord>
      <group>L1_Punc</group>
      <groupName>标点问题</groupName>
      <ability>L2_Punc_CN</ability>
      <abilityName>标点符号问题</abilityName>
      <candidateList>
        <item>，管理</item>
      </candidateList>
      <explain/>
      <paraID>567BD941</paraID>
      <start>57</start>
      <end>59</end>
      <status>unmodified</status>
      <modifiedWord/>
      <trackRevisions>false</trackRevisions>
    </reviewItem>
    <reviewItem>
      <errorID>b587a588-73f1-4b1e-940d-bd8de020dd84</errorID>
      <errorWord>关注与</errorWord>
      <group>L1_Word</group>
      <groupName>字词问题</groupName>
      <ability>L2_Typo</ability>
      <abilityName>字词错误</abilityName>
      <candidateList>
        <item>关注</item>
      </candidateList>
      <explain/>
      <paraID>17196587</paraID>
      <start>73</start>
      <end>76</end>
      <status>unmodified</status>
      <modifiedWord/>
      <trackRevisions>false</trackRevisions>
    </reviewItem>
    <reviewItem>
      <errorID>a612f051-eeb7-4da3-bb41-b97073a8e904</errorID>
      <errorWord>枯燥</errorWord>
      <group>L1_Punc</group>
      <groupName>标点问题</groupName>
      <ability>L2_Punc_CN</ability>
      <abilityName>标点符号问题</abilityName>
      <candidateList>
        <item>、枯燥</item>
      </candidateList>
      <explain/>
      <paraID>6DD6552D</paraID>
      <start>73</start>
      <end>75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1e15ae-77bc-4d5e-9baf-3948c1b67b78}">
  <ds:schemaRefs/>
</ds:datastoreItem>
</file>

<file path=docProps/app.xml><?xml version="1.0" encoding="utf-8"?>
<Properties xmlns="http://schemas.openxmlformats.org/officeDocument/2006/extended-properties" xmlns:vt="http://schemas.openxmlformats.org/officeDocument/2006/docPropsVTypes">
  <Template>Normal.dotm</Template>
  <Pages>8</Pages>
  <Words>2771</Words>
  <Characters>2922</Characters>
  <Lines>0</Lines>
  <Paragraphs>0</Paragraphs>
  <TotalTime>4</TotalTime>
  <ScaleCrop>false</ScaleCrop>
  <LinksUpToDate>false</LinksUpToDate>
  <CharactersWithSpaces>2947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2026-06-03T08:38:00Z</dcterms:created>
  <dc:creator>Administrator</dc:creator>
  <cp:lastModifiedBy>张瑞玲</cp:lastModifiedBy>
  <dcterms:modified xsi:type="dcterms:W3CDTF">2026-09-15T09:33:48Z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EF5C1E17A544450DA02788D82CF1FEF2_13</vt:lpwstr>
  </property>
  <property fmtid="{D5CDD505-2E9C-101B-9397-08002B2CF9AE}" pid="4" name="KSOTemplateDocerSaveRecord">
    <vt:lpwstr>eyJoZGlkIjoiNDNlOTYyZWQ1OTVkZDI4MzY1ODM0ODE3MDE5NDJlYjkiLCJ1c2VySWQiOiIyMTIzNzYyMTgifQ==</vt:lpwstr>
  </property>
</Properties>
</file>