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営業改善施策ガイド</w:t>
      </w:r>
    </w:p>
    <w:p>
      <w:r>
        <w:t xml:space="preserve">文書ID：HOL-SP-RAG-2016-01</w:t>
      </w:r>
    </w:p>
    <w:p>
      <w:r>
        <w:t xml:space="preserve">版：1.0</w:t>
      </w:r>
    </w:p>
    <w:p>
      <w:r>
        <w:t xml:space="preserve">本資料はハンズオン用の架空の営業ルールである。</w:t>
      </w:r>
    </w:p>
    <w:p>
      <w:r>
        <w:t xml:space="preserve">前年の年間Profitが正の値で、今年の年間Profitが前年比で8%以上減少した担当者を、営業改善レビューの対象とする。対象となった場合、2営業日以内に上長へ報告する。前年のProfitが0以下の場合は、この基準を機械的に適用せず個別確認する。</w:t>
      </w:r>
    </w:p>
    <w:p>
      <w:r>
        <w:t xml:space="preserve">レビューでは、売上数量、値引きの状況、販売商品の構成を確認する。Profitの減少だけを根拠に、原因を断定してはならない。</w:t>
      </w:r>
    </w:p>
    <w:p>
      <w:r>
        <w:t xml:space="preserve">重点都市の営業施策は、既存売上、収益性、公開されている人口動向を合わせて検討する。人口増加だけを根拠に、将来の売上増加を断定してはならない。</w:t>
      </w:r>
    </w:p>
    <w:p>
      <w:r>
        <w:t xml:space="preserve">確認コード：SP-A731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8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営業改善施策ガイド</dc:title>
  <dc:subject>SharePoint Remote RAG hands-on sample</dc:subject>
  <dc:creator>Hands-on Lab</dc:creator>
  <dc:description>Fictional sales guidance for content and permission tests.</dc:description>
  <cp:lastModifiedBy>Un-named</cp:lastModifiedBy>
  <cp:revision>1</cp:revision>
  <dcterms:created xsi:type="dcterms:W3CDTF">2026-10-14T03:03:58.894Z</dcterms:created>
  <dcterms:modified xsi:type="dcterms:W3CDTF">2026-10-14T03:03:58.895Z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