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科技创新项目一致性判断算法（适配2026年</w:t>
      </w:r>
      <w:r>
        <w:rPr>
          <w:rFonts w:eastAsia="等线" w:ascii="Arial" w:cs="Arial" w:hAnsi="Arial"/>
          <w:b w:val="true"/>
          <w:sz w:val="52"/>
        </w:rPr>
        <w:t>第一季度公示名单）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一、算法核心目标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青岛地铁运营有限公司自动化中心2026年第一季度科技创新项目入围推荐名单，提供一套标准化、可复用的判断逻辑，精准识别两个项目是否为同一项目，规避因项目名称相似、表述差异导致的误判，保障项目公示、评审、归档的准确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二、算法适用范围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本算法仅适用于本公示名单内35个科技创新项目的两两比对，涵盖“研究类”“改造类”“搭建类”“应用类”四大类项目，可直接复用至同类型、同部门的科技创新项目辨析场景。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三、核心判断维度（权重占比）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算法采用“多维度加权比对”模式，共5个核心判断维度，各维度权重根据项目特征设定，总分100分，得分≥80分判定为“同一项目”，50-79分判定为“疑似同一项目”，&lt;50分判定为“非同一项目”。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（一）核心主体维度（权重30%）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核心主体指项目针对的“设备、系统、线路、区域”，是判断项目一致性的核心依据，分为完全匹配、部分匹配、不匹配三个等级。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完全匹配（30分）：两个项目的核心主体完全一致（如均为“西海岸快线车载BTM系统”“6号线信号系统”）；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部分匹配（10-20分）：核心主体存在包含关系（如A项目为“8号线信号系统”，B项目为“8号线与8号线支线信号系统”，记15分）；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不匹配（0分）：核心主体无关联（如A项目为“站台门系统”，B项目为“UPS机柜”）。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（二）实施动作维度（权重25%）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实施动作指项目的核心操作的，即项目名称中的“动词+核心动作”，反映项目的实施路径，分为完全匹配、相似匹配、不匹配三个等级。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完全匹配（25分）：实施动作完全一致（如均为“研究”“改造”“搭建”“优化”“升级迭代”）；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相似匹配（10-15分）：实施动作本质一致、表述不同（如A项目为“强化提升”，B项目为“优化升级”，记15分；A项目为“研发测试”，B项目为“研究应用”，记10分）；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不匹配（0分）：实施动作完全不同（如A项目为“搭建”，B项目为“改造”；A项目为“研究”，B项目为“应用”）。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（三）应用范围维度（权重20%）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应用范围指项目覆盖的线路、站点、区域，是区分同类项目的关键补充，分为完全匹配、部分匹配、不匹配三个等级。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完全匹配（20分）：应用范围完全一致（如均为“3号线”“6号线王家港站”“黄岛控制中心”）；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部分匹配（8-15分）：应用范围存在包含关系（如A项目为“6号线全线”，B项目为“6号线王家港站”，记12分）；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不匹配（0分）：应用范围无关联（如A项目为“3号线”，B项目为“8号线”）。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（四）技术领域维度（权重15%）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技术领域指项目所属的核心技术方向，结合本次公示项目特征，分为“通号系统”“站台门系统”“供电系统”“安防消防”“智能巡检”“数据存储”6大类，分为完全匹配、不匹配两个等级。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完全匹配（15分）：两个项目属于同一技术领域（如均为“站台门系统”“通号系统”）；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不匹配（0分）：两个项目属于不同技术领域（如A项目为“智能巡检”，B项目为“数据存储”）。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（五）名称相似度维度（权重10%）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采用文本相似度比对（剔除无意义修饰词，如“智慧”“精益化”“绿智赋能”“破孤·智融”等宣传性、修饰性词汇后比对），分为三个等级。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高相似度（8-10分）：剔除修饰词后，名称核心词汇完全一致（如A项目“站台门顶箱照明智慧节能项目”，B项目“站台门顶箱照明节能改造”，剔除“智慧”“改造”后核心一致，记10分）；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中相似度（3-7分）：剔除修饰词后，核心词汇部分一致（如A项目“设备预警模型数据训练”，B项目“设备预警系统优化”，记5分）；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低相似度（0-2分）：剔除修饰词后，核心词汇无关联（如A项目“BTM系统容错提升”，B项目“临时限速命令优化”，记0分）。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四、算法执行步骤</w:t>
      </w:r>
      <w:bookmarkEnd w:id="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预处理：提取两个待比对项目的名称，剔除修饰性、宣传性无意义词汇（如“智慧”“精益化”“绿智赋能”“破孤·智融”“安全高效-赋能”等），保留核心信息（主体+动作+范围）；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维度打分：按照上述5个核心维度，分别对两个项目进行打分，累计计算总分；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结果判定：根据总分确定项目一致性——≥80分为“同一项目”，50-79分为“疑似同一项目”（需人工复核），&lt;50分为“非同一项目”；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人工复核：针对“疑似同一项目”，补充核对项目的实施背景、预期成果（若有），最终确定是否为同一项目。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五、算法验证（结合本次公示名单示例）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待比对项目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各维度打分（主体/动作/范围/技术/名称）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A：西海岸快线车载BTM系统容错性能强化</w:t>
            </w:r>
            <w:r>
              <w:rPr>
                <w:rFonts w:eastAsia="等线" w:ascii="Arial" w:cs="Arial" w:hAnsi="Arial"/>
                <w:sz w:val="22"/>
              </w:rPr>
              <w:t>提升策略</w:t>
            </w:r>
            <w:r>
              <w:rPr>
                <w:rFonts w:eastAsia="等线" w:ascii="Arial" w:cs="Arial" w:hAnsi="Arial"/>
                <w:sz w:val="22"/>
              </w:rPr>
              <w:t>B：西海岸快线长时段临时限速命令精益化改进举措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主体（0分，无关联）+ 动作（0</w:t>
            </w:r>
            <w:r>
              <w:rPr>
                <w:rFonts w:eastAsia="等线" w:ascii="Arial" w:cs="Arial" w:hAnsi="Arial"/>
                <w:sz w:val="22"/>
              </w:rPr>
              <w:t>分，不同）+ 范围（15分，均为西海岸快线）+ 技术（0分，</w:t>
            </w:r>
            <w:r>
              <w:rPr>
                <w:rFonts w:eastAsia="等线" w:ascii="Arial" w:cs="Arial" w:hAnsi="Arial"/>
                <w:sz w:val="22"/>
              </w:rPr>
              <w:t>不同领域）+ 名称（0分）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非同一项目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A：站台门“时控光驭”顶箱</w:t>
            </w:r>
            <w:r>
              <w:rPr>
                <w:rFonts w:eastAsia="等线" w:ascii="Arial" w:cs="Arial" w:hAnsi="Arial"/>
                <w:sz w:val="22"/>
              </w:rPr>
              <w:t>照明智慧节能项目</w:t>
            </w:r>
            <w:r>
              <w:rPr>
                <w:rFonts w:eastAsia="等线" w:ascii="Arial" w:cs="Arial" w:hAnsi="Arial"/>
                <w:sz w:val="22"/>
              </w:rPr>
              <w:t>B：绿智赋能-优化6号线全线PSL</w:t>
            </w:r>
            <w:r>
              <w:rPr>
                <w:rFonts w:eastAsia="等线" w:ascii="Arial" w:cs="Arial" w:hAnsi="Arial"/>
                <w:sz w:val="22"/>
              </w:rPr>
              <w:t>盘端门显示器智改项目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主体（0分，</w:t>
            </w:r>
            <w:r>
              <w:rPr>
                <w:rFonts w:eastAsia="等线" w:ascii="Arial" w:cs="Arial" w:hAnsi="Arial"/>
                <w:sz w:val="22"/>
              </w:rPr>
              <w:t>不同）+ 动作（15分，相似）+ 范围（0分，不同）+ 技术</w:t>
            </w:r>
            <w:r>
              <w:rPr>
                <w:rFonts w:eastAsia="等线" w:ascii="Arial" w:cs="Arial" w:hAnsi="Arial"/>
                <w:sz w:val="22"/>
              </w:rPr>
              <w:t>（15分，均为站台门相关）+ 名称（2分）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非同一项目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A：基于AI算法的设备预警模型数据</w:t>
            </w:r>
            <w:r>
              <w:rPr>
                <w:rFonts w:eastAsia="等线" w:ascii="Arial" w:cs="Arial" w:hAnsi="Arial"/>
                <w:sz w:val="22"/>
              </w:rPr>
              <w:t>训练与优化策略研究</w:t>
            </w:r>
            <w:r>
              <w:rPr>
                <w:rFonts w:eastAsia="等线" w:ascii="Arial" w:cs="Arial" w:hAnsi="Arial"/>
                <w:sz w:val="22"/>
              </w:rPr>
              <w:t>B：基于AI算法的设备预警模型优化研究</w:t>
            </w:r>
            <w:r>
              <w:rPr>
                <w:rFonts w:eastAsia="等线" w:ascii="Arial" w:cs="Arial" w:hAnsi="Arial"/>
                <w:sz w:val="22"/>
              </w:rPr>
              <w:t>（假设新增项目）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主体（30分，一致</w:t>
            </w:r>
            <w:r>
              <w:rPr>
                <w:rFonts w:eastAsia="等线" w:ascii="Arial" w:cs="Arial" w:hAnsi="Arial"/>
                <w:sz w:val="22"/>
              </w:rPr>
              <w:t>）+ 动作（25分，一致）+ 范围（20分，一致）+ 技术</w:t>
            </w:r>
            <w:r>
              <w:rPr>
                <w:rFonts w:eastAsia="等线" w:ascii="Arial" w:cs="Arial" w:hAnsi="Arial"/>
                <w:sz w:val="22"/>
              </w:rPr>
              <w:t>（15分，一致）+ 名称（8分）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同一项目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六、算法补充说明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本算法优先适配本次公示项目的特征，若后续新增项目类型（如培训类、采购类），可补充“项目类型维度”，调整各维度权重；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修饰词剔除需统一标准，避免因剔除差异导致打分偏差，建议建立“修饰词清单”（如智慧、精益化、绿智赋能等），统一剔除；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人工复核环节重点关注“疑似同一项目”，可结合项目申报材料、评审记录，确保判断结果准确。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943">
    <w:lvl>
      <w:numFmt w:val="bullet"/>
      <w:suff w:val="tab"/>
      <w:lvlText w:val="•"/>
      <w:rPr>
        <w:color w:val="3370ff"/>
      </w:rPr>
    </w:lvl>
  </w:abstractNum>
  <w:abstractNum w:abstractNumId="82944">
    <w:lvl>
      <w:numFmt w:val="bullet"/>
      <w:suff w:val="tab"/>
      <w:lvlText w:val="•"/>
      <w:rPr>
        <w:color w:val="3370ff"/>
      </w:rPr>
    </w:lvl>
  </w:abstractNum>
  <w:abstractNum w:abstractNumId="82945">
    <w:lvl>
      <w:numFmt w:val="bullet"/>
      <w:suff w:val="tab"/>
      <w:lvlText w:val="•"/>
      <w:rPr>
        <w:color w:val="3370ff"/>
      </w:rPr>
    </w:lvl>
  </w:abstractNum>
  <w:abstractNum w:abstractNumId="82946">
    <w:lvl>
      <w:numFmt w:val="bullet"/>
      <w:suff w:val="tab"/>
      <w:lvlText w:val="•"/>
      <w:rPr>
        <w:color w:val="3370ff"/>
      </w:rPr>
    </w:lvl>
  </w:abstractNum>
  <w:abstractNum w:abstractNumId="82947">
    <w:lvl>
      <w:numFmt w:val="bullet"/>
      <w:suff w:val="tab"/>
      <w:lvlText w:val="•"/>
      <w:rPr>
        <w:color w:val="3370ff"/>
      </w:rPr>
    </w:lvl>
  </w:abstractNum>
  <w:abstractNum w:abstractNumId="82948">
    <w:lvl>
      <w:numFmt w:val="bullet"/>
      <w:suff w:val="tab"/>
      <w:lvlText w:val="•"/>
      <w:rPr>
        <w:color w:val="3370ff"/>
      </w:rPr>
    </w:lvl>
  </w:abstractNum>
  <w:abstractNum w:abstractNumId="82949">
    <w:lvl>
      <w:numFmt w:val="bullet"/>
      <w:suff w:val="tab"/>
      <w:lvlText w:val="•"/>
      <w:rPr>
        <w:color w:val="3370ff"/>
      </w:rPr>
    </w:lvl>
  </w:abstractNum>
  <w:abstractNum w:abstractNumId="82950">
    <w:lvl>
      <w:numFmt w:val="bullet"/>
      <w:suff w:val="tab"/>
      <w:lvlText w:val="•"/>
      <w:rPr>
        <w:color w:val="3370ff"/>
      </w:rPr>
    </w:lvl>
  </w:abstractNum>
  <w:abstractNum w:abstractNumId="82951">
    <w:lvl>
      <w:numFmt w:val="bullet"/>
      <w:suff w:val="tab"/>
      <w:lvlText w:val="•"/>
      <w:rPr>
        <w:color w:val="3370ff"/>
      </w:rPr>
    </w:lvl>
  </w:abstractNum>
  <w:abstractNum w:abstractNumId="82952">
    <w:lvl>
      <w:numFmt w:val="bullet"/>
      <w:suff w:val="tab"/>
      <w:lvlText w:val="•"/>
      <w:rPr>
        <w:color w:val="3370ff"/>
      </w:rPr>
    </w:lvl>
  </w:abstractNum>
  <w:abstractNum w:abstractNumId="82953">
    <w:lvl>
      <w:numFmt w:val="bullet"/>
      <w:suff w:val="tab"/>
      <w:lvlText w:val="•"/>
      <w:rPr>
        <w:color w:val="3370ff"/>
      </w:rPr>
    </w:lvl>
  </w:abstractNum>
  <w:abstractNum w:abstractNumId="82954">
    <w:lvl>
      <w:numFmt w:val="bullet"/>
      <w:suff w:val="tab"/>
      <w:lvlText w:val="•"/>
      <w:rPr>
        <w:color w:val="3370ff"/>
      </w:rPr>
    </w:lvl>
  </w:abstractNum>
  <w:abstractNum w:abstractNumId="82955">
    <w:lvl>
      <w:numFmt w:val="bullet"/>
      <w:suff w:val="tab"/>
      <w:lvlText w:val="•"/>
      <w:rPr>
        <w:color w:val="3370ff"/>
      </w:rPr>
    </w:lvl>
  </w:abstractNum>
  <w:abstractNum w:abstractNumId="82956">
    <w:lvl>
      <w:numFmt w:val="bullet"/>
      <w:suff w:val="tab"/>
      <w:lvlText w:val="•"/>
      <w:rPr>
        <w:color w:val="3370ff"/>
      </w:rPr>
    </w:lvl>
  </w:abstractNum>
  <w:abstractNum w:abstractNumId="82957">
    <w:lvl>
      <w:start w:val="1"/>
      <w:numFmt w:val="decimal"/>
      <w:suff w:val="tab"/>
      <w:lvlText w:val="%1."/>
      <w:rPr>
        <w:color w:val="3370ff"/>
      </w:rPr>
    </w:lvl>
  </w:abstractNum>
  <w:abstractNum w:abstractNumId="82958">
    <w:lvl>
      <w:start w:val="2"/>
      <w:numFmt w:val="decimal"/>
      <w:suff w:val="tab"/>
      <w:lvlText w:val="%1."/>
      <w:rPr>
        <w:color w:val="3370ff"/>
      </w:rPr>
    </w:lvl>
  </w:abstractNum>
  <w:abstractNum w:abstractNumId="82959">
    <w:lvl>
      <w:start w:val="3"/>
      <w:numFmt w:val="decimal"/>
      <w:suff w:val="tab"/>
      <w:lvlText w:val="%1."/>
      <w:rPr>
        <w:color w:val="3370ff"/>
      </w:rPr>
    </w:lvl>
  </w:abstractNum>
  <w:abstractNum w:abstractNumId="82960">
    <w:lvl>
      <w:start w:val="4"/>
      <w:numFmt w:val="decimal"/>
      <w:suff w:val="tab"/>
      <w:lvlText w:val="%1."/>
      <w:rPr>
        <w:color w:val="3370ff"/>
      </w:rPr>
    </w:lvl>
  </w:abstractNum>
  <w:abstractNum w:abstractNumId="82961">
    <w:lvl>
      <w:numFmt w:val="bullet"/>
      <w:suff w:val="tab"/>
      <w:lvlText w:val="•"/>
      <w:rPr>
        <w:color w:val="3370ff"/>
      </w:rPr>
    </w:lvl>
  </w:abstractNum>
  <w:abstractNum w:abstractNumId="82962">
    <w:lvl>
      <w:numFmt w:val="bullet"/>
      <w:suff w:val="tab"/>
      <w:lvlText w:val="•"/>
      <w:rPr>
        <w:color w:val="3370ff"/>
      </w:rPr>
    </w:lvl>
  </w:abstractNum>
  <w:abstractNum w:abstractNumId="82963">
    <w:lvl>
      <w:numFmt w:val="bullet"/>
      <w:suff w:val="tab"/>
      <w:lvlText w:val="•"/>
      <w:rPr>
        <w:color w:val="3370ff"/>
      </w:rPr>
    </w:lvl>
  </w:abstractNum>
  <w:num w:numId="1">
    <w:abstractNumId w:val="82943"/>
  </w:num>
  <w:num w:numId="2">
    <w:abstractNumId w:val="82944"/>
  </w:num>
  <w:num w:numId="3">
    <w:abstractNumId w:val="82945"/>
  </w:num>
  <w:num w:numId="4">
    <w:abstractNumId w:val="82946"/>
  </w:num>
  <w:num w:numId="5">
    <w:abstractNumId w:val="82947"/>
  </w:num>
  <w:num w:numId="6">
    <w:abstractNumId w:val="82948"/>
  </w:num>
  <w:num w:numId="7">
    <w:abstractNumId w:val="82949"/>
  </w:num>
  <w:num w:numId="8">
    <w:abstractNumId w:val="82950"/>
  </w:num>
  <w:num w:numId="9">
    <w:abstractNumId w:val="82951"/>
  </w:num>
  <w:num w:numId="10">
    <w:abstractNumId w:val="82952"/>
  </w:num>
  <w:num w:numId="11">
    <w:abstractNumId w:val="82953"/>
  </w:num>
  <w:num w:numId="12">
    <w:abstractNumId w:val="82954"/>
  </w:num>
  <w:num w:numId="13">
    <w:abstractNumId w:val="82955"/>
  </w:num>
  <w:num w:numId="14">
    <w:abstractNumId w:val="82956"/>
  </w:num>
  <w:num w:numId="15">
    <w:abstractNumId w:val="82957"/>
  </w:num>
  <w:num w:numId="16">
    <w:abstractNumId w:val="82958"/>
  </w:num>
  <w:num w:numId="17">
    <w:abstractNumId w:val="82959"/>
  </w:num>
  <w:num w:numId="18">
    <w:abstractNumId w:val="82960"/>
  </w:num>
  <w:num w:numId="19">
    <w:abstractNumId w:val="82961"/>
  </w:num>
  <w:num w:numId="20">
    <w:abstractNumId w:val="82962"/>
  </w:num>
  <w:num w:numId="21">
    <w:abstractNumId w:val="829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2026-04-08T02:27:32Z</dcterms:created>
  <dc:creator>Apache POI</dc:creator>
</cp:coreProperties>
</file>