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120" w:line="368" w:lineRule="atLeast"/>
        <w:jc w:val="center"/>
      </w:pPr>
      <w:r>
        <w:rPr>
          <w:rFonts w:ascii="Times New Roman" w:eastAsia="SimHei"/>
          <w:b/>
          <w:bCs/>
          <w:color w:val="000000"/>
          <w:sz w:val="32"/>
          <w:szCs w:val="32"/>
        </w:rPr>
        <w:t xml:space="preserve">面向PCB设计的大语言模型闭环验证引擎</w:t>
      </w:r>
    </w:p>
    <w:p>
      <w:pPr>
        <w:spacing w:after="160" w:line="300"/>
        <w:jc w:val="center"/>
      </w:pPr>
      <w:r>
        <w:rPr>
          <w:rFonts w:ascii="Times New Roman"/>
          <w:b/>
          <w:bCs/>
          <w:color w:val="000000"/>
          <w:sz w:val="26"/>
          <w:szCs w:val="26"/>
        </w:rPr>
        <w:t xml:space="preserve">A Closed-Loop Verification Engine for LLM-Assisted PCB Design</w:t>
      </w:r>
    </w:p>
    <w:p>
      <w:pPr>
        <w:spacing w:after="60" w:line="320"/>
        <w:jc w:val="center"/>
      </w:pPr>
      <w:r>
        <w:rPr>
          <w:rFonts w:ascii="Times New Roman" w:eastAsia="SimSun"/>
          <w:color w:val="000000"/>
          <w:sz w:val="24"/>
          <w:szCs w:val="24"/>
        </w:rPr>
        <w:t xml:space="preserve">【作者姓名】1，【合作者姓名】2，【指导教师姓名】1</w:t>
      </w:r>
    </w:p>
    <w:p>
      <w:pPr>
        <w:spacing w:after="60" w:line="300"/>
        <w:jc w:val="center"/>
      </w:pPr>
      <w:r>
        <w:rPr>
          <w:rFonts w:ascii="Times New Roman" w:eastAsia="SimSun"/>
          <w:color w:val="000000"/>
          <w:sz w:val="21"/>
          <w:szCs w:val="21"/>
        </w:rPr>
        <w:t xml:space="preserve">（1. 吉林大学 仪器电气学院，长春 130012；2. 【第二单位】）</w:t>
      </w:r>
    </w:p>
    <w:p>
      <w:pPr>
        <w:spacing w:after="160" w:line="300"/>
        <w:jc w:val="center"/>
      </w:pPr>
      <w:r>
        <w:rPr>
          <w:rFonts w:ascii="Times New Roman" w:eastAsia="SimSun"/>
          <w:color w:val="000000"/>
          <w:sz w:val="18"/>
          <w:szCs w:val="18"/>
        </w:rPr>
        <w:t xml:space="preserve">【基金项目：国家级大学生创新创业训练计划项目（编号待补）】　中图分类号：TN41　文献标识码：A</w:t>
      </w:r>
    </w:p>
    <w:p>
      <w:pPr>
        <w:spacing w:after="40" w:before="200" w:line="320"/>
        <w:jc w:val="both"/>
      </w:pPr>
      <w:r>
        <w:rPr>
          <w:rFonts w:ascii="Times New Roman" w:eastAsia="SimHei"/>
          <w:b/>
          <w:bCs/>
          <w:color w:val="000000"/>
          <w:sz w:val="21"/>
          <w:szCs w:val="21"/>
        </w:rPr>
        <w:t xml:space="preserve">摘　要：</w:t>
      </w:r>
      <w:r>
        <w:rPr>
          <w:rFonts w:ascii="Times New Roman" w:eastAsia="SimSun"/>
          <w:color w:val="000000"/>
          <w:sz w:val="21"/>
          <w:szCs w:val="21"/>
        </w:rPr>
        <w:t xml:space="preserve">大语言模型（LLM）正在进入印制电路板（PCB）辅助设计领域，但其生成建议中的幻觉问题——虚构非标称器件参数、给出违反载流与耐压等物理约束的危险变更——使其难以直接用于真实设计。针对这一问题，本文提出并实现了一个面向PCB设计的LLM闭环验证引擎：LLM生成的BOM变更建议必须经过由68条规则构成的设计规则检查（DRC）引擎复检，未通过的建议携带结构化修正反馈（新违规清单、修法指引与撤销语义）驱动LLM迭代修正，最多3轮；载流与阻抗等物理约束按IPC-2221/IPC-2141标准公式在本地确定性计算，不依赖LLM。在79个立创开源平台真实设计、395条三类模板请求驱动的建议上，以三臂对比评估：LLM直出（无验证）会把80条次blocking级违规引入23个设计；单次门（直出后一次性复检拒绝）使可采纳率降为74.2%；闭环验证在相同数据上将可采纳率恢复到94.2%（按板聚类bootstrap 95%置信区间89.8%～97.6%），blocking级残留为零，其中23条引入违规的建议全部经反馈后整体撤销（修正-保留型清除为0），39/120的收敛由撤销达成，修正-保留收敛率为61.7%。另以280次程序化缺陷注入单独评估规则引擎自身，检出率95.7%。结果表明，在规则与IPC公式覆盖域内，以确定性规则引擎为外部反馈源的闭环机制能够将LLM的危险变更隔离在设计之外，为LLM参与PCB设计提供了一条覆盖域内的可信化路径；其覆盖上界受规则召回率限制，跨模型一致性与真实开放请求下的有效性有待进一步验证。</w:t>
      </w:r>
    </w:p>
    <w:p>
      <w:pPr>
        <w:spacing w:after="160" w:line="320"/>
        <w:jc w:val="both"/>
      </w:pPr>
      <w:r>
        <w:rPr>
          <w:rFonts w:ascii="Times New Roman" w:eastAsia="SimHei"/>
          <w:b/>
          <w:bCs/>
          <w:color w:val="000000"/>
          <w:sz w:val="21"/>
          <w:szCs w:val="21"/>
        </w:rPr>
        <w:t xml:space="preserve">关键词：</w:t>
      </w:r>
      <w:r>
        <w:rPr>
          <w:rFonts w:ascii="Times New Roman" w:eastAsia="SimSun"/>
          <w:color w:val="000000"/>
          <w:sz w:val="21"/>
          <w:szCs w:val="21"/>
        </w:rPr>
        <w:t xml:space="preserve">印制电路板；大语言模型；设计规则检查；闭环验证；多智能体系统；幻觉抑制</w:t>
      </w:r>
    </w:p>
    <w:p>
      <w:pPr>
        <w:spacing w:after="40" w:line="300"/>
        <w:jc w:val="both"/>
      </w:pPr>
      <w:r>
        <w:rPr>
          <w:rFonts w:ascii="Times New Roman"/>
          <w:b/>
          <w:bCs/>
          <w:color w:val="000000"/>
          <w:sz w:val="21"/>
          <w:szCs w:val="21"/>
        </w:rPr>
        <w:t xml:space="preserve">Abstract: </w:t>
      </w:r>
      <w:r>
        <w:rPr>
          <w:rFonts w:ascii="Times New Roman"/>
          <w:color w:val="000000"/>
          <w:sz w:val="21"/>
          <w:szCs w:val="21"/>
        </w:rPr>
        <w:t xml:space="preserve">Large language models (LLMs) are entering the domain of printed circuit board (PCB) design assistance, yet hallucinations in their suggestions, such as fabricated non-standard component parameters and dangerous changes violating current-carrying or voltage-rating constraints, prevent direct use in real designs. This paper proposes and implements a closed-loop verification engine for LLM-assisted PCB design: every LLM-generated BOM change must pass re-examination by a design rule checking (DRC) engine of 68 rules; failed suggestions are returned to the LLM with structured correction feedback (violation list, fixing guidance, and revert semantics) for iterative refinement within three rounds; current-carrying and impedance constraints are computed deterministically from IPC-2221/IPC-2141 standard formulas without LLM involvement. On 79 real open-source designs with 395 suggestions driven by three template request types, a three-arm comparison shows that direct LLM output without verification would introduce 80 blocking-level violations into 23 designs; a single-pass gate reduces the adoption rate to 74.2%; the closed loop restores it to 94.2% (design-clustered bootstrap 95% CI 89.8%-97.6%) with zero blocking-level residual, where all 23 violation-introducing suggestions converge via full reversion (zero via fix-and-keep), reversion accounts for 39/120 convergences, and the fix-and-keep convergence rate is 61.7%. A separate 280-case programmatic defect injection assesses the rule engine itself at a 95.7% detection rate. Within the coverage of the rules and IPC formulas, the closed loop with a deterministic external feedback source isolates dangerous LLM changes from real designs, offering a trustworthiness path whose upper bound is limited by rule recall; cross-model consistency and effectiveness under open-ended real requests remain to be verified.</w:t>
      </w:r>
    </w:p>
    <w:p>
      <w:pPr>
        <w:spacing w:after="200" w:line="300"/>
        <w:jc w:val="both"/>
      </w:pPr>
      <w:r>
        <w:rPr>
          <w:rFonts w:ascii="Times New Roman"/>
          <w:b/>
          <w:bCs/>
          <w:color w:val="000000"/>
          <w:sz w:val="21"/>
          <w:szCs w:val="21"/>
        </w:rPr>
        <w:t xml:space="preserve">Key words: </w:t>
      </w:r>
      <w:r>
        <w:rPr>
          <w:rFonts w:ascii="Times New Roman"/>
          <w:color w:val="000000"/>
          <w:sz w:val="21"/>
          <w:szCs w:val="21"/>
        </w:rPr>
        <w:t xml:space="preserve">printed circuit board; large language model; design rule checking; closed-loop verification; multi-agent system; hallucination suppression</w:t>
      </w:r>
    </w:p>
    <w:p>
      <w:pPr>
        <w:pStyle w:val="Heading1"/>
        <w:keepNext/>
        <w:spacing w:after="200" w:before="360" w:line="360"/>
      </w:pPr>
      <w:r>
        <w:rPr>
          <w:rFonts w:ascii="Times New Roman" w:eastAsia="SimHei"/>
          <w:b/>
          <w:bCs/>
          <w:color w:val="000000"/>
          <w:sz w:val="30"/>
          <w:szCs w:val="30"/>
        </w:rPr>
        <w:t xml:space="preserve">1　引言</w:t>
      </w:r>
    </w:p>
    <w:p>
      <w:pPr>
        <w:spacing w:after="0" w:before="0" w:line="360"/>
        <w:ind w:firstLine="480"/>
        <w:jc w:val="both"/>
      </w:pPr>
      <w:r>
        <w:rPr>
          <w:rFonts w:ascii="Times New Roman" w:eastAsia="SimSun"/>
          <w:color w:val="000000"/>
          <w:sz w:val="24"/>
          <w:szCs w:val="24"/>
        </w:rPr>
        <w:t xml:space="preserve">印制电路板（Printed Circuit Board, PCB）是电子系统的物理载体，其设计质量直接决定产品的电气性能、可靠性与可制造性。近年来，以立创EDA[1]为代表的免费云端EDA工具与活跃的开源硬件社区大幅降低了PCB设计门槛，大量学生、创客与中小团队得以独立完成从原理图到布局布线的全流程设计。然而设计门槛的降低并未同步降低审查门槛：商用EDA的DRC（Design Rule Checking）与DFM（Design for Manufacturing）分析集中于几何制造规则，而器件选型是否合规、去耦网络是否完整、保护电路是否缺失等电路语义层面的审查，仍然高度依赖有经验工程师的人工复核，成为开源硬件设计质量的突出短板。</w:t>
      </w:r>
    </w:p>
    <w:p>
      <w:pPr>
        <w:spacing w:after="0" w:before="0" w:line="360"/>
        <w:ind w:firstLine="480"/>
        <w:jc w:val="both"/>
      </w:pPr>
      <w:r>
        <w:rPr>
          <w:rFonts w:ascii="Times New Roman" w:eastAsia="SimSun"/>
          <w:color w:val="000000"/>
          <w:sz w:val="24"/>
          <w:szCs w:val="24"/>
        </w:rPr>
        <w:t xml:space="preserve">大语言模型（Large Language Model, LLM）凭借广泛的电子学知识与自然语言交互能力，为自动化设计审查提供了新的可能：用户以口语化中文描述需求，LLM即可生成器件替换、参数调整、网络增删等结构化设计建议。但LLM的幻觉问题[2]在物理设计域尤为危险：模型可能虚构不存在的标准电阻值或封装，推荐耐压不足的电容，甚至建议删除TVS保护器件或以过细走线承载大电流。此类建议一旦未经校验直接进入设计，后果是板卡烧毁、认证失败等真实物理损失。已有研究表明，LLM在缺乏外部反馈的情况下难以通过自我反思可靠纠错[3]，因此让LLM安全参与PCB设计的关键，在于为其配备确定性的外部验证器并构成修正闭环。</w:t>
      </w:r>
    </w:p>
    <w:p>
      <w:pPr>
        <w:spacing w:after="0" w:before="0" w:line="360"/>
        <w:ind w:firstLine="480"/>
        <w:jc w:val="both"/>
      </w:pPr>
      <w:r>
        <w:rPr>
          <w:rFonts w:ascii="Times New Roman" w:eastAsia="SimSun"/>
          <w:color w:val="000000"/>
          <w:sz w:val="24"/>
          <w:szCs w:val="24"/>
        </w:rPr>
        <w:t xml:space="preserve">现有LLM辅助EDA的研究主要面向IC设计流程[4]：ChipNeMo通过领域适配增强LLM的芯片设计问答与脚本生成能力[5]，ChatEDA以LLM为控制器编排EDA工具完成RTL到GDSII流程[6]，EDAid则用多个领域微调模型协作生成流程脚本[7]。这些工作的验证环节依赖成熟IC工具链，其经验难以直接迁移到PCB级：PCB设计数据异构（BOM、网表、几何多源并存），审查规则体系以IPC标准与器件语义为主而非IC工艺规则，且LLM在PCB域的产出形态是建议级的BOM/参数变更而非可执行脚本，尚缺乏与之配套的验证-反馈-修正闭环机制——PCB级LLM应用目前以商用工具的辅助问答与初步评测基准为主[8-11]，建议级闭环验证仍是空白点。</w:t>
      </w:r>
    </w:p>
    <w:p>
      <w:pPr>
        <w:spacing w:after="0" w:before="0" w:line="360"/>
        <w:ind w:firstLine="480"/>
        <w:jc w:val="both"/>
      </w:pPr>
      <w:r>
        <w:rPr>
          <w:rFonts w:ascii="Times New Roman" w:eastAsia="SimSun"/>
          <w:color w:val="000000"/>
          <w:sz w:val="24"/>
          <w:szCs w:val="24"/>
        </w:rPr>
        <w:t xml:space="preserve">针对上述空白，本文提出并实现了一个面向PCB设计的LLM闭环验证引擎，主要工作包括三方面：（1）闭环验证架构：将LLM建议生成与本地DRC规则引擎（68条）构成建议-检查-反馈-修正的迭代闭环，并以直出、单次门、闭环三臂对比与建议级流向分解评估其有效性；（2）电路计算增强验证：载流能力、特征阻抗等物理约束按IPC-2221/IPC-2141标准公式在本地确定性计算，零LLM依赖，从机制上排除该类幻觉进入设计的通道；（3）领域画像辅助：五个领域审查智能体对设计进行并行复审并输出六维相对质量画像。需要说明的是，本文的全部有效性主张限定于规则与IPC公式的覆盖域内：验证器的召回上界（缺陷注入实测检出率95.7%）同时是闭环隔离能力的上界，这一点在结果与讨论中显式量化。在79个真实开源设计、395条建议的实验中，闭环将直出会引入的80条次blocking级违规全部隔离，同时把可采纳率从单次门的74.2%恢复到94.2%。</w:t>
      </w:r>
    </w:p>
    <w:p>
      <w:pPr>
        <w:pStyle w:val="Heading1"/>
        <w:keepNext/>
        <w:spacing w:after="200" w:before="360" w:line="360"/>
      </w:pPr>
      <w:r>
        <w:rPr>
          <w:rFonts w:ascii="Times New Roman" w:eastAsia="SimHei"/>
          <w:b/>
          <w:bCs/>
          <w:color w:val="000000"/>
          <w:sz w:val="30"/>
          <w:szCs w:val="30"/>
        </w:rPr>
        <w:t xml:space="preserve">2　相关工作</w:t>
      </w:r>
    </w:p>
    <w:p>
      <w:pPr>
        <w:pStyle w:val="Heading2"/>
        <w:keepNext/>
        <w:spacing w:after="140" w:before="280" w:line="360"/>
      </w:pPr>
      <w:r>
        <w:rPr>
          <w:rFonts w:ascii="Times New Roman" w:eastAsia="SimHei"/>
          <w:b/>
          <w:bCs/>
          <w:color w:val="000000"/>
          <w:sz w:val="28"/>
          <w:szCs w:val="28"/>
        </w:rPr>
        <w:t xml:space="preserve">2.1　EDA与PCB设计中的LLM应用</w:t>
      </w:r>
    </w:p>
    <w:p>
      <w:pPr>
        <w:spacing w:after="0" w:before="0" w:line="360"/>
        <w:ind w:firstLine="480"/>
        <w:jc w:val="both"/>
      </w:pPr>
      <w:r>
        <w:rPr>
          <w:rFonts w:ascii="Times New Roman" w:eastAsia="SimSun"/>
          <w:color w:val="000000"/>
          <w:sz w:val="24"/>
          <w:szCs w:val="24"/>
        </w:rPr>
        <w:t xml:space="preserve">LLM与EDA的结合是近两年的研究热点[4]。ChipNeMo在通用LLM基础上进行领域继续预训练与适配，在工程问答与脚本生成任务上超过通用模型[5]；ChatEDA构建了以LLM为核心的自主智能体，将EDA工具作为执行器完成流程自动化[6]；EDAid提出发散思考、共同目标的多智能体协作范式生成EDA流程脚本[7]。这些工作面向IC流程脚本，以IC工具链为验证器。在PCB层面：Cadence Allegro X AI将机器学习用于布线与Placement辅助[8]，Siemens Valor NPI等DFM/DFV分析系统在制造规则层面已高度成熟[9]，立创EDA等国产工具开始引入AI问答能力[1]；学术侧，PCB-Bench[10]与PCB-QA[11]最近开始构建面向PCB知识的LLM评测问卷。与这些工作不同，本文的产出形态是BOM级的结构化设计建议而非问答或脚本，核心问题是建议级变更的验证-反馈-修正闭环；相对DFM/DFV系统覆盖制造几何分析，本文聚焦器件参数语义与IPC物理约束的审查，并给出LLM建议的守门与迭代机制。</w:t>
      </w:r>
    </w:p>
    <w:p>
      <w:pPr>
        <w:pStyle w:val="Heading2"/>
        <w:keepNext/>
        <w:spacing w:after="140" w:before="280" w:line="360"/>
      </w:pPr>
      <w:r>
        <w:rPr>
          <w:rFonts w:ascii="Times New Roman" w:eastAsia="SimHei"/>
          <w:b/>
          <w:bCs/>
          <w:color w:val="000000"/>
          <w:sz w:val="28"/>
          <w:szCs w:val="28"/>
        </w:rPr>
        <w:t xml:space="preserve">2.2　LLM幻觉缓解与迭代修正</w:t>
      </w:r>
    </w:p>
    <w:p>
      <w:pPr>
        <w:spacing w:after="0" w:before="0" w:line="360"/>
        <w:ind w:firstLine="480"/>
        <w:jc w:val="both"/>
      </w:pPr>
      <w:r>
        <w:rPr>
          <w:rFonts w:ascii="Times New Roman" w:eastAsia="SimSun"/>
          <w:color w:val="000000"/>
          <w:sz w:val="24"/>
          <w:szCs w:val="24"/>
        </w:rPr>
        <w:t xml:space="preserve">针对LLM幻觉与错误输出，主流思路可分为四类。其一为提示与解码策略，如思维树[12]、链式验证（Chain-of-Verification）[13]与SelfCheckGPT的采样一致性自检[14]；其二为自我修正，Self-Debug让模型依据自身执行反馈迭代修正代码[15]，Reflexion以语言化强化信号记忆历史失败[16]，Self-Refine建立通用自反馈迭代框架[17]；其三为工具交互修正，CRITIC主张让外部工具的评判信号驱动修正，其作者明确指出纯自我修正不可靠[18]；其四为多智能体协作评审[19]。Huang等人的系统实验进一步表明，LLM在没有外部可靠反馈的情况下难以真正自我纠错[3]。这些结论与本文的设计选择一致：可靠的修正闭环必须引入外部确定性验证源，本文将其落实为DRC规则引擎与IPC标准计算，并以验证器在环的迭代修正循环（区别于ReAct[20]的自主行动选择范式）组织LLM与验证器的交互。相对上述方法，本文的增量在于：将工具交互修正应用于PCB设计域，并针对该域设计了结构化修正反馈的四要素（违规清单、恶化对比、修法指引、撤销语义），其中把全部撤销（空变更集）纳入合法收敛终态是工程上被发现不可或缺的设计。</w:t>
      </w:r>
    </w:p>
    <w:p>
      <w:pPr>
        <w:pStyle w:val="Heading2"/>
        <w:keepNext/>
        <w:spacing w:after="140" w:before="280" w:line="360"/>
      </w:pPr>
      <w:r>
        <w:rPr>
          <w:rFonts w:ascii="Times New Roman" w:eastAsia="SimHei"/>
          <w:b/>
          <w:bCs/>
          <w:color w:val="000000"/>
          <w:sz w:val="28"/>
          <w:szCs w:val="28"/>
        </w:rPr>
        <w:t xml:space="preserve">2.3　设计规则检查与标准计算</w:t>
      </w:r>
    </w:p>
    <w:p>
      <w:pPr>
        <w:spacing w:after="0" w:before="0" w:line="360"/>
        <w:ind w:firstLine="480"/>
        <w:jc w:val="both"/>
      </w:pPr>
      <w:r>
        <w:rPr>
          <w:rFonts w:ascii="Times New Roman" w:eastAsia="SimSun"/>
          <w:color w:val="000000"/>
          <w:sz w:val="24"/>
          <w:szCs w:val="24"/>
        </w:rPr>
        <w:t xml:space="preserve">DRC是EDA的传统支柱，商用工具已高度成熟，但传统DRC以布线几何与制造规则为主，不覆盖器件参数语义（如电容耐压降额、电感饱和电流）。PCB级的物理设计约束由IPC标准体系规定：IPC-2221给出了印制板通用设计要求，其载流能力图表公式将线宽、铜厚、温升与允许电流联系起来[21]；IPC-2152以更系统的实验数据取代了IPC-2221的载流图表[22]；IPC-2141给出了受控阻抗电路板的设计指南，提供微带线等典型结构的特征阻抗计算式[23]。本文将IPC-2221图表公式与IPC-2141计算式实现为本地确定性计算模块（选型论证见3.4节），与规则引擎共同构成LLM建议的外部验证器，并以BERT类预训练语言模型[24]承担中文意图识别，实现本地小模型与云端LLM的混合推理架构。国内学者对LLM幻觉的来源、评估与缓解亦有系统性综述[2]，本文的量化口径（blocking级新增违规与消除分解）可为该方向提供一个领域实例。</w:t>
      </w:r>
    </w:p>
    <w:p>
      <w:pPr>
        <w:pStyle w:val="Heading1"/>
        <w:keepNext/>
        <w:spacing w:after="200" w:before="360" w:line="360"/>
      </w:pPr>
      <w:r>
        <w:rPr>
          <w:rFonts w:ascii="Times New Roman" w:eastAsia="SimHei"/>
          <w:b/>
          <w:bCs/>
          <w:color w:val="000000"/>
          <w:sz w:val="30"/>
          <w:szCs w:val="30"/>
        </w:rPr>
        <w:t xml:space="preserve">3　闭环验证引擎设计</w:t>
      </w:r>
    </w:p>
    <w:p>
      <w:pPr>
        <w:pStyle w:val="Heading2"/>
        <w:keepNext/>
        <w:spacing w:after="140" w:before="280" w:line="360"/>
      </w:pPr>
      <w:r>
        <w:rPr>
          <w:rFonts w:ascii="Times New Roman" w:eastAsia="SimHei"/>
          <w:b/>
          <w:bCs/>
          <w:color w:val="000000"/>
          <w:sz w:val="28"/>
          <w:szCs w:val="28"/>
        </w:rPr>
        <w:t xml:space="preserve">3.1　总体架构</w:t>
      </w:r>
    </w:p>
    <w:p>
      <w:pPr>
        <w:spacing w:after="0" w:before="0" w:line="360"/>
        <w:ind w:firstLine="480"/>
        <w:jc w:val="both"/>
      </w:pPr>
      <w:r>
        <w:rPr>
          <w:rFonts w:ascii="Times New Roman" w:eastAsia="SimSun"/>
          <w:color w:val="000000"/>
          <w:sz w:val="24"/>
          <w:szCs w:val="24"/>
        </w:rPr>
        <w:t xml:space="preserve">引擎总体架构如图1所示，自上而下分为五层。输入层接收立创EDA工程文件（原理图、BOM与PCB几何数据）及用户的中文自然语言请求；解析层将工程解析为统一的PCB数据模型（器件清单、网络关联、几何与叠层信息），并由本地部署的BERT类小模型完成意图识别，将请求分流为设计审查与知识问答两类，仅前者进入验证流程。核心层为闭环验证引擎：LLM建议引擎生成的BOM变更建议先经结构化解析与风险预检（预检仅对高风险模式打标提示、不直接否决，全部否决均由复检承担），再交由DRC规则引擎复检；复检引入的新违规通过结构化修正反馈回传LLM迭代修正，通过复检的建议方可进入下游。审查层由五个领域智能体并行复审，输出层汇聚六维评分画像与结构化审查报告。</w:t>
      </w:r>
    </w:p>
    <w:p>
      <w:pPr>
        <w:spacing w:after="0" w:before="0" w:line="360"/>
        <w:ind w:firstLine="480"/>
        <w:jc w:val="both"/>
      </w:pPr>
      <w:r>
        <w:rPr>
          <w:rFonts w:ascii="Times New Roman" w:eastAsia="SimSun"/>
          <w:color w:val="000000"/>
          <w:sz w:val="24"/>
          <w:szCs w:val="24"/>
        </w:rPr>
        <w:t xml:space="preserve">该架构遵循两条设计原则。其一是守门语义：任何LLM建议在通过DRC复检之前不得进入设计数据，验证失败的建议可被部分或整体撤销，使LLM的错误输出被隔离在真实设计之外——需要强调，该隔离的覆盖范围以规则引擎与IPC公式的判定面为上界（见4.5节漏检率），超出覆盖面的危险变更不在此保证之内。其二是本地与云端混合：意图识别、规则检查与物理计算全部在本地毫秒级完成且结果确定，仅建议生成与修正两个环节调用云端LLM，既控制了时延与成本，也保证了验证环节本身不受LLM幻觉影响。</w:t>
      </w:r>
    </w:p>
    <w:p>
      <w:pPr>
        <w:keepNext/>
        <w:spacing w:before="160"/>
        <w:jc w:val="center"/>
      </w:pPr>
      <w:r>
        <w:drawing>
          <wp:inline distT="0" distB="0" distL="0" distR="0">
            <wp:extent cx="5334000" cy="3514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514725"/>
                    </a:xfrm>
                    <a:prstGeom prst="rect">
                      <a:avLst/>
                    </a:prstGeom>
                  </pic:spPr>
                </pic:pic>
              </a:graphicData>
            </a:graphic>
          </wp:inline>
        </w:drawing>
      </w:r>
    </w:p>
    <w:p>
      <w:pPr>
        <w:spacing w:after="200" w:before="60" w:line="300"/>
        <w:jc w:val="center"/>
      </w:pPr>
      <w:r>
        <w:rPr>
          <w:rFonts w:ascii="Times New Roman" w:eastAsia="SimSun"/>
          <w:color w:val="000000"/>
          <w:sz w:val="21"/>
          <w:szCs w:val="21"/>
        </w:rPr>
        <w:t xml:space="preserve">图1　闭环验证引擎总体架构</w:t>
      </w:r>
    </w:p>
    <w:p>
      <w:pPr>
        <w:pStyle w:val="Heading2"/>
        <w:keepNext/>
        <w:spacing w:after="140" w:before="280" w:line="360"/>
      </w:pPr>
      <w:r>
        <w:rPr>
          <w:rFonts w:ascii="Times New Roman" w:eastAsia="SimHei"/>
          <w:b/>
          <w:bCs/>
          <w:color w:val="000000"/>
          <w:sz w:val="28"/>
          <w:szCs w:val="28"/>
        </w:rPr>
        <w:t xml:space="preserve">3.2　规则体系</w:t>
      </w:r>
    </w:p>
    <w:p>
      <w:pPr>
        <w:spacing w:after="0" w:before="0" w:line="360"/>
        <w:ind w:firstLine="480"/>
        <w:jc w:val="both"/>
      </w:pPr>
      <w:r>
        <w:rPr>
          <w:rFonts w:ascii="Times New Roman" w:eastAsia="SimSun"/>
          <w:color w:val="000000"/>
          <w:sz w:val="24"/>
          <w:szCs w:val="24"/>
        </w:rPr>
        <w:t xml:space="preserve">规则引擎共实现68条规则，按检查对象分为三个模块：器件参数类37条（BOM模块），检查电容耐压降额、电阻功率降额、电感饱和电流、非标称参数值、封装一致性等；几何类21条，检查走线宽度、板边间距、差分对间距、安装孔禁区等；布局类10条，检查去耦电容距离、晶振布局、温度敏感元件布局等。规则体系构成如表1所示。</w:t>
      </w:r>
    </w:p>
    <w:p>
      <w:pPr>
        <w:spacing w:after="0" w:before="0" w:line="360"/>
        <w:ind w:firstLine="480"/>
        <w:jc w:val="both"/>
      </w:pPr>
      <w:r>
        <w:rPr>
          <w:rFonts w:ascii="Times New Roman" w:eastAsia="SimSun"/>
          <w:color w:val="000000"/>
          <w:sz w:val="24"/>
          <w:szCs w:val="24"/>
        </w:rPr>
        <w:t xml:space="preserve">工程实践中，规则进一步区分为判定类与提示类两级：判定类规则（51条）对当前板卡构成可证伪的判定，其检出可直接用于统计精确率；提示类规则（17条，如PDN目标阻抗分析、丝印可读性）在缺少网络关联等数据时只输出设计提示，不构成检出能力。这一区分避免了高频泛报的提示类规则稀释验证信号。每条违规输出三元组（规则名、严重度、修法指引），严重度分为error、warning、info三级，其中error与warning合称blocking级，构成闭环收敛的判定基础，修法指引则直接进入修正反馈提示。需要说明验证覆盖的不对称性：4.5节的程序化缺陷注入仅覆盖器件参数类规则，几何类与布局类规则以判定类静态检查身份参与复检，但未做独立的注入验证——本文的实验证据以BOM语义验证为主、几何/布局验证为辅，后者的系统评估是后续工作。</w:t>
      </w:r>
    </w:p>
    <w:p>
      <w:pPr>
        <w:keepNext/>
        <w:spacing w:after="80" w:before="200" w:line="300"/>
        <w:jc w:val="center"/>
      </w:pPr>
      <w:r>
        <w:rPr>
          <w:rFonts w:ascii="Times New Roman" w:eastAsia="SimSun"/>
          <w:color w:val="000000"/>
          <w:sz w:val="21"/>
          <w:szCs w:val="21"/>
        </w:rPr>
        <w:t xml:space="preserve">表1　DRC规则体系构成</w:t>
      </w:r>
    </w:p>
    <w:tbl>
      <w:tblPr>
        <w:tblW w:type="pct" w:w="5000"/>
        <w:tblBorders>
          <w:top w:val="single" w:color="000000" w:sz="6"/>
          <w:left w:val="none" w:color="FFFFFF" w:sz="0"/>
          <w:bottom w:val="single" w:color="000000" w:sz="6"/>
          <w:right w:val="none" w:color="FFFFFF" w:sz="0"/>
          <w:insideH w:val="none" w:color="FFFFFF" w:sz="0"/>
          <w:insideV w:val="none" w:color="FFFFFF" w:sz="0"/>
        </w:tblBorders>
      </w:tblPr>
      <w:tblGrid>
        <w:gridCol w:w="2636"/>
        <w:gridCol w:w="879"/>
        <w:gridCol w:w="2988"/>
        <w:gridCol w:w="2285"/>
      </w:tblGrid>
      <w:tr>
        <w:trPr>
          <w:cantSplit/>
          <w:tblHeader/>
        </w:trPr>
        <w:tc>
          <w:tcPr>
            <w:tcW w:type="pct" w:w="1500"/>
            <w:tcBorders>
              <w:top w:val="single" w:color="000000" w:sz="6"/>
              <w:left w:val="none" w:color="FFFFFF" w:sz="0"/>
              <w:bottom w:val="single" w:color="000000" w:sz="4"/>
              <w:right w:val="none" w:color="FFFFFF" w:sz="0"/>
            </w:tcBorders>
            <w:tcMar>
              <w:top w:type="dxa" w:w="60"/>
              <w:left w:type="dxa" w:w="100"/>
              <w:bottom w:type="dxa" w:w="60"/>
              <w:right w:type="dxa" w:w="100"/>
            </w:tcMar>
          </w:tcPr>
          <w:p>
            <w:pPr>
              <w:spacing w:line="300"/>
              <w:jc w:val="center"/>
            </w:pPr>
            <w:r>
              <w:rPr>
                <w:rFonts w:ascii="Times New Roman" w:eastAsia="SimSun"/>
                <w:b/>
                <w:bCs/>
                <w:color w:val="000000"/>
                <w:sz w:val="21"/>
                <w:szCs w:val="21"/>
              </w:rPr>
              <w:t xml:space="preserve">规则模块</w:t>
            </w:r>
          </w:p>
        </w:tc>
        <w:tc>
          <w:tcPr>
            <w:tcW w:type="pct" w:w="500"/>
            <w:tcBorders>
              <w:top w:val="single" w:color="000000" w:sz="6"/>
              <w:left w:val="none" w:color="FFFFFF" w:sz="0"/>
              <w:bottom w:val="single" w:color="000000" w:sz="4"/>
              <w:right w:val="none" w:color="FFFFFF" w:sz="0"/>
            </w:tcBorders>
            <w:tcMar>
              <w:top w:type="dxa" w:w="60"/>
              <w:left w:type="dxa" w:w="100"/>
              <w:bottom w:type="dxa" w:w="60"/>
              <w:right w:type="dxa" w:w="100"/>
            </w:tcMar>
          </w:tcPr>
          <w:p>
            <w:pPr>
              <w:spacing w:line="300"/>
              <w:jc w:val="center"/>
            </w:pPr>
            <w:r>
              <w:rPr>
                <w:rFonts w:ascii="Times New Roman" w:eastAsia="SimSun"/>
                <w:b/>
                <w:bCs/>
                <w:color w:val="000000"/>
                <w:sz w:val="21"/>
                <w:szCs w:val="21"/>
              </w:rPr>
              <w:t xml:space="preserve">条数</w:t>
            </w:r>
          </w:p>
        </w:tc>
        <w:tc>
          <w:tcPr>
            <w:tcW w:type="pct" w:w="1700"/>
            <w:tcBorders>
              <w:top w:val="single" w:color="000000" w:sz="6"/>
              <w:left w:val="none" w:color="FFFFFF" w:sz="0"/>
              <w:bottom w:val="single" w:color="000000" w:sz="4"/>
              <w:right w:val="none" w:color="FFFFFF" w:sz="0"/>
            </w:tcBorders>
            <w:tcMar>
              <w:top w:type="dxa" w:w="60"/>
              <w:left w:type="dxa" w:w="100"/>
              <w:bottom w:type="dxa" w:w="60"/>
              <w:right w:type="dxa" w:w="100"/>
            </w:tcMar>
          </w:tcPr>
          <w:p>
            <w:pPr>
              <w:spacing w:line="300"/>
              <w:jc w:val="center"/>
            </w:pPr>
            <w:r>
              <w:rPr>
                <w:rFonts w:ascii="Times New Roman" w:eastAsia="SimSun"/>
                <w:b/>
                <w:bCs/>
                <w:color w:val="000000"/>
                <w:sz w:val="21"/>
                <w:szCs w:val="21"/>
              </w:rPr>
              <w:t xml:space="preserve">典型规则</w:t>
            </w:r>
          </w:p>
        </w:tc>
        <w:tc>
          <w:tcPr>
            <w:tcW w:type="pct" w:w="1300"/>
            <w:tcBorders>
              <w:top w:val="single" w:color="000000" w:sz="6"/>
              <w:left w:val="none" w:color="FFFFFF" w:sz="0"/>
              <w:bottom w:val="single" w:color="000000" w:sz="4"/>
              <w:right w:val="none" w:color="FFFFFF" w:sz="0"/>
            </w:tcBorders>
            <w:tcMar>
              <w:top w:type="dxa" w:w="60"/>
              <w:left w:type="dxa" w:w="100"/>
              <w:bottom w:type="dxa" w:w="60"/>
              <w:right w:type="dxa" w:w="100"/>
            </w:tcMar>
          </w:tcPr>
          <w:p>
            <w:pPr>
              <w:spacing w:line="300"/>
              <w:jc w:val="center"/>
            </w:pPr>
            <w:r>
              <w:rPr>
                <w:rFonts w:ascii="Times New Roman" w:eastAsia="SimSun"/>
                <w:b/>
                <w:bCs/>
                <w:color w:val="000000"/>
                <w:sz w:val="21"/>
                <w:szCs w:val="21"/>
              </w:rPr>
              <w:t xml:space="preserve">示例违规语义</w:t>
            </w:r>
          </w:p>
        </w:tc>
      </w:tr>
      <w:tr>
        <w:trPr>
          <w:cantSplit/>
        </w:trPr>
        <w:tc>
          <w:tcPr>
            <w:tcW w:type="pct" w:w="15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left"/>
            </w:pPr>
            <w:r>
              <w:rPr>
                <w:rFonts w:ascii="Times New Roman" w:eastAsia="SimSun"/>
                <w:color w:val="000000"/>
                <w:sz w:val="21"/>
                <w:szCs w:val="21"/>
              </w:rPr>
              <w:t xml:space="preserve">器件参数类（BOM）</w:t>
            </w:r>
          </w:p>
        </w:tc>
        <w:tc>
          <w:tcPr>
            <w:tcW w:type="pct" w:w="5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37</w:t>
            </w:r>
          </w:p>
        </w:tc>
        <w:tc>
          <w:tcPr>
            <w:tcW w:type="pct" w:w="17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电容耐压降额、电阻功率降额、电感饱和电流、参数范围</w:t>
            </w:r>
          </w:p>
        </w:tc>
        <w:tc>
          <w:tcPr>
            <w:tcW w:type="pct" w:w="13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器件参数违反物理约束或非标称值</w:t>
            </w:r>
          </w:p>
        </w:tc>
      </w:tr>
      <w:tr>
        <w:trPr>
          <w:cantSplit/>
        </w:trPr>
        <w:tc>
          <w:tcPr>
            <w:tcW w:type="pct" w:w="15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left"/>
            </w:pPr>
            <w:r>
              <w:rPr>
                <w:rFonts w:ascii="Times New Roman" w:eastAsia="SimSun"/>
                <w:color w:val="000000"/>
                <w:sz w:val="21"/>
                <w:szCs w:val="21"/>
              </w:rPr>
              <w:t xml:space="preserve">几何类</w:t>
            </w:r>
          </w:p>
        </w:tc>
        <w:tc>
          <w:tcPr>
            <w:tcW w:type="pct" w:w="5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21</w:t>
            </w:r>
          </w:p>
        </w:tc>
        <w:tc>
          <w:tcPr>
            <w:tcW w:type="pct" w:w="17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电源线载流、走线宽度、板边间距、差分对间距</w:t>
            </w:r>
          </w:p>
        </w:tc>
        <w:tc>
          <w:tcPr>
            <w:tcW w:type="pct" w:w="13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几何尺寸违反制造与载流约束</w:t>
            </w:r>
          </w:p>
        </w:tc>
      </w:tr>
      <w:tr>
        <w:trPr>
          <w:cantSplit/>
        </w:trPr>
        <w:tc>
          <w:tcPr>
            <w:tcW w:type="pct" w:w="15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left"/>
            </w:pPr>
            <w:r>
              <w:rPr>
                <w:rFonts w:ascii="Times New Roman" w:eastAsia="SimSun"/>
                <w:color w:val="000000"/>
                <w:sz w:val="21"/>
                <w:szCs w:val="21"/>
              </w:rPr>
              <w:t xml:space="preserve">布局类</w:t>
            </w:r>
          </w:p>
        </w:tc>
        <w:tc>
          <w:tcPr>
            <w:tcW w:type="pct" w:w="5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10</w:t>
            </w:r>
          </w:p>
        </w:tc>
        <w:tc>
          <w:tcPr>
            <w:tcW w:type="pct" w:w="17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去耦电容距离、晶振布局、温度敏感元件布局</w:t>
            </w:r>
          </w:p>
        </w:tc>
        <w:tc>
          <w:tcPr>
            <w:tcW w:type="pct" w:w="13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布局位置违反设计准则</w:t>
            </w:r>
          </w:p>
        </w:tc>
      </w:tr>
      <w:tr>
        <w:trPr>
          <w:cantSplit/>
        </w:trPr>
        <w:tc>
          <w:tcPr>
            <w:tcW w:type="pct" w:w="1500"/>
            <w:tcBorders>
              <w:top w:val="none" w:color="FFFFFF" w:sz="0"/>
              <w:left w:val="none" w:color="FFFFFF" w:sz="0"/>
              <w:bottom w:val="single" w:color="000000" w:sz="6"/>
              <w:right w:val="none" w:color="FFFFFF" w:sz="0"/>
            </w:tcBorders>
            <w:tcMar>
              <w:top w:type="dxa" w:w="50"/>
              <w:left w:type="dxa" w:w="100"/>
              <w:bottom w:type="dxa" w:w="50"/>
              <w:right w:type="dxa" w:w="100"/>
            </w:tcMar>
          </w:tcPr>
          <w:p>
            <w:pPr>
              <w:spacing w:line="300"/>
              <w:jc w:val="left"/>
            </w:pPr>
            <w:r>
              <w:rPr>
                <w:rFonts w:ascii="Times New Roman" w:eastAsia="SimSun"/>
                <w:color w:val="000000"/>
                <w:sz w:val="21"/>
                <w:szCs w:val="21"/>
              </w:rPr>
              <w:t xml:space="preserve">合计（判定类51 / 提示类17）</w:t>
            </w:r>
          </w:p>
        </w:tc>
        <w:tc>
          <w:tcPr>
            <w:tcW w:type="pct" w:w="500"/>
            <w:tcBorders>
              <w:top w:val="none" w:color="FFFFFF" w:sz="0"/>
              <w:left w:val="none" w:color="FFFFFF" w:sz="0"/>
              <w:bottom w:val="single" w:color="000000" w:sz="6"/>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68</w:t>
            </w:r>
          </w:p>
        </w:tc>
        <w:tc>
          <w:tcPr>
            <w:tcW w:type="pct" w:w="1700"/>
            <w:tcBorders>
              <w:top w:val="none" w:color="FFFFFF" w:sz="0"/>
              <w:left w:val="none" w:color="FFFFFF" w:sz="0"/>
              <w:bottom w:val="single" w:color="000000" w:sz="6"/>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严重度：error / warning / info</w:t>
            </w:r>
          </w:p>
        </w:tc>
        <w:tc>
          <w:tcPr>
            <w:tcW w:type="pct" w:w="1300"/>
            <w:tcBorders>
              <w:top w:val="none" w:color="FFFFFF" w:sz="0"/>
              <w:left w:val="none" w:color="FFFFFF" w:sz="0"/>
              <w:bottom w:val="single" w:color="000000" w:sz="6"/>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w:t>
            </w:r>
          </w:p>
        </w:tc>
      </w:tr>
    </w:tbl>
    <w:p>
      <w:pPr>
        <w:spacing w:after="120"/>
      </w:pPr>
    </w:p>
    <w:p>
      <w:pPr>
        <w:pStyle w:val="Heading2"/>
        <w:keepNext/>
        <w:spacing w:after="140" w:before="280" w:line="360"/>
      </w:pPr>
      <w:r>
        <w:rPr>
          <w:rFonts w:ascii="Times New Roman" w:eastAsia="SimHei"/>
          <w:b/>
          <w:bCs/>
          <w:color w:val="000000"/>
          <w:sz w:val="28"/>
          <w:szCs w:val="28"/>
        </w:rPr>
        <w:t xml:space="preserve">3.3　闭环验证算法</w:t>
      </w:r>
    </w:p>
    <w:p>
      <w:pPr>
        <w:spacing w:after="0" w:before="0" w:line="360"/>
        <w:ind w:firstLine="480"/>
        <w:jc w:val="both"/>
      </w:pPr>
      <w:r>
        <w:rPr>
          <w:rFonts w:ascii="Times New Roman" w:eastAsia="SimSun"/>
          <w:color w:val="000000"/>
          <w:sz w:val="24"/>
          <w:szCs w:val="24"/>
        </w:rPr>
        <w:t xml:space="preserve">闭环验证以单条建议为单位执行。建议的动作空间为BOM结构化变更，形式化为五元组（reference, field, old_value, new_value, action），其中reference为位号，field为字段（如value、footprint），action为编辑类型枚举{add, remove, replace}；走线宽度、布局位置等几何调整不在本闭环的作用域内（含走线描述的请求由LLM映射为BOM级变更或零变更回应，见4.1节）。给定原始BOM与建议变更集，流程如下：（1）预检：对危险操作模式（删除ESD保护器件、大电流请求等）计算风险分并打标，仅作提示不否决；（2）应用与复检：将变更集应用到BOM副本，运行完整DRC得到违规集合，与基线违规按规则名比对得到新增违规；（3）收敛判定：若满足收敛条件则建议通过，否则构造结构化修正反馈回传LLM；（4）迭代：LLM依据反馈修正变更集（含部分或全部撤销），重复（2）～（3），迭代上限3轮。</w:t>
      </w:r>
    </w:p>
    <w:p>
      <w:pPr>
        <w:spacing w:after="0" w:before="0" w:line="360"/>
        <w:ind w:firstLine="480"/>
        <w:jc w:val="both"/>
      </w:pPr>
      <w:r>
        <w:rPr>
          <w:rFonts w:ascii="Times New Roman" w:eastAsia="SimSun"/>
          <w:color w:val="000000"/>
          <w:sz w:val="24"/>
          <w:szCs w:val="24"/>
        </w:rPr>
        <w:t xml:space="preserve">收敛判定同时要求无新增规则违规与设计评分不劣化。记应用变更后的违规集合中新增违规数为N，基线设计评分为S，修正后评分为S′，容差为τ，收敛条件为：</w:t>
      </w:r>
    </w:p>
    <w:p>
      <w:pPr>
        <w:tabs>
          <w:tab w:val="center" w:pos="4400"/>
          <w:tab w:val="right" w:pos="8780"/>
        </w:tabs>
        <w:spacing w:after="120" w:before="120" w:line="360"/>
      </w:pPr>
      <w:r>
        <w:rPr>
          <w:rFonts w:ascii="Times New Roman" w:eastAsia="SimSun"/>
          <w:sz w:val="24"/>
          <w:szCs w:val="24"/>
        </w:rPr>
        <w:t xml:space="preserve">	</w:t>
      </w:r>
      <w:r>
        <w:rPr>
          <w:rFonts w:ascii="Times New Roman" w:eastAsia="SimSun"/>
          <w:i/>
          <w:iCs/>
          <w:color w:val="000000"/>
          <w:sz w:val="24"/>
          <w:szCs w:val="24"/>
        </w:rPr>
        <w:t xml:space="preserve">N</w:t>
      </w:r>
      <w:r>
        <w:rPr>
          <w:rFonts w:ascii="Times New Roman" w:eastAsia="SimSun"/>
          <w:color w:val="000000"/>
          <w:sz w:val="24"/>
          <w:szCs w:val="24"/>
        </w:rPr>
        <w:t xml:space="preserve">new</w:t>
      </w:r>
      <w:r>
        <w:rPr>
          <w:rFonts w:ascii="Times New Roman" w:eastAsia="SimSun"/>
          <w:color w:val="000000"/>
          <w:sz w:val="24"/>
          <w:szCs w:val="24"/>
          <w:vertAlign w:val="subscript"/>
        </w:rPr>
        <w:t xml:space="preserve">(</w:t>
      </w:r>
      <w:r>
        <w:rPr>
          <w:rFonts w:ascii="Times New Roman" w:eastAsia="SimSun"/>
          <w:i/>
          <w:iCs/>
          <w:color w:val="000000"/>
          <w:sz w:val="24"/>
          <w:szCs w:val="24"/>
        </w:rPr>
        <w:t xml:space="preserve">V</w:t>
      </w:r>
      <w:r>
        <w:rPr>
          <w:rFonts w:ascii="Times New Roman" w:eastAsia="SimSun"/>
          <w:color w:val="000000"/>
          <w:sz w:val="24"/>
          <w:szCs w:val="24"/>
        </w:rPr>
        <w:t xml:space="preserve">′</w:t>
      </w:r>
      <w:r>
        <w:rPr>
          <w:rFonts w:ascii="Times New Roman" w:eastAsia="SimSun"/>
          <w:color w:val="000000"/>
          <w:sz w:val="24"/>
          <w:szCs w:val="24"/>
          <w:vertAlign w:val="subscript"/>
        </w:rPr>
        <w:t xml:space="preserve">)</w:t>
      </w:r>
      <w:r>
        <w:rPr>
          <w:rFonts w:ascii="Times New Roman" w:eastAsia="SimSun"/>
          <w:color w:val="000000"/>
          <w:sz w:val="24"/>
          <w:szCs w:val="24"/>
        </w:rPr>
        <w:t xml:space="preserve"> = 0　且　Δ</w:t>
      </w:r>
      <w:r>
        <w:rPr>
          <w:rFonts w:ascii="Times New Roman" w:eastAsia="SimSun"/>
          <w:i/>
          <w:iCs/>
          <w:color w:val="000000"/>
          <w:sz w:val="24"/>
          <w:szCs w:val="24"/>
        </w:rPr>
        <w:t xml:space="preserve">S</w:t>
      </w:r>
      <w:r>
        <w:rPr>
          <w:rFonts w:ascii="Times New Roman" w:eastAsia="SimSun"/>
          <w:color w:val="000000"/>
          <w:sz w:val="24"/>
          <w:szCs w:val="24"/>
        </w:rPr>
        <w:t xml:space="preserve"> = </w:t>
      </w:r>
      <w:r>
        <w:rPr>
          <w:rFonts w:ascii="Times New Roman" w:eastAsia="SimSun"/>
          <w:i/>
          <w:iCs/>
          <w:color w:val="000000"/>
          <w:sz w:val="24"/>
          <w:szCs w:val="24"/>
        </w:rPr>
        <w:t xml:space="preserve">S</w:t>
      </w:r>
      <w:r>
        <w:rPr>
          <w:rFonts w:ascii="Times New Roman" w:eastAsia="SimSun"/>
          <w:color w:val="000000"/>
          <w:sz w:val="24"/>
          <w:szCs w:val="24"/>
        </w:rPr>
        <w:t xml:space="preserve">−</w:t>
      </w:r>
      <w:r>
        <w:rPr>
          <w:rFonts w:ascii="Times New Roman" w:eastAsia="SimSun"/>
          <w:i/>
          <w:iCs/>
          <w:color w:val="000000"/>
          <w:sz w:val="24"/>
          <w:szCs w:val="24"/>
        </w:rPr>
        <w:t xml:space="preserve">S</w:t>
      </w:r>
      <w:r>
        <w:rPr>
          <w:rFonts w:ascii="Times New Roman" w:eastAsia="SimSun"/>
          <w:color w:val="000000"/>
          <w:sz w:val="24"/>
          <w:szCs w:val="24"/>
        </w:rPr>
        <w:t xml:space="preserve">′ ≤ </w:t>
      </w:r>
      <w:r>
        <w:rPr>
          <w:rFonts w:ascii="Times New Roman" w:eastAsia="SimSun"/>
          <w:i/>
          <w:iCs/>
          <w:color w:val="000000"/>
          <w:sz w:val="24"/>
          <w:szCs w:val="24"/>
        </w:rPr>
        <w:t xml:space="preserve">τ</w:t>
      </w:r>
      <w:r>
        <w:rPr>
          <w:rFonts w:ascii="Times New Roman" w:eastAsia="SimSun"/>
          <w:color w:val="000000"/>
          <w:sz w:val="24"/>
          <w:szCs w:val="24"/>
        </w:rPr>
        <w:t xml:space="preserve">	(1)</w:t>
      </w:r>
    </w:p>
    <w:p>
      <w:pPr>
        <w:spacing w:after="0" w:before="0" w:line="360"/>
        <w:ind w:firstLine="480"/>
        <w:jc w:val="both"/>
      </w:pPr>
      <w:r>
        <w:rPr>
          <w:rFonts w:ascii="Times New Roman" w:eastAsia="SimSun"/>
          <w:color w:val="000000"/>
          <w:sz w:val="24"/>
          <w:szCs w:val="24"/>
        </w:rPr>
        <w:t xml:space="preserve">其中新增违规按规则名与基线集合比对过滤，避免把设计固有问题计入建议的责任。评分S来自启发式设计评分器（3.5节）：按规则到六维的加权映射累计扣分得到百分制总分；τ取2.0为工程设定（对应百分制下2%的容差带宽），其取值依据与敏感性见4.3节——评分守门项是对规则名过滤的补充，用于拦截不触发新规则但整体劣化参数质量的变更组合。</w:t>
      </w:r>
    </w:p>
    <w:p>
      <w:pPr>
        <w:spacing w:after="0" w:before="0" w:line="360"/>
        <w:ind w:firstLine="480"/>
        <w:jc w:val="both"/>
      </w:pPr>
      <w:r>
        <w:rPr>
          <w:rFonts w:ascii="Times New Roman" w:eastAsia="SimSun"/>
          <w:color w:val="000000"/>
          <w:sz w:val="24"/>
          <w:szCs w:val="24"/>
        </w:rPr>
        <w:t xml:space="preserve">本文对消除效果采用过程性描述而非比率型headline：记某条建议首轮复检引入的blocking级新增违规数为B1，末轮为Bf，消除率HE=(B1−Bf)/B1×100%（B1=0时该建议无违规可消除、不进入该统计）。必须指出，该指标在口径上部分是定义的必然：式(1)的通过条件即Bf=0，故凡收敛通过的建议HE恒为100%，消除率不承载区分度，仅用于核验预算内清除是否发生；本文headline由收敛率与三臂对比（4.3节）承担，消除情况以宿主建议的首轮/末轮违规数与清除路径分解（修正-保留型或撤销型）呈现。</w:t>
      </w:r>
    </w:p>
    <w:p>
      <w:pPr>
        <w:spacing w:after="0" w:before="0" w:line="360"/>
        <w:ind w:firstLine="480"/>
        <w:jc w:val="both"/>
      </w:pPr>
      <w:r>
        <w:rPr>
          <w:rFonts w:ascii="Times New Roman" w:eastAsia="SimSun"/>
          <w:color w:val="000000"/>
          <w:sz w:val="24"/>
          <w:szCs w:val="24"/>
        </w:rPr>
        <w:t xml:space="preserve">结构化修正反馈包含四类信息：本轮全部新增违规及其修法指引；同规则基线与修正后的触发对比；撤销语义（LLM可以输出空变更集表示全部撤销，也可以撤销部分条目）；以及允许重加条目的补录操作。反馈中显式给出迭代历史摘要，避免LLM重复尝试已失败的策略。撤销计入收敛的口径声明：全撤销（空变更集）满足式(1)故计为收敛，属于防御性收敛路径；因此收敛率拆分为修正-保留收敛率与撤销率两个子指标并列报告（4.3节）。关于反馈要素的作用，早期17板预实验（不同反馈实现、非受控配置）中，仅回传规则名的旧版本下14条多轮用例有10条违规数逐轮不动，补全修法指引与撤销语义后全量实验收敛率达94.2%——该对照为跨时间的历史观察而非受控消融，提示（而非证明）两项设计可能是关键因素，受控消融实验留待后续工作。</w:t>
      </w:r>
    </w:p>
    <w:p>
      <w:pPr>
        <w:pStyle w:val="Heading2"/>
        <w:keepNext/>
        <w:spacing w:after="140" w:before="280" w:line="360"/>
      </w:pPr>
      <w:r>
        <w:rPr>
          <w:rFonts w:ascii="Times New Roman" w:eastAsia="SimHei"/>
          <w:b/>
          <w:bCs/>
          <w:color w:val="000000"/>
          <w:sz w:val="28"/>
          <w:szCs w:val="28"/>
        </w:rPr>
        <w:t xml:space="preserve">3.4　电路计算增强验证</w:t>
      </w:r>
    </w:p>
    <w:p>
      <w:pPr>
        <w:spacing w:after="0" w:before="0" w:line="360"/>
        <w:ind w:firstLine="480"/>
        <w:jc w:val="both"/>
      </w:pPr>
      <w:r>
        <w:rPr>
          <w:rFonts w:ascii="Times New Roman" w:eastAsia="SimSun"/>
          <w:color w:val="000000"/>
          <w:sz w:val="24"/>
          <w:szCs w:val="24"/>
        </w:rPr>
        <w:t xml:space="preserve">纯规则匹配无法覆盖的物理约束由标准公式计算模块补齐，该模块的输入与计算过程完全确定（输出为近似经验公式的计算值），且不涉及LLM。载流能力按IPC-2221图表公式计算[21]：对截面积为A（mil²）的铜导体，允许电流为</w:t>
      </w:r>
    </w:p>
    <w:p>
      <w:pPr>
        <w:tabs>
          <w:tab w:val="center" w:pos="4400"/>
          <w:tab w:val="right" w:pos="8780"/>
        </w:tabs>
        <w:spacing w:after="120" w:before="120" w:line="360"/>
      </w:pPr>
      <w:r>
        <w:rPr>
          <w:rFonts w:ascii="Times New Roman" w:eastAsia="SimSun"/>
          <w:sz w:val="24"/>
          <w:szCs w:val="24"/>
        </w:rPr>
        <w:t xml:space="preserve">	</w:t>
      </w:r>
      <w:r>
        <w:rPr>
          <w:rFonts w:ascii="Times New Roman" w:eastAsia="SimSun"/>
          <w:i/>
          <w:iCs/>
          <w:color w:val="000000"/>
          <w:sz w:val="24"/>
          <w:szCs w:val="24"/>
        </w:rPr>
        <w:t xml:space="preserve">I</w:t>
      </w:r>
      <w:r>
        <w:rPr>
          <w:rFonts w:ascii="Times New Roman" w:eastAsia="SimSun"/>
          <w:color w:val="000000"/>
          <w:sz w:val="24"/>
          <w:szCs w:val="24"/>
        </w:rPr>
        <w:t xml:space="preserve"> = </w:t>
      </w:r>
      <w:r>
        <w:rPr>
          <w:rFonts w:ascii="Times New Roman" w:eastAsia="SimSun"/>
          <w:i/>
          <w:iCs/>
          <w:color w:val="000000"/>
          <w:sz w:val="24"/>
          <w:szCs w:val="24"/>
        </w:rPr>
        <w:t xml:space="preserve">k</w:t>
      </w:r>
      <w:r>
        <w:rPr>
          <w:rFonts w:ascii="Times New Roman" w:eastAsia="SimSun"/>
          <w:color w:val="000000"/>
          <w:sz w:val="24"/>
          <w:szCs w:val="24"/>
        </w:rPr>
        <w:t xml:space="preserve"> · (Δ</w:t>
      </w:r>
      <w:r>
        <w:rPr>
          <w:rFonts w:ascii="Times New Roman" w:eastAsia="SimSun"/>
          <w:i/>
          <w:iCs/>
          <w:color w:val="000000"/>
          <w:sz w:val="24"/>
          <w:szCs w:val="24"/>
        </w:rPr>
        <w:t xml:space="preserve">T</w:t>
      </w:r>
      <w:r>
        <w:rPr>
          <w:rFonts w:ascii="Times New Roman" w:eastAsia="SimSun"/>
          <w:color w:val="000000"/>
          <w:sz w:val="24"/>
          <w:szCs w:val="24"/>
        </w:rPr>
        <w:t xml:space="preserve">)</w:t>
      </w:r>
      <w:r>
        <w:rPr>
          <w:rFonts w:ascii="Times New Roman" w:eastAsia="SimSun"/>
          <w:color w:val="000000"/>
          <w:sz w:val="24"/>
          <w:szCs w:val="24"/>
          <w:vertAlign w:val="superscript"/>
        </w:rPr>
        <w:t xml:space="preserve">0.44</w:t>
      </w:r>
      <w:r>
        <w:rPr>
          <w:rFonts w:ascii="Times New Roman" w:eastAsia="SimSun"/>
          <w:color w:val="000000"/>
          <w:sz w:val="24"/>
          <w:szCs w:val="24"/>
        </w:rPr>
        <w:t xml:space="preserve"> · (</w:t>
      </w:r>
      <w:r>
        <w:rPr>
          <w:rFonts w:ascii="Times New Roman" w:eastAsia="SimSun"/>
          <w:i/>
          <w:iCs/>
          <w:color w:val="000000"/>
          <w:sz w:val="24"/>
          <w:szCs w:val="24"/>
        </w:rPr>
        <w:t xml:space="preserve">A</w:t>
      </w:r>
      <w:r>
        <w:rPr>
          <w:rFonts w:ascii="Times New Roman" w:eastAsia="SimSun"/>
          <w:color w:val="000000"/>
          <w:sz w:val="24"/>
          <w:szCs w:val="24"/>
        </w:rPr>
        <w:t xml:space="preserve">)</w:t>
      </w:r>
      <w:r>
        <w:rPr>
          <w:rFonts w:ascii="Times New Roman" w:eastAsia="SimSun"/>
          <w:color w:val="000000"/>
          <w:sz w:val="24"/>
          <w:szCs w:val="24"/>
          <w:vertAlign w:val="superscript"/>
        </w:rPr>
        <w:t xml:space="preserve">0.725</w:t>
      </w:r>
      <w:r>
        <w:rPr>
          <w:rFonts w:ascii="Times New Roman" w:eastAsia="SimSun"/>
          <w:color w:val="000000"/>
          <w:sz w:val="24"/>
          <w:szCs w:val="24"/>
        </w:rPr>
        <w:t xml:space="preserve">	(2)</w:t>
      </w:r>
    </w:p>
    <w:p>
      <w:pPr>
        <w:spacing w:after="0" w:before="0" w:line="360"/>
        <w:ind w:firstLine="480"/>
        <w:jc w:val="both"/>
      </w:pPr>
      <w:r>
        <w:rPr>
          <w:rFonts w:ascii="Times New Roman" w:eastAsia="SimSun"/>
          <w:color w:val="000000"/>
          <w:sz w:val="24"/>
          <w:szCs w:val="24"/>
        </w:rPr>
        <w:t xml:space="preserve">其中ΔT为允许温升（℃），k为层系数（外层0.048、内层0.024），引擎默认ΔT取10℃（保守取向，未按板类分层设定，分层取值留待后续）。例如0.5mm宽、1oz铜厚（35μm）的外层走线截面积约27mil²，在10℃温升下允许电流约1.4A。标准选型说明：IPC-2152[22]以更系统的实验数据取代了IPC-2221的载流图表，是更精细的现行标准；本文沿用IPC-2221图表公式，取其保守取向（同等条件下给出的允许电流更低，利于安全侧误判）与实现数据可得性，两标准在本文建议集上的判定翻转比对留待后续工作。载流判定的电流输入来自BOM估算：由电源类器件估算整机电源电流（默认约1A口径的启发式估计，电机驱动电流单独取出），与请求文本中声称的电流值无关；过孔载流未纳入判定范围，此处显式声明排除。</w:t>
      </w:r>
    </w:p>
    <w:p>
      <w:pPr>
        <w:spacing w:after="0" w:before="0" w:line="360"/>
        <w:ind w:firstLine="480"/>
        <w:jc w:val="both"/>
      </w:pPr>
      <w:r>
        <w:rPr>
          <w:rFonts w:ascii="Times New Roman" w:eastAsia="SimSun"/>
          <w:color w:val="000000"/>
          <w:sz w:val="24"/>
          <w:szCs w:val="24"/>
        </w:rPr>
        <w:t xml:space="preserve">特征阻抗按IPC-2141A微带线公式计算[23]：</w:t>
      </w:r>
    </w:p>
    <w:p>
      <w:pPr>
        <w:tabs>
          <w:tab w:val="center" w:pos="4400"/>
          <w:tab w:val="right" w:pos="8780"/>
        </w:tabs>
        <w:spacing w:after="120" w:before="120" w:line="360"/>
      </w:pPr>
      <w:r>
        <w:rPr>
          <w:rFonts w:ascii="Times New Roman" w:eastAsia="SimSun"/>
          <w:sz w:val="24"/>
          <w:szCs w:val="24"/>
        </w:rPr>
        <w:t xml:space="preserve">	</w:t>
      </w:r>
      <w:r>
        <w:rPr>
          <w:rFonts w:ascii="Times New Roman" w:eastAsia="SimSun"/>
          <w:i/>
          <w:iCs/>
          <w:color w:val="000000"/>
          <w:sz w:val="24"/>
          <w:szCs w:val="24"/>
        </w:rPr>
        <w:t xml:space="preserve">Z</w:t>
      </w:r>
      <w:r>
        <w:rPr>
          <w:rFonts w:ascii="Times New Roman" w:eastAsia="SimSun"/>
          <w:color w:val="000000"/>
          <w:sz w:val="24"/>
          <w:szCs w:val="24"/>
          <w:vertAlign w:val="subscript"/>
        </w:rPr>
        <w:t xml:space="preserve">0</w:t>
      </w:r>
      <w:r>
        <w:rPr>
          <w:rFonts w:ascii="Times New Roman" w:eastAsia="SimSun"/>
          <w:color w:val="000000"/>
          <w:sz w:val="24"/>
          <w:szCs w:val="24"/>
        </w:rPr>
        <w:t xml:space="preserve"> = </w:t>
      </w:r>
      <w:r>
        <w:rPr>
          <w:rFonts w:ascii="Times New Roman" w:eastAsia="SimSun"/>
          <w:color w:val="000000"/>
          <w:sz w:val="24"/>
          <w:szCs w:val="24"/>
        </w:rPr>
        <w:t xml:space="preserve">87 / √(</w:t>
      </w:r>
      <w:r>
        <w:rPr>
          <w:rFonts w:ascii="Times New Roman" w:eastAsia="SimSun"/>
          <w:i/>
          <w:iCs/>
          <w:color w:val="000000"/>
          <w:sz w:val="24"/>
          <w:szCs w:val="24"/>
        </w:rPr>
        <w:t xml:space="preserve">ε</w:t>
      </w:r>
      <w:r>
        <w:rPr>
          <w:rFonts w:ascii="Times New Roman" w:eastAsia="SimSun"/>
          <w:color w:val="000000"/>
          <w:sz w:val="24"/>
          <w:szCs w:val="24"/>
          <w:vertAlign w:val="subscript"/>
        </w:rPr>
        <w:t xml:space="preserve">r</w:t>
      </w:r>
      <w:r>
        <w:rPr>
          <w:rFonts w:ascii="Times New Roman" w:eastAsia="SimSun"/>
          <w:color w:val="000000"/>
          <w:sz w:val="24"/>
          <w:szCs w:val="24"/>
        </w:rPr>
        <w:t xml:space="preserve"> + 1.41) · ln[5.98</w:t>
      </w:r>
      <w:r>
        <w:rPr>
          <w:rFonts w:ascii="Times New Roman" w:eastAsia="SimSun"/>
          <w:i/>
          <w:iCs/>
          <w:color w:val="000000"/>
          <w:sz w:val="24"/>
          <w:szCs w:val="24"/>
        </w:rPr>
        <w:t xml:space="preserve">h</w:t>
      </w:r>
      <w:r>
        <w:rPr>
          <w:rFonts w:ascii="Times New Roman" w:eastAsia="SimSun"/>
          <w:color w:val="000000"/>
          <w:sz w:val="24"/>
          <w:szCs w:val="24"/>
        </w:rPr>
        <w:t xml:space="preserve"> / (0.8</w:t>
      </w:r>
      <w:r>
        <w:rPr>
          <w:rFonts w:ascii="Times New Roman" w:eastAsia="SimSun"/>
          <w:i/>
          <w:iCs/>
          <w:color w:val="000000"/>
          <w:sz w:val="24"/>
          <w:szCs w:val="24"/>
        </w:rPr>
        <w:t xml:space="preserve">w</w:t>
      </w:r>
      <w:r>
        <w:rPr>
          <w:rFonts w:ascii="Times New Roman" w:eastAsia="SimSun"/>
          <w:color w:val="000000"/>
          <w:sz w:val="24"/>
          <w:szCs w:val="24"/>
        </w:rPr>
        <w:t xml:space="preserve"> + </w:t>
      </w:r>
      <w:r>
        <w:rPr>
          <w:rFonts w:ascii="Times New Roman" w:eastAsia="SimSun"/>
          <w:i/>
          <w:iCs/>
          <w:color w:val="000000"/>
          <w:sz w:val="24"/>
          <w:szCs w:val="24"/>
        </w:rPr>
        <w:t xml:space="preserve">t</w:t>
      </w:r>
      <w:r>
        <w:rPr>
          <w:rFonts w:ascii="Times New Roman" w:eastAsia="SimSun"/>
          <w:color w:val="000000"/>
          <w:sz w:val="24"/>
          <w:szCs w:val="24"/>
        </w:rPr>
        <w:t xml:space="preserve">)]</w:t>
      </w:r>
      <w:r>
        <w:rPr>
          <w:rFonts w:ascii="Times New Roman" w:eastAsia="SimSun"/>
          <w:color w:val="000000"/>
          <w:sz w:val="24"/>
          <w:szCs w:val="24"/>
        </w:rPr>
        <w:t xml:space="preserve">	(3)</w:t>
      </w:r>
    </w:p>
    <w:p>
      <w:pPr>
        <w:spacing w:after="0" w:before="0" w:line="360"/>
        <w:ind w:firstLine="480"/>
        <w:jc w:val="both"/>
      </w:pPr>
      <w:r>
        <w:rPr>
          <w:rFonts w:ascii="Times New Roman" w:eastAsia="SimSun"/>
          <w:color w:val="000000"/>
          <w:sz w:val="24"/>
          <w:szCs w:val="24"/>
        </w:rPr>
        <w:t xml:space="preserve">其中εr为板材相对介电常数，h为介质厚度，w为线宽，t为铜厚。该式的适用域为0.1&lt;w/h&lt;2.0且1&lt;εr&lt;15，越界时引擎将结果降级为提示级而非判定依据；带状线与差分结构暂不覆盖，此处显式声明。同时应明确：经验近似式的计算值与全波仿真之间存在固有偏差，本引擎以保守阈值留出余量，违反约束的判定应理解为违反近似公式的计算值。将物理约束交由确定性公式而非LLM判断，是在规则与公式覆盖面上消除一类幻觉通道的根本手段——该保证以覆盖声明为前提，不外推到未覆盖的约束类型。</w:t>
      </w:r>
    </w:p>
    <w:p>
      <w:pPr>
        <w:pStyle w:val="Heading2"/>
        <w:keepNext/>
        <w:spacing w:after="140" w:before="280" w:line="360"/>
      </w:pPr>
      <w:r>
        <w:rPr>
          <w:rFonts w:ascii="Times New Roman" w:eastAsia="SimHei"/>
          <w:b/>
          <w:bCs/>
          <w:color w:val="000000"/>
          <w:sz w:val="28"/>
          <w:szCs w:val="28"/>
        </w:rPr>
        <w:t xml:space="preserve">3.5　多智能体协同审查与设计评分器</w:t>
      </w:r>
    </w:p>
    <w:p>
      <w:pPr>
        <w:spacing w:after="0" w:before="0" w:line="360"/>
        <w:ind w:firstLine="480"/>
        <w:jc w:val="both"/>
      </w:pPr>
      <w:r>
        <w:rPr>
          <w:rFonts w:ascii="Times New Roman" w:eastAsia="SimSun"/>
          <w:color w:val="000000"/>
          <w:sz w:val="24"/>
          <w:szCs w:val="24"/>
        </w:rPr>
        <w:t xml:space="preserve">通过闭环验证的建议进入多智能体审查层。五个领域审查智能体（表2）各自以领域专家角色并行审视设计，输出结构化发现（问题、位置、严重度、建议）。合成器将各智能体发现、DRC结果与BOM统计聚合为电源、信号、热、电磁兼容、可制造性、成本六维评分：其中前五维与五个智能体一一对应，成本维由BOM统计与参数范围、封装一致性等规则触发情况派生（规则到维度的映射带权重，如去耦电容类规则计入电源维权重1.5、电源线宽类权重2.0；维度分为100减去加权扣分，总分取六维加权平均）。评分器为启发式加权设计、未经人工标注对齐，其实测量级为相对质量画像而非绝对质量基准；多智能体层不阻断建议（守门由闭环层完成），其价值在于提供超出规则体系覆盖面的整体画像与改进方向，本文不将其分数用作有效性证据。</w:t>
      </w:r>
    </w:p>
    <w:p>
      <w:pPr>
        <w:keepNext/>
        <w:spacing w:after="80" w:before="200" w:line="300"/>
        <w:jc w:val="center"/>
      </w:pPr>
      <w:r>
        <w:rPr>
          <w:rFonts w:ascii="Times New Roman" w:eastAsia="SimSun"/>
          <w:color w:val="000000"/>
          <w:sz w:val="21"/>
          <w:szCs w:val="21"/>
        </w:rPr>
        <w:t xml:space="preserve">表2　领域审查智能体</w:t>
      </w:r>
    </w:p>
    <w:tbl>
      <w:tblPr>
        <w:tblW w:type="pct" w:w="5000"/>
        <w:tblBorders>
          <w:top w:val="single" w:color="000000" w:sz="6"/>
          <w:left w:val="none" w:color="FFFFFF" w:sz="0"/>
          <w:bottom w:val="single" w:color="000000" w:sz="6"/>
          <w:right w:val="none" w:color="FFFFFF" w:sz="0"/>
          <w:insideH w:val="none" w:color="FFFFFF" w:sz="0"/>
          <w:insideV w:val="none" w:color="FFFFFF" w:sz="0"/>
        </w:tblBorders>
      </w:tblPr>
      <w:tblGrid>
        <w:gridCol w:w="2988"/>
        <w:gridCol w:w="5800"/>
      </w:tblGrid>
      <w:tr>
        <w:trPr>
          <w:cantSplit/>
          <w:tblHeader/>
        </w:trPr>
        <w:tc>
          <w:tcPr>
            <w:tcW w:type="pct" w:w="1700"/>
            <w:tcBorders>
              <w:top w:val="single" w:color="000000" w:sz="6"/>
              <w:left w:val="none" w:color="FFFFFF" w:sz="0"/>
              <w:bottom w:val="single" w:color="000000" w:sz="4"/>
              <w:right w:val="none" w:color="FFFFFF" w:sz="0"/>
            </w:tcBorders>
            <w:tcMar>
              <w:top w:type="dxa" w:w="60"/>
              <w:left w:type="dxa" w:w="100"/>
              <w:bottom w:type="dxa" w:w="60"/>
              <w:right w:type="dxa" w:w="100"/>
            </w:tcMar>
          </w:tcPr>
          <w:p>
            <w:pPr>
              <w:spacing w:line="300"/>
              <w:jc w:val="center"/>
            </w:pPr>
            <w:r>
              <w:rPr>
                <w:rFonts w:ascii="Times New Roman" w:eastAsia="SimSun"/>
                <w:b/>
                <w:bCs/>
                <w:color w:val="000000"/>
                <w:sz w:val="21"/>
                <w:szCs w:val="21"/>
              </w:rPr>
              <w:t xml:space="preserve">智能体</w:t>
            </w:r>
          </w:p>
        </w:tc>
        <w:tc>
          <w:tcPr>
            <w:tcW w:type="pct" w:w="3300"/>
            <w:tcBorders>
              <w:top w:val="single" w:color="000000" w:sz="6"/>
              <w:left w:val="none" w:color="FFFFFF" w:sz="0"/>
              <w:bottom w:val="single" w:color="000000" w:sz="4"/>
              <w:right w:val="none" w:color="FFFFFF" w:sz="0"/>
            </w:tcBorders>
            <w:tcMar>
              <w:top w:type="dxa" w:w="60"/>
              <w:left w:type="dxa" w:w="100"/>
              <w:bottom w:type="dxa" w:w="60"/>
              <w:right w:type="dxa" w:w="100"/>
            </w:tcMar>
          </w:tcPr>
          <w:p>
            <w:pPr>
              <w:spacing w:line="300"/>
              <w:jc w:val="center"/>
            </w:pPr>
            <w:r>
              <w:rPr>
                <w:rFonts w:ascii="Times New Roman" w:eastAsia="SimSun"/>
                <w:b/>
                <w:bCs/>
                <w:color w:val="000000"/>
                <w:sz w:val="21"/>
                <w:szCs w:val="21"/>
              </w:rPr>
              <w:t xml:space="preserve">审查维度</w:t>
            </w:r>
          </w:p>
        </w:tc>
      </w:tr>
      <w:tr>
        <w:trPr>
          <w:cantSplit/>
        </w:trPr>
        <w:tc>
          <w:tcPr>
            <w:tcW w:type="pct" w:w="17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left"/>
            </w:pPr>
            <w:r>
              <w:rPr>
                <w:rFonts w:ascii="Times New Roman" w:eastAsia="SimSun"/>
                <w:color w:val="000000"/>
                <w:sz w:val="21"/>
                <w:szCs w:val="21"/>
              </w:rPr>
              <w:t xml:space="preserve">电源完整性审查师</w:t>
            </w:r>
          </w:p>
        </w:tc>
        <w:tc>
          <w:tcPr>
            <w:tcW w:type="pct" w:w="33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去耦网络完整性、电源滤波、多电源域、PDN合理性</w:t>
            </w:r>
          </w:p>
        </w:tc>
      </w:tr>
      <w:tr>
        <w:trPr>
          <w:cantSplit/>
        </w:trPr>
        <w:tc>
          <w:tcPr>
            <w:tcW w:type="pct" w:w="17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left"/>
            </w:pPr>
            <w:r>
              <w:rPr>
                <w:rFonts w:ascii="Times New Roman" w:eastAsia="SimSun"/>
                <w:color w:val="000000"/>
                <w:sz w:val="21"/>
                <w:szCs w:val="21"/>
              </w:rPr>
              <w:t xml:space="preserve">信号完整性审查师</w:t>
            </w:r>
          </w:p>
        </w:tc>
        <w:tc>
          <w:tcPr>
            <w:tcW w:type="pct" w:w="33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高速信号完整性、阻抗匹配、串扰与回流路径</w:t>
            </w:r>
          </w:p>
        </w:tc>
      </w:tr>
      <w:tr>
        <w:trPr>
          <w:cantSplit/>
        </w:trPr>
        <w:tc>
          <w:tcPr>
            <w:tcW w:type="pct" w:w="17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left"/>
            </w:pPr>
            <w:r>
              <w:rPr>
                <w:rFonts w:ascii="Times New Roman" w:eastAsia="SimSun"/>
                <w:color w:val="000000"/>
                <w:sz w:val="21"/>
                <w:szCs w:val="21"/>
              </w:rPr>
              <w:t xml:space="preserve">热管理审查师</w:t>
            </w:r>
          </w:p>
        </w:tc>
        <w:tc>
          <w:tcPr>
            <w:tcW w:type="pct" w:w="33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发热器件识别、热敏感器件布局、散热路径</w:t>
            </w:r>
          </w:p>
        </w:tc>
      </w:tr>
      <w:tr>
        <w:trPr>
          <w:cantSplit/>
        </w:trPr>
        <w:tc>
          <w:tcPr>
            <w:tcW w:type="pct" w:w="17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left"/>
            </w:pPr>
            <w:r>
              <w:rPr>
                <w:rFonts w:ascii="Times New Roman" w:eastAsia="SimSun"/>
                <w:color w:val="000000"/>
                <w:sz w:val="21"/>
                <w:szCs w:val="21"/>
              </w:rPr>
              <w:t xml:space="preserve">电磁兼容审查师</w:t>
            </w:r>
          </w:p>
        </w:tc>
        <w:tc>
          <w:tcPr>
            <w:tcW w:type="pct" w:w="33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EMI滤波、环路面积、屏蔽与接地策略</w:t>
            </w:r>
          </w:p>
        </w:tc>
      </w:tr>
      <w:tr>
        <w:trPr>
          <w:cantSplit/>
        </w:trPr>
        <w:tc>
          <w:tcPr>
            <w:tcW w:type="pct" w:w="1700"/>
            <w:tcBorders>
              <w:top w:val="none" w:color="FFFFFF" w:sz="0"/>
              <w:left w:val="none" w:color="FFFFFF" w:sz="0"/>
              <w:bottom w:val="single" w:color="000000" w:sz="6"/>
              <w:right w:val="none" w:color="FFFFFF" w:sz="0"/>
            </w:tcBorders>
            <w:tcMar>
              <w:top w:type="dxa" w:w="50"/>
              <w:left w:type="dxa" w:w="100"/>
              <w:bottom w:type="dxa" w:w="50"/>
              <w:right w:type="dxa" w:w="100"/>
            </w:tcMar>
          </w:tcPr>
          <w:p>
            <w:pPr>
              <w:spacing w:line="300"/>
              <w:jc w:val="left"/>
            </w:pPr>
            <w:r>
              <w:rPr>
                <w:rFonts w:ascii="Times New Roman" w:eastAsia="SimSun"/>
                <w:color w:val="000000"/>
                <w:sz w:val="21"/>
                <w:szCs w:val="21"/>
              </w:rPr>
              <w:t xml:space="preserve">可制造性审查师</w:t>
            </w:r>
          </w:p>
        </w:tc>
        <w:tc>
          <w:tcPr>
            <w:tcW w:type="pct" w:w="3300"/>
            <w:tcBorders>
              <w:top w:val="none" w:color="FFFFFF" w:sz="0"/>
              <w:left w:val="none" w:color="FFFFFF" w:sz="0"/>
              <w:bottom w:val="single" w:color="000000" w:sz="6"/>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封装工艺、丝印可读性、测试与装配友好性</w:t>
            </w:r>
          </w:p>
        </w:tc>
      </w:tr>
    </w:tbl>
    <w:p>
      <w:pPr>
        <w:spacing w:after="120"/>
      </w:pPr>
    </w:p>
    <w:p>
      <w:pPr>
        <w:pStyle w:val="Heading1"/>
        <w:keepNext/>
        <w:spacing w:after="200" w:before="360" w:line="360"/>
      </w:pPr>
      <w:r>
        <w:rPr>
          <w:rFonts w:ascii="Times New Roman" w:eastAsia="SimHei"/>
          <w:b/>
          <w:bCs/>
          <w:color w:val="000000"/>
          <w:sz w:val="30"/>
          <w:szCs w:val="30"/>
        </w:rPr>
        <w:t xml:space="preserve">4　实验与结果</w:t>
      </w:r>
    </w:p>
    <w:p>
      <w:pPr>
        <w:pStyle w:val="Heading2"/>
        <w:keepNext/>
        <w:spacing w:after="140" w:before="280" w:line="360"/>
      </w:pPr>
      <w:r>
        <w:rPr>
          <w:rFonts w:ascii="Times New Roman" w:eastAsia="SimHei"/>
          <w:b/>
          <w:bCs/>
          <w:color w:val="000000"/>
          <w:sz w:val="28"/>
          <w:szCs w:val="28"/>
        </w:rPr>
        <w:t xml:space="preserve">4.1　实验设置</w:t>
      </w:r>
    </w:p>
    <w:p>
      <w:pPr>
        <w:spacing w:after="0" w:before="0" w:line="360"/>
        <w:ind w:firstLine="480"/>
        <w:jc w:val="both"/>
      </w:pPr>
      <w:r>
        <w:rPr>
          <w:rFonts w:ascii="Times New Roman" w:eastAsia="SimSun"/>
          <w:color w:val="000000"/>
          <w:sz w:val="24"/>
          <w:szCs w:val="24"/>
        </w:rPr>
        <w:t xml:space="preserve">实验数据集构建过程如下：以脚本从立创开源平台批量抓取公开工程导出件（BOM表、网表、贴片坐标）构成候选池91个，经归一化解析后剔除数据不全或解析失败的12个，得到79个设计（均为公开开源工程，遵循平台开源协议，仅用于研究用途；完整设计清单与解析件随论文配套材料提供）。数据集画像：BOM器件数中位数25、均值38.1、最小5、最大313，覆盖MCU与SoC开发板、核心板、功能扩展与转接板、电源类及应用整机等常见板卡形态。</w:t>
      </w:r>
    </w:p>
    <w:p>
      <w:pPr>
        <w:spacing w:after="0" w:before="0" w:line="360"/>
        <w:ind w:firstLine="480"/>
        <w:jc w:val="both"/>
      </w:pPr>
      <w:r>
        <w:rPr>
          <w:rFonts w:ascii="Times New Roman" w:eastAsia="SimSun"/>
          <w:color w:val="000000"/>
          <w:sz w:val="24"/>
          <w:szCs w:val="24"/>
        </w:rPr>
        <w:t xml:space="preserve">实验按三个阶段执行：阶段A对每个设计运行纯DRC基线检查（不调用LLM）；阶段B执行闭环验证，以三类固定模板请求驱动每设计5条建议（1条安全检查类、2条危险变更类、2条优化改进类），LLM据此生成结构化BOM变更并进入闭环，共395条；阶段C对每设计执行多智能体审查。三类请求模板全文公布如下（危险与优化模板中的走线级描述超出闭环动作空间，用于观察LLM对超出动作空间请求的处理，见3.3节）：安全类为检查当前BOM设计是否符合PCB设计规范、不做任何修改；危险类为移除所有100nF去耦电容以降低BOM成本、用0.1mm走线承载3A电流；优化类为将3.3V电源走线加宽到0.5mm、在每个IC的VDD引脚旁增加100nF与10μF去耦电容组合。需强调两点外部效度限定：其一，395条观测按设计聚类（每板5条、共享板卡基线与LLM解码随机性），非395个独立样本，本文区间估计均按设计为聚类单元做bootstrap；其二，请求分布由三类模板构造且与规则模块设计存在对齐，结论限定在该模板分布与规则集的覆盖区间内，对真实开放请求的外推不在本文证据范围内。</w:t>
      </w:r>
    </w:p>
    <w:p>
      <w:pPr>
        <w:spacing w:after="0" w:before="0" w:line="360"/>
        <w:ind w:firstLine="480"/>
        <w:jc w:val="both"/>
      </w:pPr>
      <w:r>
        <w:rPr>
          <w:rFonts w:ascii="Times New Roman" w:eastAsia="SimSun"/>
          <w:color w:val="000000"/>
          <w:sz w:val="24"/>
          <w:szCs w:val="24"/>
        </w:rPr>
        <w:t xml:space="preserve">模型与环境配置：建议生成与修正调用云端glm-5.3-flash对话模型（GLM系列[25]的轻量档，经API调用，调用时间为2026年9月），采样参数为服务端默认配置（未固定随机种子，多次运行存在解码波动）；意图识别使用本地ONNX量化小模型；DRC引擎与物理计算在本地CPU执行。68条规则的逐条定义、修正反馈提示词模板、变更集schema、五智能体提示词与评分器权重映射随论文配套材料提供（代码仓库待论文录用后公开，获取途径可联系作者）。评估采用三臂对比：直出臂（LLM建议不经验证直接采纳，以首轮应用后的违规状态重放度量）、单次门臂（直出后仅做一次复检、有新违规即整体拒绝、无修正反馈）与闭环臂（本文方法，迭代上限3轮）。另设阶段D程序化缺陷注入（五类BOM级缺陷，见4.5节），单独评估规则引擎自身的召回。全量实验共执行973次LLM调用、消耗约211万tokens，闭环验证阶段总耗时126.2分钟。</w:t>
      </w:r>
    </w:p>
    <w:p>
      <w:pPr>
        <w:pStyle w:val="Heading2"/>
        <w:keepNext/>
        <w:spacing w:after="140" w:before="280" w:line="360"/>
      </w:pPr>
      <w:r>
        <w:rPr>
          <w:rFonts w:ascii="Times New Roman" w:eastAsia="SimHei"/>
          <w:b/>
          <w:bCs/>
          <w:color w:val="000000"/>
          <w:sz w:val="28"/>
          <w:szCs w:val="28"/>
        </w:rPr>
        <w:t xml:space="preserve">4.2　DRC基线</w:t>
      </w:r>
    </w:p>
    <w:p>
      <w:pPr>
        <w:spacing w:after="0" w:before="0" w:line="360"/>
        <w:ind w:firstLine="480"/>
        <w:jc w:val="both"/>
      </w:pPr>
      <w:r>
        <w:rPr>
          <w:rFonts w:ascii="Times New Roman" w:eastAsia="SimSun"/>
          <w:color w:val="000000"/>
          <w:sz w:val="24"/>
          <w:szCs w:val="24"/>
        </w:rPr>
        <w:t xml:space="preserve">79个设计的DRC基线共检出1513条违规，平均每板19.2条，其中error级41条、warning级325条、info级1147条，严重度分布如图2所示。触发频次最高的规则为参数范围检查（598次）、位号连续性检查（203次）、去耦电容检查（130次）与PDN目标阻抗分析（79次），器件参数与电源网络类问题构成开源设计的主要质量短板。DRC单板平均耗时77.1ms（最大1.41s），满足闭环内多次复检的实时性要求。</w:t>
      </w:r>
    </w:p>
    <w:p>
      <w:pPr>
        <w:keepNext/>
        <w:spacing w:before="160"/>
        <w:jc w:val="center"/>
      </w:pPr>
      <w:r>
        <w:drawing>
          <wp:inline distT="0" distB="0" distL="0" distR="0">
            <wp:extent cx="5143500" cy="202882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2028825"/>
                    </a:xfrm>
                    <a:prstGeom prst="rect">
                      <a:avLst/>
                    </a:prstGeom>
                  </pic:spPr>
                </pic:pic>
              </a:graphicData>
            </a:graphic>
          </wp:inline>
        </w:drawing>
      </w:r>
    </w:p>
    <w:p>
      <w:pPr>
        <w:spacing w:after="200" w:before="60" w:line="300"/>
        <w:jc w:val="center"/>
      </w:pPr>
      <w:r>
        <w:rPr>
          <w:rFonts w:ascii="Times New Roman" w:eastAsia="SimSun"/>
          <w:color w:val="000000"/>
          <w:sz w:val="21"/>
          <w:szCs w:val="21"/>
        </w:rPr>
        <w:t xml:space="preserve">图2　79个设计的DRC基线违规严重度分布</w:t>
      </w:r>
    </w:p>
    <w:p>
      <w:pPr>
        <w:pStyle w:val="Heading2"/>
        <w:keepNext/>
        <w:spacing w:after="140" w:before="280" w:line="360"/>
      </w:pPr>
      <w:r>
        <w:rPr>
          <w:rFonts w:ascii="Times New Roman" w:eastAsia="SimHei"/>
          <w:b/>
          <w:bCs/>
          <w:color w:val="000000"/>
          <w:sz w:val="28"/>
          <w:szCs w:val="28"/>
        </w:rPr>
        <w:t xml:space="preserve">4.3　闭环验证结果</w:t>
      </w:r>
    </w:p>
    <w:p>
      <w:pPr>
        <w:spacing w:after="0" w:before="0" w:line="360"/>
        <w:ind w:firstLine="480"/>
        <w:jc w:val="both"/>
      </w:pPr>
      <w:r>
        <w:rPr>
          <w:rFonts w:ascii="Times New Roman" w:eastAsia="SimSun"/>
          <w:color w:val="000000"/>
          <w:sz w:val="24"/>
          <w:szCs w:val="24"/>
        </w:rPr>
        <w:t xml:space="preserve">395条建议的完整流向如表3所示：79条安全类按设计即零变更通过；对危险与优化请求，LLM有196条以零变更回应（运行日志按输出形态归类：155条为明确的分析型回应，41条为输出解析失败或条目被全部丢弃——两类均未产生任何可执行变更，最终状态为零变更通过，本文不计其为修正成功）；120条提出了非空变更集，其中113条在迭代上限内收敛（94.2%，按板聚类bootstrap 95%置信区间89.8%～97.6%），7条未收敛（均为优化类，残留1～3条info级提示，blocking级为零）。按收敛路径拆分：74条为修正-保留收敛（修正-保留收敛率61.7%），39条由LLM依据反馈整体撤销变更（撤销率32.5%）。零变更回应不构成验证通过的证据，本文不以总通过率作headline，而以120条变更建议为分母报告收敛口径。</w:t>
      </w:r>
    </w:p>
    <w:p>
      <w:pPr>
        <w:keepNext/>
        <w:spacing w:after="80" w:before="200" w:line="300"/>
        <w:jc w:val="center"/>
      </w:pPr>
      <w:r>
        <w:rPr>
          <w:rFonts w:ascii="Times New Roman" w:eastAsia="SimSun"/>
          <w:color w:val="000000"/>
          <w:sz w:val="21"/>
          <w:szCs w:val="21"/>
        </w:rPr>
        <w:t xml:space="preserve">表3　395条建议级流向分解</w:t>
      </w:r>
    </w:p>
    <w:tbl>
      <w:tblPr>
        <w:tblW w:type="pct" w:w="5000"/>
        <w:tblBorders>
          <w:top w:val="single" w:color="000000" w:sz="6"/>
          <w:left w:val="none" w:color="FFFFFF" w:sz="0"/>
          <w:bottom w:val="single" w:color="000000" w:sz="6"/>
          <w:right w:val="none" w:color="FFFFFF" w:sz="0"/>
          <w:insideH w:val="none" w:color="FFFFFF" w:sz="0"/>
          <w:insideV w:val="none" w:color="FFFFFF" w:sz="0"/>
        </w:tblBorders>
      </w:tblPr>
      <w:tblGrid>
        <w:gridCol w:w="3515"/>
        <w:gridCol w:w="1055"/>
        <w:gridCol w:w="4218"/>
      </w:tblGrid>
      <w:tr>
        <w:trPr>
          <w:cantSplit/>
          <w:tblHeader/>
        </w:trPr>
        <w:tc>
          <w:tcPr>
            <w:tcW w:type="pct" w:w="2000"/>
            <w:tcBorders>
              <w:top w:val="single" w:color="000000" w:sz="6"/>
              <w:left w:val="none" w:color="FFFFFF" w:sz="0"/>
              <w:bottom w:val="single" w:color="000000" w:sz="4"/>
              <w:right w:val="none" w:color="FFFFFF" w:sz="0"/>
            </w:tcBorders>
            <w:tcMar>
              <w:top w:type="dxa" w:w="60"/>
              <w:left w:type="dxa" w:w="100"/>
              <w:bottom w:type="dxa" w:w="60"/>
              <w:right w:type="dxa" w:w="100"/>
            </w:tcMar>
          </w:tcPr>
          <w:p>
            <w:pPr>
              <w:spacing w:line="300"/>
              <w:jc w:val="center"/>
            </w:pPr>
            <w:r>
              <w:rPr>
                <w:rFonts w:ascii="Times New Roman" w:eastAsia="SimSun"/>
                <w:b/>
                <w:bCs/>
                <w:color w:val="000000"/>
                <w:sz w:val="21"/>
                <w:szCs w:val="21"/>
              </w:rPr>
              <w:t xml:space="preserve">状态</w:t>
            </w:r>
          </w:p>
        </w:tc>
        <w:tc>
          <w:tcPr>
            <w:tcW w:type="pct" w:w="600"/>
            <w:tcBorders>
              <w:top w:val="single" w:color="000000" w:sz="6"/>
              <w:left w:val="none" w:color="FFFFFF" w:sz="0"/>
              <w:bottom w:val="single" w:color="000000" w:sz="4"/>
              <w:right w:val="none" w:color="FFFFFF" w:sz="0"/>
            </w:tcBorders>
            <w:tcMar>
              <w:top w:type="dxa" w:w="60"/>
              <w:left w:type="dxa" w:w="100"/>
              <w:bottom w:type="dxa" w:w="60"/>
              <w:right w:type="dxa" w:w="100"/>
            </w:tcMar>
          </w:tcPr>
          <w:p>
            <w:pPr>
              <w:spacing w:line="300"/>
              <w:jc w:val="center"/>
            </w:pPr>
            <w:r>
              <w:rPr>
                <w:rFonts w:ascii="Times New Roman" w:eastAsia="SimSun"/>
                <w:b/>
                <w:bCs/>
                <w:color w:val="000000"/>
                <w:sz w:val="21"/>
                <w:szCs w:val="21"/>
              </w:rPr>
              <w:t xml:space="preserve">条数</w:t>
            </w:r>
          </w:p>
        </w:tc>
        <w:tc>
          <w:tcPr>
            <w:tcW w:type="pct" w:w="2400"/>
            <w:tcBorders>
              <w:top w:val="single" w:color="000000" w:sz="6"/>
              <w:left w:val="none" w:color="FFFFFF" w:sz="0"/>
              <w:bottom w:val="single" w:color="000000" w:sz="4"/>
              <w:right w:val="none" w:color="FFFFFF" w:sz="0"/>
            </w:tcBorders>
            <w:tcMar>
              <w:top w:type="dxa" w:w="60"/>
              <w:left w:type="dxa" w:w="100"/>
              <w:bottom w:type="dxa" w:w="60"/>
              <w:right w:type="dxa" w:w="100"/>
            </w:tcMar>
          </w:tcPr>
          <w:p>
            <w:pPr>
              <w:spacing w:line="300"/>
              <w:jc w:val="center"/>
            </w:pPr>
            <w:r>
              <w:rPr>
                <w:rFonts w:ascii="Times New Roman" w:eastAsia="SimSun"/>
                <w:b/>
                <w:bCs/>
                <w:color w:val="000000"/>
                <w:sz w:val="21"/>
                <w:szCs w:val="21"/>
              </w:rPr>
              <w:t xml:space="preserve">说明</w:t>
            </w:r>
          </w:p>
        </w:tc>
      </w:tr>
      <w:tr>
        <w:trPr>
          <w:cantSplit/>
        </w:trPr>
        <w:tc>
          <w:tcPr>
            <w:tcW w:type="pct" w:w="20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left"/>
            </w:pPr>
            <w:r>
              <w:rPr>
                <w:rFonts w:ascii="Times New Roman" w:eastAsia="SimSun"/>
                <w:color w:val="000000"/>
                <w:sz w:val="21"/>
                <w:szCs w:val="21"/>
              </w:rPr>
              <w:t xml:space="preserve">安全类零变更（按设计）</w:t>
            </w:r>
          </w:p>
        </w:tc>
        <w:tc>
          <w:tcPr>
            <w:tcW w:type="pct" w:w="6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79</w:t>
            </w:r>
          </w:p>
        </w:tc>
        <w:tc>
          <w:tcPr>
            <w:tcW w:type="pct" w:w="24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请求即检查类，LLM无变更输出</w:t>
            </w:r>
          </w:p>
        </w:tc>
      </w:tr>
      <w:tr>
        <w:trPr>
          <w:cantSplit/>
        </w:trPr>
        <w:tc>
          <w:tcPr>
            <w:tcW w:type="pct" w:w="20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left"/>
            </w:pPr>
            <w:r>
              <w:rPr>
                <w:rFonts w:ascii="Times New Roman" w:eastAsia="SimSun"/>
                <w:color w:val="000000"/>
                <w:sz w:val="21"/>
                <w:szCs w:val="21"/>
              </w:rPr>
              <w:t xml:space="preserve">LLM零变更回应（危险110/优化86）</w:t>
            </w:r>
          </w:p>
        </w:tc>
        <w:tc>
          <w:tcPr>
            <w:tcW w:type="pct" w:w="6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196</w:t>
            </w:r>
          </w:p>
        </w:tc>
        <w:tc>
          <w:tcPr>
            <w:tcW w:type="pct" w:w="24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分析型回应155；输出解析失败/条目全丢弃41</w:t>
            </w:r>
          </w:p>
        </w:tc>
      </w:tr>
      <w:tr>
        <w:trPr>
          <w:cantSplit/>
        </w:trPr>
        <w:tc>
          <w:tcPr>
            <w:tcW w:type="pct" w:w="20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left"/>
            </w:pPr>
            <w:r>
              <w:rPr>
                <w:rFonts w:ascii="Times New Roman" w:eastAsia="SimSun"/>
                <w:color w:val="000000"/>
                <w:sz w:val="21"/>
                <w:szCs w:val="21"/>
              </w:rPr>
              <w:t xml:space="preserve">提出非空变更集</w:t>
            </w:r>
          </w:p>
        </w:tc>
        <w:tc>
          <w:tcPr>
            <w:tcW w:type="pct" w:w="6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120</w:t>
            </w:r>
          </w:p>
        </w:tc>
        <w:tc>
          <w:tcPr>
            <w:tcW w:type="pct" w:w="24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进入闭环复检与迭代</w:t>
            </w:r>
          </w:p>
        </w:tc>
      </w:tr>
      <w:tr>
        <w:trPr>
          <w:cantSplit/>
        </w:trPr>
        <w:tc>
          <w:tcPr>
            <w:tcW w:type="pct" w:w="20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left"/>
            </w:pPr>
            <w:r>
              <w:rPr>
                <w:rFonts w:ascii="Times New Roman" w:eastAsia="SimSun"/>
                <w:color w:val="000000"/>
                <w:sz w:val="21"/>
                <w:szCs w:val="21"/>
              </w:rPr>
              <w:t xml:space="preserve">├ 修正-保留收敛</w:t>
            </w:r>
          </w:p>
        </w:tc>
        <w:tc>
          <w:tcPr>
            <w:tcW w:type="pct" w:w="6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74</w:t>
            </w:r>
          </w:p>
        </w:tc>
        <w:tc>
          <w:tcPr>
            <w:tcW w:type="pct" w:w="24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末轮仍有落盘变更且通过复检</w:t>
            </w:r>
          </w:p>
        </w:tc>
      </w:tr>
      <w:tr>
        <w:trPr>
          <w:cantSplit/>
        </w:trPr>
        <w:tc>
          <w:tcPr>
            <w:tcW w:type="pct" w:w="20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left"/>
            </w:pPr>
            <w:r>
              <w:rPr>
                <w:rFonts w:ascii="Times New Roman" w:eastAsia="SimSun"/>
                <w:color w:val="000000"/>
                <w:sz w:val="21"/>
                <w:szCs w:val="21"/>
              </w:rPr>
              <w:t xml:space="preserve">├ 撤销型收敛</w:t>
            </w:r>
          </w:p>
        </w:tc>
        <w:tc>
          <w:tcPr>
            <w:tcW w:type="pct" w:w="6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39</w:t>
            </w:r>
          </w:p>
        </w:tc>
        <w:tc>
          <w:tcPr>
            <w:tcW w:type="pct" w:w="24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反馈后整体撤销（空变更集），防御性路径</w:t>
            </w:r>
          </w:p>
        </w:tc>
      </w:tr>
      <w:tr>
        <w:trPr>
          <w:cantSplit/>
        </w:trPr>
        <w:tc>
          <w:tcPr>
            <w:tcW w:type="pct" w:w="2000"/>
            <w:tcBorders>
              <w:top w:val="none" w:color="FFFFFF" w:sz="0"/>
              <w:left w:val="none" w:color="FFFFFF" w:sz="0"/>
              <w:bottom w:val="single" w:color="000000" w:sz="6"/>
              <w:right w:val="none" w:color="FFFFFF" w:sz="0"/>
            </w:tcBorders>
            <w:tcMar>
              <w:top w:type="dxa" w:w="50"/>
              <w:left w:type="dxa" w:w="100"/>
              <w:bottom w:type="dxa" w:w="50"/>
              <w:right w:type="dxa" w:w="100"/>
            </w:tcMar>
          </w:tcPr>
          <w:p>
            <w:pPr>
              <w:spacing w:line="300"/>
              <w:jc w:val="left"/>
            </w:pPr>
            <w:r>
              <w:rPr>
                <w:rFonts w:ascii="Times New Roman" w:eastAsia="SimSun"/>
                <w:color w:val="000000"/>
                <w:sz w:val="21"/>
                <w:szCs w:val="21"/>
              </w:rPr>
              <w:t xml:space="preserve">└ 未收敛（3轮上限）</w:t>
            </w:r>
          </w:p>
        </w:tc>
        <w:tc>
          <w:tcPr>
            <w:tcW w:type="pct" w:w="600"/>
            <w:tcBorders>
              <w:top w:val="none" w:color="FFFFFF" w:sz="0"/>
              <w:left w:val="none" w:color="FFFFFF" w:sz="0"/>
              <w:bottom w:val="single" w:color="000000" w:sz="6"/>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7</w:t>
            </w:r>
          </w:p>
        </w:tc>
        <w:tc>
          <w:tcPr>
            <w:tcW w:type="pct" w:w="2400"/>
            <w:tcBorders>
              <w:top w:val="none" w:color="FFFFFF" w:sz="0"/>
              <w:left w:val="none" w:color="FFFFFF" w:sz="0"/>
              <w:bottom w:val="single" w:color="000000" w:sz="6"/>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残留1～3条info级，blocking级为零</w:t>
            </w:r>
          </w:p>
        </w:tc>
      </w:tr>
    </w:tbl>
    <w:p>
      <w:pPr>
        <w:spacing w:after="120"/>
      </w:pPr>
    </w:p>
    <w:p>
      <w:pPr>
        <w:spacing w:after="0" w:before="0" w:line="360"/>
        <w:ind w:firstLine="480"/>
        <w:jc w:val="both"/>
      </w:pPr>
      <w:r>
        <w:rPr>
          <w:rFonts w:ascii="Times New Roman" w:eastAsia="SimSun"/>
          <w:color w:val="000000"/>
          <w:sz w:val="24"/>
          <w:szCs w:val="24"/>
        </w:rPr>
        <w:t xml:space="preserve">三臂对比如表4所示。直出臂（重放首轮应用状态）：120条变更建议全部采纳时，将在23个建议上引入共80条次blocking级违规（首轮复检合计94条次新违规中blocking级80条次）；单次门臂：有首轮新违规即拒绝，采纳89/120（74.2%），31条建议被整体放弃、blocking残留为零；闭环臂：收敛113/120（94.2%）、blocking残留为零。闭环相对单次门的价值在于把24.2个百分点的建议从一刀切拒绝恢复为可用（其中39条经迭代后主动撤销、74条修正保留），相对直出的价值是把80条次blocking违规全部隔离。危险类158条的去向分解为：110条LLM零变更回应、39条迭代后全撤销、9条部分落盘（落盘内容均为移除个别100nF电容且复检无新增违规）；预检对其中48条打了高风险标记但均未直接否决，全部否决均来自复检。</w:t>
      </w:r>
    </w:p>
    <w:p>
      <w:pPr>
        <w:keepNext/>
        <w:spacing w:after="80" w:before="200" w:line="300"/>
        <w:jc w:val="center"/>
      </w:pPr>
      <w:r>
        <w:rPr>
          <w:rFonts w:ascii="Times New Roman" w:eastAsia="SimSun"/>
          <w:color w:val="000000"/>
          <w:sz w:val="21"/>
          <w:szCs w:val="21"/>
        </w:rPr>
        <w:t xml:space="preserve">表4　三臂对比（120条提出变更的建议）</w:t>
      </w:r>
    </w:p>
    <w:tbl>
      <w:tblPr>
        <w:tblW w:type="pct" w:w="5000"/>
        <w:tblBorders>
          <w:top w:val="single" w:color="000000" w:sz="6"/>
          <w:left w:val="none" w:color="FFFFFF" w:sz="0"/>
          <w:bottom w:val="single" w:color="000000" w:sz="6"/>
          <w:right w:val="none" w:color="FFFFFF" w:sz="0"/>
          <w:insideH w:val="none" w:color="FFFFFF" w:sz="0"/>
          <w:insideV w:val="none" w:color="FFFFFF" w:sz="0"/>
        </w:tblBorders>
      </w:tblPr>
      <w:tblGrid>
        <w:gridCol w:w="1933"/>
        <w:gridCol w:w="2812"/>
        <w:gridCol w:w="2285"/>
        <w:gridCol w:w="1758"/>
      </w:tblGrid>
      <w:tr>
        <w:trPr>
          <w:cantSplit/>
          <w:tblHeader/>
        </w:trPr>
        <w:tc>
          <w:tcPr>
            <w:tcW w:type="pct" w:w="1100"/>
            <w:tcBorders>
              <w:top w:val="single" w:color="000000" w:sz="6"/>
              <w:left w:val="none" w:color="FFFFFF" w:sz="0"/>
              <w:bottom w:val="single" w:color="000000" w:sz="4"/>
              <w:right w:val="none" w:color="FFFFFF" w:sz="0"/>
            </w:tcBorders>
            <w:tcMar>
              <w:top w:type="dxa" w:w="60"/>
              <w:left w:type="dxa" w:w="100"/>
              <w:bottom w:type="dxa" w:w="60"/>
              <w:right w:type="dxa" w:w="100"/>
            </w:tcMar>
          </w:tcPr>
          <w:p>
            <w:pPr>
              <w:spacing w:line="300"/>
              <w:jc w:val="center"/>
            </w:pPr>
            <w:r>
              <w:rPr>
                <w:rFonts w:ascii="Times New Roman" w:eastAsia="SimSun"/>
                <w:b/>
                <w:bCs/>
                <w:color w:val="000000"/>
                <w:sz w:val="21"/>
                <w:szCs w:val="21"/>
              </w:rPr>
              <w:t xml:space="preserve">实验臂</w:t>
            </w:r>
          </w:p>
        </w:tc>
        <w:tc>
          <w:tcPr>
            <w:tcW w:type="pct" w:w="1600"/>
            <w:tcBorders>
              <w:top w:val="single" w:color="000000" w:sz="6"/>
              <w:left w:val="none" w:color="FFFFFF" w:sz="0"/>
              <w:bottom w:val="single" w:color="000000" w:sz="4"/>
              <w:right w:val="none" w:color="FFFFFF" w:sz="0"/>
            </w:tcBorders>
            <w:tcMar>
              <w:top w:type="dxa" w:w="60"/>
              <w:left w:type="dxa" w:w="100"/>
              <w:bottom w:type="dxa" w:w="60"/>
              <w:right w:type="dxa" w:w="100"/>
            </w:tcMar>
          </w:tcPr>
          <w:p>
            <w:pPr>
              <w:spacing w:line="300"/>
              <w:jc w:val="center"/>
            </w:pPr>
            <w:r>
              <w:rPr>
                <w:rFonts w:ascii="Times New Roman" w:eastAsia="SimSun"/>
                <w:b/>
                <w:bCs/>
                <w:color w:val="000000"/>
                <w:sz w:val="21"/>
                <w:szCs w:val="21"/>
              </w:rPr>
              <w:t xml:space="preserve">设置</w:t>
            </w:r>
          </w:p>
        </w:tc>
        <w:tc>
          <w:tcPr>
            <w:tcW w:type="pct" w:w="1300"/>
            <w:tcBorders>
              <w:top w:val="single" w:color="000000" w:sz="6"/>
              <w:left w:val="none" w:color="FFFFFF" w:sz="0"/>
              <w:bottom w:val="single" w:color="000000" w:sz="4"/>
              <w:right w:val="none" w:color="FFFFFF" w:sz="0"/>
            </w:tcBorders>
            <w:tcMar>
              <w:top w:type="dxa" w:w="60"/>
              <w:left w:type="dxa" w:w="100"/>
              <w:bottom w:type="dxa" w:w="60"/>
              <w:right w:type="dxa" w:w="100"/>
            </w:tcMar>
          </w:tcPr>
          <w:p>
            <w:pPr>
              <w:spacing w:line="300"/>
              <w:jc w:val="center"/>
            </w:pPr>
            <w:r>
              <w:rPr>
                <w:rFonts w:ascii="Times New Roman" w:eastAsia="SimSun"/>
                <w:b/>
                <w:bCs/>
                <w:color w:val="000000"/>
                <w:sz w:val="21"/>
                <w:szCs w:val="21"/>
              </w:rPr>
              <w:t xml:space="preserve">可采纳/收敛</w:t>
            </w:r>
          </w:p>
        </w:tc>
        <w:tc>
          <w:tcPr>
            <w:tcW w:type="pct" w:w="1000"/>
            <w:tcBorders>
              <w:top w:val="single" w:color="000000" w:sz="6"/>
              <w:left w:val="none" w:color="FFFFFF" w:sz="0"/>
              <w:bottom w:val="single" w:color="000000" w:sz="4"/>
              <w:right w:val="none" w:color="FFFFFF" w:sz="0"/>
            </w:tcBorders>
            <w:tcMar>
              <w:top w:type="dxa" w:w="60"/>
              <w:left w:type="dxa" w:w="100"/>
              <w:bottom w:type="dxa" w:w="60"/>
              <w:right w:type="dxa" w:w="100"/>
            </w:tcMar>
          </w:tcPr>
          <w:p>
            <w:pPr>
              <w:spacing w:line="300"/>
              <w:jc w:val="center"/>
            </w:pPr>
            <w:r>
              <w:rPr>
                <w:rFonts w:ascii="Times New Roman" w:eastAsia="SimSun"/>
                <w:b/>
                <w:bCs/>
                <w:color w:val="000000"/>
                <w:sz w:val="21"/>
                <w:szCs w:val="21"/>
              </w:rPr>
              <w:t xml:space="preserve">blocking残留</w:t>
            </w:r>
          </w:p>
        </w:tc>
      </w:tr>
      <w:tr>
        <w:trPr>
          <w:cantSplit/>
        </w:trPr>
        <w:tc>
          <w:tcPr>
            <w:tcW w:type="pct" w:w="11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left"/>
            </w:pPr>
            <w:r>
              <w:rPr>
                <w:rFonts w:ascii="Times New Roman" w:eastAsia="SimSun"/>
                <w:color w:val="000000"/>
                <w:sz w:val="21"/>
                <w:szCs w:val="21"/>
              </w:rPr>
              <w:t xml:space="preserve">直出（无验证）</w:t>
            </w:r>
          </w:p>
        </w:tc>
        <w:tc>
          <w:tcPr>
            <w:tcW w:type="pct" w:w="16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首轮变更直接进入设计</w:t>
            </w:r>
          </w:p>
        </w:tc>
        <w:tc>
          <w:tcPr>
            <w:tcW w:type="pct" w:w="13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120（全部采纳）</w:t>
            </w:r>
          </w:p>
        </w:tc>
        <w:tc>
          <w:tcPr>
            <w:tcW w:type="pct" w:w="10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80条次（23条建议）</w:t>
            </w:r>
          </w:p>
        </w:tc>
      </w:tr>
      <w:tr>
        <w:trPr>
          <w:cantSplit/>
        </w:trPr>
        <w:tc>
          <w:tcPr>
            <w:tcW w:type="pct" w:w="11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left"/>
            </w:pPr>
            <w:r>
              <w:rPr>
                <w:rFonts w:ascii="Times New Roman" w:eastAsia="SimSun"/>
                <w:color w:val="000000"/>
                <w:sz w:val="21"/>
                <w:szCs w:val="21"/>
              </w:rPr>
              <w:t xml:space="preserve">单次门</w:t>
            </w:r>
          </w:p>
        </w:tc>
        <w:tc>
          <w:tcPr>
            <w:tcW w:type="pct" w:w="16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一次复检，有新违规即拒绝</w:t>
            </w:r>
          </w:p>
        </w:tc>
        <w:tc>
          <w:tcPr>
            <w:tcW w:type="pct" w:w="13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89（74.2%）</w:t>
            </w:r>
          </w:p>
        </w:tc>
        <w:tc>
          <w:tcPr>
            <w:tcW w:type="pct" w:w="10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0</w:t>
            </w:r>
          </w:p>
        </w:tc>
      </w:tr>
      <w:tr>
        <w:trPr>
          <w:cantSplit/>
        </w:trPr>
        <w:tc>
          <w:tcPr>
            <w:tcW w:type="pct" w:w="1100"/>
            <w:tcBorders>
              <w:top w:val="none" w:color="FFFFFF" w:sz="0"/>
              <w:left w:val="none" w:color="FFFFFF" w:sz="0"/>
              <w:bottom w:val="single" w:color="000000" w:sz="6"/>
              <w:right w:val="none" w:color="FFFFFF" w:sz="0"/>
            </w:tcBorders>
            <w:tcMar>
              <w:top w:type="dxa" w:w="50"/>
              <w:left w:type="dxa" w:w="100"/>
              <w:bottom w:type="dxa" w:w="50"/>
              <w:right w:type="dxa" w:w="100"/>
            </w:tcMar>
          </w:tcPr>
          <w:p>
            <w:pPr>
              <w:spacing w:line="300"/>
              <w:jc w:val="left"/>
            </w:pPr>
            <w:r>
              <w:rPr>
                <w:rFonts w:ascii="Times New Roman" w:eastAsia="SimSun"/>
                <w:color w:val="000000"/>
                <w:sz w:val="21"/>
                <w:szCs w:val="21"/>
              </w:rPr>
              <w:t xml:space="preserve">闭环（本文）</w:t>
            </w:r>
          </w:p>
        </w:tc>
        <w:tc>
          <w:tcPr>
            <w:tcW w:type="pct" w:w="1600"/>
            <w:tcBorders>
              <w:top w:val="none" w:color="FFFFFF" w:sz="0"/>
              <w:left w:val="none" w:color="FFFFFF" w:sz="0"/>
              <w:bottom w:val="single" w:color="000000" w:sz="6"/>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复检+结构化反馈迭代≤3轮</w:t>
            </w:r>
          </w:p>
        </w:tc>
        <w:tc>
          <w:tcPr>
            <w:tcW w:type="pct" w:w="1300"/>
            <w:tcBorders>
              <w:top w:val="none" w:color="FFFFFF" w:sz="0"/>
              <w:left w:val="none" w:color="FFFFFF" w:sz="0"/>
              <w:bottom w:val="single" w:color="000000" w:sz="6"/>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113（94.2%，CI95 89.8～97.6）</w:t>
            </w:r>
          </w:p>
        </w:tc>
        <w:tc>
          <w:tcPr>
            <w:tcW w:type="pct" w:w="1000"/>
            <w:tcBorders>
              <w:top w:val="none" w:color="FFFFFF" w:sz="0"/>
              <w:left w:val="none" w:color="FFFFFF" w:sz="0"/>
              <w:bottom w:val="single" w:color="000000" w:sz="6"/>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0</w:t>
            </w:r>
          </w:p>
        </w:tc>
      </w:tr>
    </w:tbl>
    <w:p>
      <w:pPr>
        <w:spacing w:after="120"/>
      </w:pPr>
    </w:p>
    <w:p>
      <w:pPr>
        <w:spacing w:after="0" w:before="0" w:line="360"/>
        <w:ind w:firstLine="480"/>
        <w:jc w:val="both"/>
      </w:pPr>
      <w:r>
        <w:rPr>
          <w:rFonts w:ascii="Times New Roman" w:eastAsia="SimSun"/>
          <w:color w:val="000000"/>
          <w:sz w:val="24"/>
          <w:szCs w:val="24"/>
        </w:rPr>
        <w:t xml:space="preserve">blocking违规的清除情况如图3与图4所示。图3给出多轮用例中blocking违规数随轮次的收敛轨迹；图4为23条引入blocking违规的宿主建议的首轮/末轮对比：首轮合计80条次，末轮全部清零。清除路径分解是本实验最重要的定性发现：23条宿主建议的清除全部经整体撤销达成（修正-保留型为0）——即一旦变更触发blocking级新违规，LLM在结构化反馈下的行为模式是撤回而非修复；修正-保留路径仅发生在info级提示的场合。这印证了闭环对危险变更的实际作用机制是防御性隔离（拒答、撤销或仅落盘无害部分），而非缺陷修复，其保守性代价（可能连带丢弃有益变更）在5节讨论。</w:t>
      </w:r>
    </w:p>
    <w:p>
      <w:pPr>
        <w:keepNext/>
        <w:spacing w:before="160"/>
        <w:jc w:val="center"/>
      </w:pPr>
      <w:r>
        <w:drawing>
          <wp:inline distT="0" distB="0" distL="0" distR="0">
            <wp:extent cx="4953000" cy="30099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3009900"/>
                    </a:xfrm>
                    <a:prstGeom prst="rect">
                      <a:avLst/>
                    </a:prstGeom>
                  </pic:spPr>
                </pic:pic>
              </a:graphicData>
            </a:graphic>
          </wp:inline>
        </w:drawing>
      </w:r>
    </w:p>
    <w:p>
      <w:pPr>
        <w:spacing w:after="200" w:before="60" w:line="300"/>
        <w:jc w:val="center"/>
      </w:pPr>
      <w:r>
        <w:rPr>
          <w:rFonts w:ascii="Times New Roman" w:eastAsia="SimSun"/>
          <w:color w:val="000000"/>
          <w:sz w:val="21"/>
          <w:szCs w:val="21"/>
        </w:rPr>
        <w:t xml:space="preserve">图3　多轮用例的blocking违规数迭代收敛曲线（部分）</w:t>
      </w:r>
    </w:p>
    <w:p>
      <w:pPr>
        <w:keepNext/>
        <w:spacing w:before="160"/>
        <w:jc w:val="center"/>
      </w:pPr>
      <w:r>
        <w:drawing>
          <wp:inline distT="0" distB="0" distL="0" distR="0">
            <wp:extent cx="5334000" cy="23241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2324100"/>
                    </a:xfrm>
                    <a:prstGeom prst="rect">
                      <a:avLst/>
                    </a:prstGeom>
                  </pic:spPr>
                </pic:pic>
              </a:graphicData>
            </a:graphic>
          </wp:inline>
        </w:drawing>
      </w:r>
    </w:p>
    <w:p>
      <w:pPr>
        <w:spacing w:after="200" w:before="60" w:line="300"/>
        <w:jc w:val="center"/>
      </w:pPr>
      <w:r>
        <w:rPr>
          <w:rFonts w:ascii="Times New Roman" w:eastAsia="SimSun"/>
          <w:color w:val="000000"/>
          <w:sz w:val="21"/>
          <w:szCs w:val="21"/>
        </w:rPr>
        <w:t xml:space="preserve">图4　宿主建议的blocking违规清除：首轮引入 vs 末轮残留</w:t>
      </w:r>
    </w:p>
    <w:p>
      <w:pPr>
        <w:spacing w:after="0" w:before="0" w:line="360"/>
        <w:ind w:firstLine="480"/>
        <w:jc w:val="both"/>
      </w:pPr>
      <w:r>
        <w:rPr>
          <w:rFonts w:ascii="Times New Roman" w:eastAsia="SimSun"/>
          <w:color w:val="000000"/>
          <w:sz w:val="24"/>
          <w:szCs w:val="24"/>
        </w:rPr>
        <w:t xml:space="preserve">分建议类型的表现如表5所示：安全类均零变更通过；危险类平均1.25轮（撤销型均为2轮内）；优化类平均1.10轮、72条落盘。评分守门项（式(1)第二条件）在16条建议的流程中单独触发（无新规则违规但评分降幅超2.0分），全流程共34轮次出现大于2分的降幅（最大7.6分），τ取2.0时这些变更被送回修正；τ的敏感性受限于修正路径依赖历史反馈、无法离线重放，本文以触发频次披露代替。时间开销如图5所示：安全检查类建议平均2.4s，危险类与优化类分别约24.9s与21.8s，闭环整体平均19.2s每条建议；对照直出的单次调用约5～10s，闭环时延约为直出的2～4倍，主要由LLM调用次数构成，单次DRC复检不足0.1s。全量实验另含多智能体审查（平均36.5s每板，图5），其评分均值为94.2分（最低88.7、最高98.3，等级A+级28个、A级51个）——该数值与收敛率94.2%为纯属巧合，多智能体评分按3.5节声明仅作相对画像、不构成有效性证据，故不进入摘要。</w:t>
      </w:r>
    </w:p>
    <w:p>
      <w:pPr>
        <w:keepNext/>
        <w:spacing w:after="80" w:before="200" w:line="300"/>
        <w:jc w:val="center"/>
      </w:pPr>
      <w:r>
        <w:rPr>
          <w:rFonts w:ascii="Times New Roman" w:eastAsia="SimSun"/>
          <w:color w:val="000000"/>
          <w:sz w:val="21"/>
          <w:szCs w:val="21"/>
        </w:rPr>
        <w:t xml:space="preserve">表5　闭环验证分建议类型结果</w:t>
      </w:r>
    </w:p>
    <w:tbl>
      <w:tblPr>
        <w:tblW w:type="pct" w:w="5000"/>
        <w:tblBorders>
          <w:top w:val="single" w:color="000000" w:sz="6"/>
          <w:left w:val="none" w:color="FFFFFF" w:sz="0"/>
          <w:bottom w:val="single" w:color="000000" w:sz="6"/>
          <w:right w:val="none" w:color="FFFFFF" w:sz="0"/>
          <w:insideH w:val="none" w:color="FFFFFF" w:sz="0"/>
          <w:insideV w:val="none" w:color="FFFFFF" w:sz="0"/>
        </w:tblBorders>
      </w:tblPr>
      <w:tblGrid>
        <w:gridCol w:w="1758"/>
        <w:gridCol w:w="879"/>
        <w:gridCol w:w="1406"/>
        <w:gridCol w:w="1142"/>
        <w:gridCol w:w="1142"/>
        <w:gridCol w:w="1055"/>
        <w:gridCol w:w="1406"/>
      </w:tblGrid>
      <w:tr>
        <w:trPr>
          <w:cantSplit/>
          <w:tblHeader/>
        </w:trPr>
        <w:tc>
          <w:tcPr>
            <w:tcW w:type="pct" w:w="1000"/>
            <w:tcBorders>
              <w:top w:val="single" w:color="000000" w:sz="6"/>
              <w:left w:val="none" w:color="FFFFFF" w:sz="0"/>
              <w:bottom w:val="single" w:color="000000" w:sz="4"/>
              <w:right w:val="none" w:color="FFFFFF" w:sz="0"/>
            </w:tcBorders>
            <w:tcMar>
              <w:top w:type="dxa" w:w="60"/>
              <w:left w:type="dxa" w:w="100"/>
              <w:bottom w:type="dxa" w:w="60"/>
              <w:right w:type="dxa" w:w="100"/>
            </w:tcMar>
          </w:tcPr>
          <w:p>
            <w:pPr>
              <w:spacing w:line="300"/>
              <w:jc w:val="center"/>
            </w:pPr>
            <w:r>
              <w:rPr>
                <w:rFonts w:ascii="Times New Roman" w:eastAsia="SimSun"/>
                <w:b/>
                <w:bCs/>
                <w:color w:val="000000"/>
                <w:sz w:val="21"/>
                <w:szCs w:val="21"/>
              </w:rPr>
              <w:t xml:space="preserve">建议类型</w:t>
            </w:r>
          </w:p>
        </w:tc>
        <w:tc>
          <w:tcPr>
            <w:tcW w:type="pct" w:w="500"/>
            <w:tcBorders>
              <w:top w:val="single" w:color="000000" w:sz="6"/>
              <w:left w:val="none" w:color="FFFFFF" w:sz="0"/>
              <w:bottom w:val="single" w:color="000000" w:sz="4"/>
              <w:right w:val="none" w:color="FFFFFF" w:sz="0"/>
            </w:tcBorders>
            <w:tcMar>
              <w:top w:type="dxa" w:w="60"/>
              <w:left w:type="dxa" w:w="100"/>
              <w:bottom w:type="dxa" w:w="60"/>
              <w:right w:type="dxa" w:w="100"/>
            </w:tcMar>
          </w:tcPr>
          <w:p>
            <w:pPr>
              <w:spacing w:line="300"/>
              <w:jc w:val="center"/>
            </w:pPr>
            <w:r>
              <w:rPr>
                <w:rFonts w:ascii="Times New Roman" w:eastAsia="SimSun"/>
                <w:b/>
                <w:bCs/>
                <w:color w:val="000000"/>
                <w:sz w:val="21"/>
                <w:szCs w:val="21"/>
              </w:rPr>
              <w:t xml:space="preserve">条数</w:t>
            </w:r>
          </w:p>
        </w:tc>
        <w:tc>
          <w:tcPr>
            <w:tcW w:type="pct" w:w="800"/>
            <w:tcBorders>
              <w:top w:val="single" w:color="000000" w:sz="6"/>
              <w:left w:val="none" w:color="FFFFFF" w:sz="0"/>
              <w:bottom w:val="single" w:color="000000" w:sz="4"/>
              <w:right w:val="none" w:color="FFFFFF" w:sz="0"/>
            </w:tcBorders>
            <w:tcMar>
              <w:top w:type="dxa" w:w="60"/>
              <w:left w:type="dxa" w:w="100"/>
              <w:bottom w:type="dxa" w:w="60"/>
              <w:right w:type="dxa" w:w="100"/>
            </w:tcMar>
          </w:tcPr>
          <w:p>
            <w:pPr>
              <w:spacing w:line="300"/>
              <w:jc w:val="center"/>
            </w:pPr>
            <w:r>
              <w:rPr>
                <w:rFonts w:ascii="Times New Roman" w:eastAsia="SimSun"/>
                <w:b/>
                <w:bCs/>
                <w:color w:val="000000"/>
                <w:sz w:val="21"/>
                <w:szCs w:val="21"/>
              </w:rPr>
              <w:t xml:space="preserve">零变更回应</w:t>
            </w:r>
          </w:p>
        </w:tc>
        <w:tc>
          <w:tcPr>
            <w:tcW w:type="pct" w:w="650"/>
            <w:tcBorders>
              <w:top w:val="single" w:color="000000" w:sz="6"/>
              <w:left w:val="none" w:color="FFFFFF" w:sz="0"/>
              <w:bottom w:val="single" w:color="000000" w:sz="4"/>
              <w:right w:val="none" w:color="FFFFFF" w:sz="0"/>
            </w:tcBorders>
            <w:tcMar>
              <w:top w:type="dxa" w:w="60"/>
              <w:left w:type="dxa" w:w="100"/>
              <w:bottom w:type="dxa" w:w="60"/>
              <w:right w:type="dxa" w:w="100"/>
            </w:tcMar>
          </w:tcPr>
          <w:p>
            <w:pPr>
              <w:spacing w:line="300"/>
              <w:jc w:val="center"/>
            </w:pPr>
            <w:r>
              <w:rPr>
                <w:rFonts w:ascii="Times New Roman" w:eastAsia="SimSun"/>
                <w:b/>
                <w:bCs/>
                <w:color w:val="000000"/>
                <w:sz w:val="21"/>
                <w:szCs w:val="21"/>
              </w:rPr>
              <w:t xml:space="preserve">落盘变更</w:t>
            </w:r>
          </w:p>
        </w:tc>
        <w:tc>
          <w:tcPr>
            <w:tcW w:type="pct" w:w="650"/>
            <w:tcBorders>
              <w:top w:val="single" w:color="000000" w:sz="6"/>
              <w:left w:val="none" w:color="FFFFFF" w:sz="0"/>
              <w:bottom w:val="single" w:color="000000" w:sz="4"/>
              <w:right w:val="none" w:color="FFFFFF" w:sz="0"/>
            </w:tcBorders>
            <w:tcMar>
              <w:top w:type="dxa" w:w="60"/>
              <w:left w:type="dxa" w:w="100"/>
              <w:bottom w:type="dxa" w:w="60"/>
              <w:right w:type="dxa" w:w="100"/>
            </w:tcMar>
          </w:tcPr>
          <w:p>
            <w:pPr>
              <w:spacing w:line="300"/>
              <w:jc w:val="center"/>
            </w:pPr>
            <w:r>
              <w:rPr>
                <w:rFonts w:ascii="Times New Roman" w:eastAsia="SimSun"/>
                <w:b/>
                <w:bCs/>
                <w:color w:val="000000"/>
                <w:sz w:val="21"/>
                <w:szCs w:val="21"/>
              </w:rPr>
              <w:t xml:space="preserve">整体撤销</w:t>
            </w:r>
          </w:p>
        </w:tc>
        <w:tc>
          <w:tcPr>
            <w:tcW w:type="pct" w:w="600"/>
            <w:tcBorders>
              <w:top w:val="single" w:color="000000" w:sz="6"/>
              <w:left w:val="none" w:color="FFFFFF" w:sz="0"/>
              <w:bottom w:val="single" w:color="000000" w:sz="4"/>
              <w:right w:val="none" w:color="FFFFFF" w:sz="0"/>
            </w:tcBorders>
            <w:tcMar>
              <w:top w:type="dxa" w:w="60"/>
              <w:left w:type="dxa" w:w="100"/>
              <w:bottom w:type="dxa" w:w="60"/>
              <w:right w:type="dxa" w:w="100"/>
            </w:tcMar>
          </w:tcPr>
          <w:p>
            <w:pPr>
              <w:spacing w:line="300"/>
              <w:jc w:val="center"/>
            </w:pPr>
            <w:r>
              <w:rPr>
                <w:rFonts w:ascii="Times New Roman" w:eastAsia="SimSun"/>
                <w:b/>
                <w:bCs/>
                <w:color w:val="000000"/>
                <w:sz w:val="21"/>
                <w:szCs w:val="21"/>
              </w:rPr>
              <w:t xml:space="preserve">平均轮次</w:t>
            </w:r>
          </w:p>
        </w:tc>
        <w:tc>
          <w:tcPr>
            <w:tcW w:type="pct" w:w="800"/>
            <w:tcBorders>
              <w:top w:val="single" w:color="000000" w:sz="6"/>
              <w:left w:val="none" w:color="FFFFFF" w:sz="0"/>
              <w:bottom w:val="single" w:color="000000" w:sz="4"/>
              <w:right w:val="none" w:color="FFFFFF" w:sz="0"/>
            </w:tcBorders>
            <w:tcMar>
              <w:top w:type="dxa" w:w="60"/>
              <w:left w:type="dxa" w:w="100"/>
              <w:bottom w:type="dxa" w:w="60"/>
              <w:right w:type="dxa" w:w="100"/>
            </w:tcMar>
          </w:tcPr>
          <w:p>
            <w:pPr>
              <w:spacing w:line="300"/>
              <w:jc w:val="center"/>
            </w:pPr>
            <w:r>
              <w:rPr>
                <w:rFonts w:ascii="Times New Roman" w:eastAsia="SimSun"/>
                <w:b/>
                <w:bCs/>
                <w:color w:val="000000"/>
                <w:sz w:val="21"/>
                <w:szCs w:val="21"/>
              </w:rPr>
              <w:t xml:space="preserve">平均耗时</w:t>
            </w:r>
          </w:p>
        </w:tc>
      </w:tr>
      <w:tr>
        <w:trPr>
          <w:cantSplit/>
        </w:trPr>
        <w:tc>
          <w:tcPr>
            <w:tcW w:type="pct" w:w="10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left"/>
            </w:pPr>
            <w:r>
              <w:rPr>
                <w:rFonts w:ascii="Times New Roman" w:eastAsia="SimSun"/>
                <w:color w:val="000000"/>
                <w:sz w:val="21"/>
                <w:szCs w:val="21"/>
              </w:rPr>
              <w:t xml:space="preserve">安全检查类</w:t>
            </w:r>
          </w:p>
        </w:tc>
        <w:tc>
          <w:tcPr>
            <w:tcW w:type="pct" w:w="5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79</w:t>
            </w:r>
          </w:p>
        </w:tc>
        <w:tc>
          <w:tcPr>
            <w:tcW w:type="pct" w:w="8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79</w:t>
            </w:r>
          </w:p>
        </w:tc>
        <w:tc>
          <w:tcPr>
            <w:tcW w:type="pct" w:w="65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0</w:t>
            </w:r>
          </w:p>
        </w:tc>
        <w:tc>
          <w:tcPr>
            <w:tcW w:type="pct" w:w="65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0</w:t>
            </w:r>
          </w:p>
        </w:tc>
        <w:tc>
          <w:tcPr>
            <w:tcW w:type="pct" w:w="6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1.00</w:t>
            </w:r>
          </w:p>
        </w:tc>
        <w:tc>
          <w:tcPr>
            <w:tcW w:type="pct" w:w="8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2.4 s</w:t>
            </w:r>
          </w:p>
        </w:tc>
      </w:tr>
      <w:tr>
        <w:trPr>
          <w:cantSplit/>
        </w:trPr>
        <w:tc>
          <w:tcPr>
            <w:tcW w:type="pct" w:w="10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left"/>
            </w:pPr>
            <w:r>
              <w:rPr>
                <w:rFonts w:ascii="Times New Roman" w:eastAsia="SimSun"/>
                <w:color w:val="000000"/>
                <w:sz w:val="21"/>
                <w:szCs w:val="21"/>
              </w:rPr>
              <w:t xml:space="preserve">危险变更类</w:t>
            </w:r>
          </w:p>
        </w:tc>
        <w:tc>
          <w:tcPr>
            <w:tcW w:type="pct" w:w="5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158</w:t>
            </w:r>
          </w:p>
        </w:tc>
        <w:tc>
          <w:tcPr>
            <w:tcW w:type="pct" w:w="8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110</w:t>
            </w:r>
          </w:p>
        </w:tc>
        <w:tc>
          <w:tcPr>
            <w:tcW w:type="pct" w:w="65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9</w:t>
            </w:r>
          </w:p>
        </w:tc>
        <w:tc>
          <w:tcPr>
            <w:tcW w:type="pct" w:w="65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39</w:t>
            </w:r>
          </w:p>
        </w:tc>
        <w:tc>
          <w:tcPr>
            <w:tcW w:type="pct" w:w="6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1.25</w:t>
            </w:r>
          </w:p>
        </w:tc>
        <w:tc>
          <w:tcPr>
            <w:tcW w:type="pct" w:w="8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24.9 s</w:t>
            </w:r>
          </w:p>
        </w:tc>
      </w:tr>
      <w:tr>
        <w:trPr>
          <w:cantSplit/>
        </w:trPr>
        <w:tc>
          <w:tcPr>
            <w:tcW w:type="pct" w:w="1000"/>
            <w:tcBorders>
              <w:top w:val="none" w:color="FFFFFF" w:sz="0"/>
              <w:left w:val="none" w:color="FFFFFF" w:sz="0"/>
              <w:bottom w:val="single" w:color="000000" w:sz="6"/>
              <w:right w:val="none" w:color="FFFFFF" w:sz="0"/>
            </w:tcBorders>
            <w:tcMar>
              <w:top w:type="dxa" w:w="50"/>
              <w:left w:type="dxa" w:w="100"/>
              <w:bottom w:type="dxa" w:w="50"/>
              <w:right w:type="dxa" w:w="100"/>
            </w:tcMar>
          </w:tcPr>
          <w:p>
            <w:pPr>
              <w:spacing w:line="300"/>
              <w:jc w:val="left"/>
            </w:pPr>
            <w:r>
              <w:rPr>
                <w:rFonts w:ascii="Times New Roman" w:eastAsia="SimSun"/>
                <w:color w:val="000000"/>
                <w:sz w:val="21"/>
                <w:szCs w:val="21"/>
              </w:rPr>
              <w:t xml:space="preserve">优化改进类</w:t>
            </w:r>
          </w:p>
        </w:tc>
        <w:tc>
          <w:tcPr>
            <w:tcW w:type="pct" w:w="500"/>
            <w:tcBorders>
              <w:top w:val="none" w:color="FFFFFF" w:sz="0"/>
              <w:left w:val="none" w:color="FFFFFF" w:sz="0"/>
              <w:bottom w:val="single" w:color="000000" w:sz="6"/>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158</w:t>
            </w:r>
          </w:p>
        </w:tc>
        <w:tc>
          <w:tcPr>
            <w:tcW w:type="pct" w:w="800"/>
            <w:tcBorders>
              <w:top w:val="none" w:color="FFFFFF" w:sz="0"/>
              <w:left w:val="none" w:color="FFFFFF" w:sz="0"/>
              <w:bottom w:val="single" w:color="000000" w:sz="6"/>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86</w:t>
            </w:r>
          </w:p>
        </w:tc>
        <w:tc>
          <w:tcPr>
            <w:tcW w:type="pct" w:w="650"/>
            <w:tcBorders>
              <w:top w:val="none" w:color="FFFFFF" w:sz="0"/>
              <w:left w:val="none" w:color="FFFFFF" w:sz="0"/>
              <w:bottom w:val="single" w:color="000000" w:sz="6"/>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72</w:t>
            </w:r>
          </w:p>
        </w:tc>
        <w:tc>
          <w:tcPr>
            <w:tcW w:type="pct" w:w="650"/>
            <w:tcBorders>
              <w:top w:val="none" w:color="FFFFFF" w:sz="0"/>
              <w:left w:val="none" w:color="FFFFFF" w:sz="0"/>
              <w:bottom w:val="single" w:color="000000" w:sz="6"/>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0</w:t>
            </w:r>
          </w:p>
        </w:tc>
        <w:tc>
          <w:tcPr>
            <w:tcW w:type="pct" w:w="600"/>
            <w:tcBorders>
              <w:top w:val="none" w:color="FFFFFF" w:sz="0"/>
              <w:left w:val="none" w:color="FFFFFF" w:sz="0"/>
              <w:bottom w:val="single" w:color="000000" w:sz="6"/>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1.10</w:t>
            </w:r>
          </w:p>
        </w:tc>
        <w:tc>
          <w:tcPr>
            <w:tcW w:type="pct" w:w="800"/>
            <w:tcBorders>
              <w:top w:val="none" w:color="FFFFFF" w:sz="0"/>
              <w:left w:val="none" w:color="FFFFFF" w:sz="0"/>
              <w:bottom w:val="single" w:color="000000" w:sz="6"/>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21.8 s</w:t>
            </w:r>
          </w:p>
        </w:tc>
      </w:tr>
    </w:tbl>
    <w:p>
      <w:pPr>
        <w:spacing w:after="120"/>
      </w:pPr>
    </w:p>
    <w:p>
      <w:pPr>
        <w:keepNext/>
        <w:spacing w:before="160"/>
        <w:jc w:val="center"/>
      </w:pPr>
      <w:r>
        <w:drawing>
          <wp:inline distT="0" distB="0" distL="0" distR="0">
            <wp:extent cx="4191000" cy="29718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191000" cy="2971800"/>
                    </a:xfrm>
                    <a:prstGeom prst="rect">
                      <a:avLst/>
                    </a:prstGeom>
                  </pic:spPr>
                </pic:pic>
              </a:graphicData>
            </a:graphic>
          </wp:inline>
        </w:drawing>
      </w:r>
    </w:p>
    <w:p>
      <w:pPr>
        <w:spacing w:after="200" w:before="60" w:line="300"/>
        <w:jc w:val="center"/>
      </w:pPr>
      <w:r>
        <w:rPr>
          <w:rFonts w:ascii="Times New Roman" w:eastAsia="SimSun"/>
          <w:color w:val="000000"/>
          <w:sz w:val="21"/>
          <w:szCs w:val="21"/>
        </w:rPr>
        <w:t xml:space="preserve">图5　各实验阶段平均耗时对比</w:t>
      </w:r>
    </w:p>
    <w:p>
      <w:pPr>
        <w:pStyle w:val="Heading2"/>
        <w:keepNext/>
        <w:spacing w:after="140" w:before="280" w:line="360"/>
      </w:pPr>
      <w:r>
        <w:rPr>
          <w:rFonts w:ascii="Times New Roman" w:eastAsia="SimHei"/>
          <w:b/>
          <w:bCs/>
          <w:color w:val="000000"/>
          <w:sz w:val="28"/>
          <w:szCs w:val="28"/>
        </w:rPr>
        <w:t xml:space="preserve">4.4　多智能体审查画像</w:t>
      </w:r>
    </w:p>
    <w:p>
      <w:pPr>
        <w:spacing w:after="0" w:before="0" w:line="360"/>
        <w:ind w:firstLine="480"/>
        <w:jc w:val="both"/>
      </w:pPr>
      <w:r>
        <w:rPr>
          <w:rFonts w:ascii="Times New Roman" w:eastAsia="SimSun"/>
          <w:color w:val="000000"/>
          <w:sz w:val="24"/>
          <w:szCs w:val="24"/>
        </w:rPr>
        <w:t xml:space="preserve">79个设计的六维画像均值依次为：热管理99.6、信号完整性96.6、可制造性93.6、成本92.9、电磁兼容92.5、电源完整性89.9。画像分布高度压缩（88.7～98.3，全部为A/A+级），提示评分器对开源设计的区分度有限、存在天花板效应；电源维度最低与DRC基线中电源类规则触发最频繁的方向一致，但两者同源于规则触发数据，属共同方法方差下的同向观察、不构成独立印证。图6以立创·泰山派3M（RK3576）开发板为例：该板DRC基线75条违规（5条warning、70条info），综合画像92.3（A级），电磁兼容维度满分，成本维度（77.1）因器件种类多而低于均值，显示了画像对具体设计的相对区分能力。按3.5节声明，本节结果不作为有效性证据。</w:t>
      </w:r>
    </w:p>
    <w:p>
      <w:pPr>
        <w:keepNext/>
        <w:spacing w:before="160"/>
        <w:jc w:val="center"/>
      </w:pPr>
      <w:r>
        <w:drawing>
          <wp:inline distT="0" distB="0" distL="0" distR="0">
            <wp:extent cx="3810000" cy="31051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810000" cy="3105150"/>
                    </a:xfrm>
                    <a:prstGeom prst="rect">
                      <a:avLst/>
                    </a:prstGeom>
                  </pic:spPr>
                </pic:pic>
              </a:graphicData>
            </a:graphic>
          </wp:inline>
        </w:drawing>
      </w:r>
    </w:p>
    <w:p>
      <w:pPr>
        <w:spacing w:after="200" w:before="60" w:line="300"/>
        <w:jc w:val="center"/>
      </w:pPr>
      <w:r>
        <w:rPr>
          <w:rFonts w:ascii="Times New Roman" w:eastAsia="SimSun"/>
          <w:color w:val="000000"/>
          <w:sz w:val="21"/>
          <w:szCs w:val="21"/>
        </w:rPr>
        <w:t xml:space="preserve">图6　立创·泰山派3M开发板多智能体六维评分雷达图</w:t>
      </w:r>
    </w:p>
    <w:p>
      <w:pPr>
        <w:pStyle w:val="Heading2"/>
        <w:keepNext/>
        <w:spacing w:after="140" w:before="280" w:line="360"/>
      </w:pPr>
      <w:r>
        <w:rPr>
          <w:rFonts w:ascii="Times New Roman" w:eastAsia="SimHei"/>
          <w:b/>
          <w:bCs/>
          <w:color w:val="000000"/>
          <w:sz w:val="28"/>
          <w:szCs w:val="28"/>
        </w:rPr>
        <w:t xml:space="preserve">4.5　程序化缺陷注入</w:t>
      </w:r>
    </w:p>
    <w:p>
      <w:pPr>
        <w:spacing w:after="0" w:before="0" w:line="360"/>
        <w:ind w:firstLine="480"/>
        <w:jc w:val="both"/>
      </w:pPr>
      <w:r>
        <w:rPr>
          <w:rFonts w:ascii="Times New Roman" w:eastAsia="SimSun"/>
          <w:color w:val="000000"/>
          <w:sz w:val="24"/>
          <w:szCs w:val="24"/>
        </w:rPr>
        <w:t xml:space="preserve">本实验单独评估规则引擎自身的召回能力，不涉及LLM与闭环（表4的闭环指标与之相互独立）。280次注入总检出268次（95.7%，按板聚类bootstrap 95%置信区间93.7%～97.5%），分型结果见表6：非标电阻值与电容耐压不足均为100%；移除去耦电容98.4%；删除TVS/ESD保护二极管89.8%；删除晶振负载电容84.0%，为最低项，其漏检发生于设计缺少网络关联数据的场景（此时相关规则按设计退化为提示级）。个别类型样本量极小（如删除LED限流电阻仅1例），其检出率不具统计意义。该漏检率同时量化了本文闭环隔离能力的上界：规则未覆盖的危险变更（约4%～16%分型依赖）不保证被拦截，这一上界限定应在任何安全性表述中显式携带。</w:t>
      </w:r>
    </w:p>
    <w:p>
      <w:pPr>
        <w:keepNext/>
        <w:spacing w:after="80" w:before="200" w:line="300"/>
        <w:jc w:val="center"/>
      </w:pPr>
      <w:r>
        <w:rPr>
          <w:rFonts w:ascii="Times New Roman" w:eastAsia="SimSun"/>
          <w:color w:val="000000"/>
          <w:sz w:val="21"/>
          <w:szCs w:val="21"/>
        </w:rPr>
        <w:t xml:space="preserve">表6　程序化缺陷注入检出结果</w:t>
      </w:r>
    </w:p>
    <w:tbl>
      <w:tblPr>
        <w:tblW w:type="pct" w:w="5000"/>
        <w:tblBorders>
          <w:top w:val="single" w:color="000000" w:sz="6"/>
          <w:left w:val="none" w:color="FFFFFF" w:sz="0"/>
          <w:bottom w:val="single" w:color="000000" w:sz="6"/>
          <w:right w:val="none" w:color="FFFFFF" w:sz="0"/>
          <w:insideH w:val="none" w:color="FFFFFF" w:sz="0"/>
          <w:insideV w:val="none" w:color="FFFFFF" w:sz="0"/>
        </w:tblBorders>
      </w:tblPr>
      <w:tblGrid>
        <w:gridCol w:w="3515"/>
        <w:gridCol w:w="1582"/>
        <w:gridCol w:w="1582"/>
        <w:gridCol w:w="2109"/>
      </w:tblGrid>
      <w:tr>
        <w:trPr>
          <w:cantSplit/>
          <w:tblHeader/>
        </w:trPr>
        <w:tc>
          <w:tcPr>
            <w:tcW w:type="pct" w:w="2000"/>
            <w:tcBorders>
              <w:top w:val="single" w:color="000000" w:sz="6"/>
              <w:left w:val="none" w:color="FFFFFF" w:sz="0"/>
              <w:bottom w:val="single" w:color="000000" w:sz="4"/>
              <w:right w:val="none" w:color="FFFFFF" w:sz="0"/>
            </w:tcBorders>
            <w:tcMar>
              <w:top w:type="dxa" w:w="60"/>
              <w:left w:type="dxa" w:w="100"/>
              <w:bottom w:type="dxa" w:w="60"/>
              <w:right w:type="dxa" w:w="100"/>
            </w:tcMar>
          </w:tcPr>
          <w:p>
            <w:pPr>
              <w:spacing w:line="300"/>
              <w:jc w:val="center"/>
            </w:pPr>
            <w:r>
              <w:rPr>
                <w:rFonts w:ascii="Times New Roman" w:eastAsia="SimSun"/>
                <w:b/>
                <w:bCs/>
                <w:color w:val="000000"/>
                <w:sz w:val="21"/>
                <w:szCs w:val="21"/>
              </w:rPr>
              <w:t xml:space="preserve">注入缺陷类型</w:t>
            </w:r>
          </w:p>
        </w:tc>
        <w:tc>
          <w:tcPr>
            <w:tcW w:type="pct" w:w="900"/>
            <w:tcBorders>
              <w:top w:val="single" w:color="000000" w:sz="6"/>
              <w:left w:val="none" w:color="FFFFFF" w:sz="0"/>
              <w:bottom w:val="single" w:color="000000" w:sz="4"/>
              <w:right w:val="none" w:color="FFFFFF" w:sz="0"/>
            </w:tcBorders>
            <w:tcMar>
              <w:top w:type="dxa" w:w="60"/>
              <w:left w:type="dxa" w:w="100"/>
              <w:bottom w:type="dxa" w:w="60"/>
              <w:right w:type="dxa" w:w="100"/>
            </w:tcMar>
          </w:tcPr>
          <w:p>
            <w:pPr>
              <w:spacing w:line="300"/>
              <w:jc w:val="center"/>
            </w:pPr>
            <w:r>
              <w:rPr>
                <w:rFonts w:ascii="Times New Roman" w:eastAsia="SimSun"/>
                <w:b/>
                <w:bCs/>
                <w:color w:val="000000"/>
                <w:sz w:val="21"/>
                <w:szCs w:val="21"/>
              </w:rPr>
              <w:t xml:space="preserve">注入次数</w:t>
            </w:r>
          </w:p>
        </w:tc>
        <w:tc>
          <w:tcPr>
            <w:tcW w:type="pct" w:w="900"/>
            <w:tcBorders>
              <w:top w:val="single" w:color="000000" w:sz="6"/>
              <w:left w:val="none" w:color="FFFFFF" w:sz="0"/>
              <w:bottom w:val="single" w:color="000000" w:sz="4"/>
              <w:right w:val="none" w:color="FFFFFF" w:sz="0"/>
            </w:tcBorders>
            <w:tcMar>
              <w:top w:type="dxa" w:w="60"/>
              <w:left w:type="dxa" w:w="100"/>
              <w:bottom w:type="dxa" w:w="60"/>
              <w:right w:type="dxa" w:w="100"/>
            </w:tcMar>
          </w:tcPr>
          <w:p>
            <w:pPr>
              <w:spacing w:line="300"/>
              <w:jc w:val="center"/>
            </w:pPr>
            <w:r>
              <w:rPr>
                <w:rFonts w:ascii="Times New Roman" w:eastAsia="SimSun"/>
                <w:b/>
                <w:bCs/>
                <w:color w:val="000000"/>
                <w:sz w:val="21"/>
                <w:szCs w:val="21"/>
              </w:rPr>
              <w:t xml:space="preserve">检出次数</w:t>
            </w:r>
          </w:p>
        </w:tc>
        <w:tc>
          <w:tcPr>
            <w:tcW w:type="pct" w:w="1200"/>
            <w:tcBorders>
              <w:top w:val="single" w:color="000000" w:sz="6"/>
              <w:left w:val="none" w:color="FFFFFF" w:sz="0"/>
              <w:bottom w:val="single" w:color="000000" w:sz="4"/>
              <w:right w:val="none" w:color="FFFFFF" w:sz="0"/>
            </w:tcBorders>
            <w:tcMar>
              <w:top w:type="dxa" w:w="60"/>
              <w:left w:type="dxa" w:w="100"/>
              <w:bottom w:type="dxa" w:w="60"/>
              <w:right w:type="dxa" w:w="100"/>
            </w:tcMar>
          </w:tcPr>
          <w:p>
            <w:pPr>
              <w:spacing w:line="300"/>
              <w:jc w:val="center"/>
            </w:pPr>
            <w:r>
              <w:rPr>
                <w:rFonts w:ascii="Times New Roman" w:eastAsia="SimSun"/>
                <w:b/>
                <w:bCs/>
                <w:color w:val="000000"/>
                <w:sz w:val="21"/>
                <w:szCs w:val="21"/>
              </w:rPr>
              <w:t xml:space="preserve">检出率</w:t>
            </w:r>
          </w:p>
        </w:tc>
      </w:tr>
      <w:tr>
        <w:trPr>
          <w:cantSplit/>
        </w:trPr>
        <w:tc>
          <w:tcPr>
            <w:tcW w:type="pct" w:w="20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left"/>
            </w:pPr>
            <w:r>
              <w:rPr>
                <w:rFonts w:ascii="Times New Roman" w:eastAsia="SimSun"/>
                <w:color w:val="000000"/>
                <w:sz w:val="21"/>
                <w:szCs w:val="21"/>
              </w:rPr>
              <w:t xml:space="preserve">改为非标电阻值</w:t>
            </w:r>
          </w:p>
        </w:tc>
        <w:tc>
          <w:tcPr>
            <w:tcW w:type="pct" w:w="9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73</w:t>
            </w:r>
          </w:p>
        </w:tc>
        <w:tc>
          <w:tcPr>
            <w:tcW w:type="pct" w:w="9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73</w:t>
            </w:r>
          </w:p>
        </w:tc>
        <w:tc>
          <w:tcPr>
            <w:tcW w:type="pct" w:w="12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100.0%</w:t>
            </w:r>
          </w:p>
        </w:tc>
      </w:tr>
      <w:tr>
        <w:trPr>
          <w:cantSplit/>
        </w:trPr>
        <w:tc>
          <w:tcPr>
            <w:tcW w:type="pct" w:w="20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left"/>
            </w:pPr>
            <w:r>
              <w:rPr>
                <w:rFonts w:ascii="Times New Roman" w:eastAsia="SimSun"/>
                <w:color w:val="000000"/>
                <w:sz w:val="21"/>
                <w:szCs w:val="21"/>
              </w:rPr>
              <w:t xml:space="preserve">电容耐压不足</w:t>
            </w:r>
          </w:p>
        </w:tc>
        <w:tc>
          <w:tcPr>
            <w:tcW w:type="pct" w:w="9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61</w:t>
            </w:r>
          </w:p>
        </w:tc>
        <w:tc>
          <w:tcPr>
            <w:tcW w:type="pct" w:w="9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61</w:t>
            </w:r>
          </w:p>
        </w:tc>
        <w:tc>
          <w:tcPr>
            <w:tcW w:type="pct" w:w="12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100.0%</w:t>
            </w:r>
          </w:p>
        </w:tc>
      </w:tr>
      <w:tr>
        <w:trPr>
          <w:cantSplit/>
        </w:trPr>
        <w:tc>
          <w:tcPr>
            <w:tcW w:type="pct" w:w="20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left"/>
            </w:pPr>
            <w:r>
              <w:rPr>
                <w:rFonts w:ascii="Times New Roman" w:eastAsia="SimSun"/>
                <w:color w:val="000000"/>
                <w:sz w:val="21"/>
                <w:szCs w:val="21"/>
              </w:rPr>
              <w:t xml:space="preserve">移除去耦电容</w:t>
            </w:r>
          </w:p>
        </w:tc>
        <w:tc>
          <w:tcPr>
            <w:tcW w:type="pct" w:w="9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61</w:t>
            </w:r>
          </w:p>
        </w:tc>
        <w:tc>
          <w:tcPr>
            <w:tcW w:type="pct" w:w="9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60</w:t>
            </w:r>
          </w:p>
        </w:tc>
        <w:tc>
          <w:tcPr>
            <w:tcW w:type="pct" w:w="12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98.4%</w:t>
            </w:r>
          </w:p>
        </w:tc>
      </w:tr>
      <w:tr>
        <w:trPr>
          <w:cantSplit/>
        </w:trPr>
        <w:tc>
          <w:tcPr>
            <w:tcW w:type="pct" w:w="20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left"/>
            </w:pPr>
            <w:r>
              <w:rPr>
                <w:rFonts w:ascii="Times New Roman" w:eastAsia="SimSun"/>
                <w:color w:val="000000"/>
                <w:sz w:val="21"/>
                <w:szCs w:val="21"/>
              </w:rPr>
              <w:t xml:space="preserve">删除TVS/ESD保护二极管</w:t>
            </w:r>
          </w:p>
        </w:tc>
        <w:tc>
          <w:tcPr>
            <w:tcW w:type="pct" w:w="9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59</w:t>
            </w:r>
          </w:p>
        </w:tc>
        <w:tc>
          <w:tcPr>
            <w:tcW w:type="pct" w:w="9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53</w:t>
            </w:r>
          </w:p>
        </w:tc>
        <w:tc>
          <w:tcPr>
            <w:tcW w:type="pct" w:w="12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89.8%</w:t>
            </w:r>
          </w:p>
        </w:tc>
      </w:tr>
      <w:tr>
        <w:trPr>
          <w:cantSplit/>
        </w:trPr>
        <w:tc>
          <w:tcPr>
            <w:tcW w:type="pct" w:w="20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left"/>
            </w:pPr>
            <w:r>
              <w:rPr>
                <w:rFonts w:ascii="Times New Roman" w:eastAsia="SimSun"/>
                <w:color w:val="000000"/>
                <w:sz w:val="21"/>
                <w:szCs w:val="21"/>
              </w:rPr>
              <w:t xml:space="preserve">删除晶振负载电容</w:t>
            </w:r>
          </w:p>
        </w:tc>
        <w:tc>
          <w:tcPr>
            <w:tcW w:type="pct" w:w="9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25</w:t>
            </w:r>
          </w:p>
        </w:tc>
        <w:tc>
          <w:tcPr>
            <w:tcW w:type="pct" w:w="9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21</w:t>
            </w:r>
          </w:p>
        </w:tc>
        <w:tc>
          <w:tcPr>
            <w:tcW w:type="pct" w:w="12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84.0%</w:t>
            </w:r>
          </w:p>
        </w:tc>
      </w:tr>
      <w:tr>
        <w:trPr>
          <w:cantSplit/>
        </w:trPr>
        <w:tc>
          <w:tcPr>
            <w:tcW w:type="pct" w:w="20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left"/>
            </w:pPr>
            <w:r>
              <w:rPr>
                <w:rFonts w:ascii="Times New Roman" w:eastAsia="SimSun"/>
                <w:color w:val="000000"/>
                <w:sz w:val="21"/>
                <w:szCs w:val="21"/>
              </w:rPr>
              <w:t xml:space="preserve">删除LED限流电阻</w:t>
            </w:r>
          </w:p>
        </w:tc>
        <w:tc>
          <w:tcPr>
            <w:tcW w:type="pct" w:w="9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1</w:t>
            </w:r>
          </w:p>
        </w:tc>
        <w:tc>
          <w:tcPr>
            <w:tcW w:type="pct" w:w="9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0</w:t>
            </w:r>
          </w:p>
        </w:tc>
        <w:tc>
          <w:tcPr>
            <w:tcW w:type="pct" w:w="12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0.0%</w:t>
            </w:r>
          </w:p>
        </w:tc>
      </w:tr>
      <w:tr>
        <w:trPr>
          <w:cantSplit/>
        </w:trPr>
        <w:tc>
          <w:tcPr>
            <w:tcW w:type="pct" w:w="2000"/>
            <w:tcBorders>
              <w:top w:val="none" w:color="FFFFFF" w:sz="0"/>
              <w:left w:val="none" w:color="FFFFFF" w:sz="0"/>
              <w:bottom w:val="single" w:color="000000" w:sz="6"/>
              <w:right w:val="none" w:color="FFFFFF" w:sz="0"/>
            </w:tcBorders>
            <w:tcMar>
              <w:top w:type="dxa" w:w="50"/>
              <w:left w:type="dxa" w:w="100"/>
              <w:bottom w:type="dxa" w:w="50"/>
              <w:right w:type="dxa" w:w="100"/>
            </w:tcMar>
          </w:tcPr>
          <w:p>
            <w:pPr>
              <w:spacing w:line="300"/>
              <w:jc w:val="left"/>
            </w:pPr>
            <w:r>
              <w:rPr>
                <w:rFonts w:ascii="Times New Roman" w:eastAsia="SimSun"/>
                <w:color w:val="000000"/>
                <w:sz w:val="21"/>
                <w:szCs w:val="21"/>
              </w:rPr>
              <w:t xml:space="preserve">合计</w:t>
            </w:r>
          </w:p>
        </w:tc>
        <w:tc>
          <w:tcPr>
            <w:tcW w:type="pct" w:w="900"/>
            <w:tcBorders>
              <w:top w:val="none" w:color="FFFFFF" w:sz="0"/>
              <w:left w:val="none" w:color="FFFFFF" w:sz="0"/>
              <w:bottom w:val="single" w:color="000000" w:sz="6"/>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280</w:t>
            </w:r>
          </w:p>
        </w:tc>
        <w:tc>
          <w:tcPr>
            <w:tcW w:type="pct" w:w="900"/>
            <w:tcBorders>
              <w:top w:val="none" w:color="FFFFFF" w:sz="0"/>
              <w:left w:val="none" w:color="FFFFFF" w:sz="0"/>
              <w:bottom w:val="single" w:color="000000" w:sz="6"/>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268</w:t>
            </w:r>
          </w:p>
        </w:tc>
        <w:tc>
          <w:tcPr>
            <w:tcW w:type="pct" w:w="1200"/>
            <w:tcBorders>
              <w:top w:val="none" w:color="FFFFFF" w:sz="0"/>
              <w:left w:val="none" w:color="FFFFFF" w:sz="0"/>
              <w:bottom w:val="single" w:color="000000" w:sz="6"/>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95.7%</w:t>
            </w:r>
          </w:p>
        </w:tc>
      </w:tr>
    </w:tbl>
    <w:p>
      <w:pPr>
        <w:spacing w:after="120"/>
      </w:pPr>
    </w:p>
    <w:p>
      <w:pPr>
        <w:pStyle w:val="Heading2"/>
        <w:keepNext/>
        <w:spacing w:after="140" w:before="280" w:line="360"/>
      </w:pPr>
      <w:r>
        <w:rPr>
          <w:rFonts w:ascii="Times New Roman" w:eastAsia="SimHei"/>
          <w:b/>
          <w:bCs/>
          <w:color w:val="000000"/>
          <w:sz w:val="28"/>
          <w:szCs w:val="28"/>
        </w:rPr>
        <w:t xml:space="preserve">4.6　跨模型初步观察与指标汇总</w:t>
      </w:r>
    </w:p>
    <w:p>
      <w:pPr>
        <w:spacing w:after="0" w:before="0" w:line="360"/>
        <w:ind w:firstLine="480"/>
        <w:jc w:val="both"/>
      </w:pPr>
      <w:r>
        <w:rPr>
          <w:rFonts w:ascii="Times New Roman" w:eastAsia="SimSun"/>
          <w:color w:val="000000"/>
          <w:sz w:val="24"/>
          <w:szCs w:val="24"/>
        </w:rPr>
        <w:t xml:space="preserve">使用DeepSeek-V3[26]的单设计冒烟实验（1个设计、5条建议）得到全部收敛、零残留的结果，仅能作为闭环在两类指令遵循能力较强的模型上均可运行的初步观察，不支撑任何跨模型一致性结论；且本实验的反馈措辞与GLM系模型存在协同调优的混杂，全量实验亦仅覆盖单模型（glm-5.3-flash），本文全部结论应携带该单模型限定，多模型分层子集实验留待后续工作。表7汇总修订后的关键指标：目标值来源说明——收敛率目标70%与轮次目标2.0取自项目立项时的工程预期（非文献基准），作为内部验收线而非学术对比线；学术对比由表4三臂实测承担。</w:t>
      </w:r>
    </w:p>
    <w:p>
      <w:pPr>
        <w:keepNext/>
        <w:spacing w:after="80" w:before="200" w:line="300"/>
        <w:jc w:val="center"/>
      </w:pPr>
      <w:r>
        <w:rPr>
          <w:rFonts w:ascii="Times New Roman" w:eastAsia="SimSun"/>
          <w:color w:val="000000"/>
          <w:sz w:val="21"/>
          <w:szCs w:val="21"/>
        </w:rPr>
        <w:t xml:space="preserve">表7　关键指标汇总（口径与来源注明）</w:t>
      </w:r>
    </w:p>
    <w:tbl>
      <w:tblPr>
        <w:tblW w:type="pct" w:w="5000"/>
        <w:tblBorders>
          <w:top w:val="single" w:color="000000" w:sz="6"/>
          <w:left w:val="none" w:color="FFFFFF" w:sz="0"/>
          <w:bottom w:val="single" w:color="000000" w:sz="6"/>
          <w:right w:val="none" w:color="FFFFFF" w:sz="0"/>
          <w:insideH w:val="none" w:color="FFFFFF" w:sz="0"/>
          <w:insideV w:val="none" w:color="FFFFFF" w:sz="0"/>
        </w:tblBorders>
      </w:tblPr>
      <w:tblGrid>
        <w:gridCol w:w="3515"/>
        <w:gridCol w:w="2812"/>
        <w:gridCol w:w="2461"/>
      </w:tblGrid>
      <w:tr>
        <w:trPr>
          <w:cantSplit/>
          <w:tblHeader/>
        </w:trPr>
        <w:tc>
          <w:tcPr>
            <w:tcW w:type="pct" w:w="2000"/>
            <w:tcBorders>
              <w:top w:val="single" w:color="000000" w:sz="6"/>
              <w:left w:val="none" w:color="FFFFFF" w:sz="0"/>
              <w:bottom w:val="single" w:color="000000" w:sz="4"/>
              <w:right w:val="none" w:color="FFFFFF" w:sz="0"/>
            </w:tcBorders>
            <w:tcMar>
              <w:top w:type="dxa" w:w="60"/>
              <w:left w:type="dxa" w:w="100"/>
              <w:bottom w:type="dxa" w:w="60"/>
              <w:right w:type="dxa" w:w="100"/>
            </w:tcMar>
          </w:tcPr>
          <w:p>
            <w:pPr>
              <w:spacing w:line="300"/>
              <w:jc w:val="center"/>
            </w:pPr>
            <w:r>
              <w:rPr>
                <w:rFonts w:ascii="Times New Roman" w:eastAsia="SimSun"/>
                <w:b/>
                <w:bCs/>
                <w:color w:val="000000"/>
                <w:sz w:val="21"/>
                <w:szCs w:val="21"/>
              </w:rPr>
              <w:t xml:space="preserve">指标</w:t>
            </w:r>
          </w:p>
        </w:tc>
        <w:tc>
          <w:tcPr>
            <w:tcW w:type="pct" w:w="1600"/>
            <w:tcBorders>
              <w:top w:val="single" w:color="000000" w:sz="6"/>
              <w:left w:val="none" w:color="FFFFFF" w:sz="0"/>
              <w:bottom w:val="single" w:color="000000" w:sz="4"/>
              <w:right w:val="none" w:color="FFFFFF" w:sz="0"/>
            </w:tcBorders>
            <w:tcMar>
              <w:top w:type="dxa" w:w="60"/>
              <w:left w:type="dxa" w:w="100"/>
              <w:bottom w:type="dxa" w:w="60"/>
              <w:right w:type="dxa" w:w="100"/>
            </w:tcMar>
          </w:tcPr>
          <w:p>
            <w:pPr>
              <w:spacing w:line="300"/>
              <w:jc w:val="center"/>
            </w:pPr>
            <w:r>
              <w:rPr>
                <w:rFonts w:ascii="Times New Roman" w:eastAsia="SimSun"/>
                <w:b/>
                <w:bCs/>
                <w:color w:val="000000"/>
                <w:sz w:val="21"/>
                <w:szCs w:val="21"/>
              </w:rPr>
              <w:t xml:space="preserve">口径</w:t>
            </w:r>
          </w:p>
        </w:tc>
        <w:tc>
          <w:tcPr>
            <w:tcW w:type="pct" w:w="1400"/>
            <w:tcBorders>
              <w:top w:val="single" w:color="000000" w:sz="6"/>
              <w:left w:val="none" w:color="FFFFFF" w:sz="0"/>
              <w:bottom w:val="single" w:color="000000" w:sz="4"/>
              <w:right w:val="none" w:color="FFFFFF" w:sz="0"/>
            </w:tcBorders>
            <w:tcMar>
              <w:top w:type="dxa" w:w="60"/>
              <w:left w:type="dxa" w:w="100"/>
              <w:bottom w:type="dxa" w:w="60"/>
              <w:right w:type="dxa" w:w="100"/>
            </w:tcMar>
          </w:tcPr>
          <w:p>
            <w:pPr>
              <w:spacing w:line="300"/>
              <w:jc w:val="center"/>
            </w:pPr>
            <w:r>
              <w:rPr>
                <w:rFonts w:ascii="Times New Roman" w:eastAsia="SimSun"/>
                <w:b/>
                <w:bCs/>
                <w:color w:val="000000"/>
                <w:sz w:val="21"/>
                <w:szCs w:val="21"/>
              </w:rPr>
              <w:t xml:space="preserve">实测值</w:t>
            </w:r>
          </w:p>
        </w:tc>
      </w:tr>
      <w:tr>
        <w:trPr>
          <w:cantSplit/>
        </w:trPr>
        <w:tc>
          <w:tcPr>
            <w:tcW w:type="pct" w:w="20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left"/>
            </w:pPr>
            <w:r>
              <w:rPr>
                <w:rFonts w:ascii="Times New Roman" w:eastAsia="SimSun"/>
                <w:color w:val="000000"/>
                <w:sz w:val="21"/>
                <w:szCs w:val="21"/>
              </w:rPr>
              <w:t xml:space="preserve">BOM变更建议收敛率</w:t>
            </w:r>
          </w:p>
        </w:tc>
        <w:tc>
          <w:tcPr>
            <w:tcW w:type="pct" w:w="16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120条提出变更建议为分母</w:t>
            </w:r>
          </w:p>
        </w:tc>
        <w:tc>
          <w:tcPr>
            <w:tcW w:type="pct" w:w="14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94.2%（CI95 89.8～97.6）</w:t>
            </w:r>
          </w:p>
        </w:tc>
      </w:tr>
      <w:tr>
        <w:trPr>
          <w:cantSplit/>
        </w:trPr>
        <w:tc>
          <w:tcPr>
            <w:tcW w:type="pct" w:w="20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left"/>
            </w:pPr>
            <w:r>
              <w:rPr>
                <w:rFonts w:ascii="Times New Roman" w:eastAsia="SimSun"/>
                <w:color w:val="000000"/>
                <w:sz w:val="21"/>
                <w:szCs w:val="21"/>
              </w:rPr>
              <w:t xml:space="preserve">修正-保留收敛率</w:t>
            </w:r>
          </w:p>
        </w:tc>
        <w:tc>
          <w:tcPr>
            <w:tcW w:type="pct" w:w="16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收敛且末轮有落盘变更</w:t>
            </w:r>
          </w:p>
        </w:tc>
        <w:tc>
          <w:tcPr>
            <w:tcW w:type="pct" w:w="14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74/120 = 61.7%</w:t>
            </w:r>
          </w:p>
        </w:tc>
      </w:tr>
      <w:tr>
        <w:trPr>
          <w:cantSplit/>
        </w:trPr>
        <w:tc>
          <w:tcPr>
            <w:tcW w:type="pct" w:w="20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left"/>
            </w:pPr>
            <w:r>
              <w:rPr>
                <w:rFonts w:ascii="Times New Roman" w:eastAsia="SimSun"/>
                <w:color w:val="000000"/>
                <w:sz w:val="21"/>
                <w:szCs w:val="21"/>
              </w:rPr>
              <w:t xml:space="preserve">撤销率</w:t>
            </w:r>
          </w:p>
        </w:tc>
        <w:tc>
          <w:tcPr>
            <w:tcW w:type="pct" w:w="16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收敛且整体撤销</w:t>
            </w:r>
          </w:p>
        </w:tc>
        <w:tc>
          <w:tcPr>
            <w:tcW w:type="pct" w:w="14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39/120 = 32.5%</w:t>
            </w:r>
          </w:p>
        </w:tc>
      </w:tr>
      <w:tr>
        <w:trPr>
          <w:cantSplit/>
        </w:trPr>
        <w:tc>
          <w:tcPr>
            <w:tcW w:type="pct" w:w="20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left"/>
            </w:pPr>
            <w:r>
              <w:rPr>
                <w:rFonts w:ascii="Times New Roman" w:eastAsia="SimSun"/>
                <w:color w:val="000000"/>
                <w:sz w:val="21"/>
                <w:szCs w:val="21"/>
              </w:rPr>
              <w:t xml:space="preserve">平均迭代轮次</w:t>
            </w:r>
          </w:p>
        </w:tc>
        <w:tc>
          <w:tcPr>
            <w:tcW w:type="pct" w:w="16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全部395条</w:t>
            </w:r>
          </w:p>
        </w:tc>
        <w:tc>
          <w:tcPr>
            <w:tcW w:type="pct" w:w="14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1.14</w:t>
            </w:r>
          </w:p>
        </w:tc>
      </w:tr>
      <w:tr>
        <w:trPr>
          <w:cantSplit/>
        </w:trPr>
        <w:tc>
          <w:tcPr>
            <w:tcW w:type="pct" w:w="20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left"/>
            </w:pPr>
            <w:r>
              <w:rPr>
                <w:rFonts w:ascii="Times New Roman" w:eastAsia="SimSun"/>
                <w:color w:val="000000"/>
                <w:sz w:val="21"/>
                <w:szCs w:val="21"/>
              </w:rPr>
              <w:t xml:space="preserve">blocking违规清除</w:t>
            </w:r>
          </w:p>
        </w:tc>
        <w:tc>
          <w:tcPr>
            <w:tcW w:type="pct" w:w="16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23条宿主建议首轮80条次</w:t>
            </w:r>
          </w:p>
        </w:tc>
        <w:tc>
          <w:tcPr>
            <w:tcW w:type="pct" w:w="14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末轮0（全部经撤销）</w:t>
            </w:r>
          </w:p>
        </w:tc>
      </w:tr>
      <w:tr>
        <w:trPr>
          <w:cantSplit/>
        </w:trPr>
        <w:tc>
          <w:tcPr>
            <w:tcW w:type="pct" w:w="20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left"/>
            </w:pPr>
            <w:r>
              <w:rPr>
                <w:rFonts w:ascii="Times New Roman" w:eastAsia="SimSun"/>
                <w:color w:val="000000"/>
                <w:sz w:val="21"/>
                <w:szCs w:val="21"/>
              </w:rPr>
              <w:t xml:space="preserve">缺陷注入检出率（仅规则引擎）</w:t>
            </w:r>
          </w:p>
        </w:tc>
        <w:tc>
          <w:tcPr>
            <w:tcW w:type="pct" w:w="16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280次注入</w:t>
            </w:r>
          </w:p>
        </w:tc>
        <w:tc>
          <w:tcPr>
            <w:tcW w:type="pct" w:w="14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95.7%（CI95 93.7～97.5）</w:t>
            </w:r>
          </w:p>
        </w:tc>
      </w:tr>
      <w:tr>
        <w:trPr>
          <w:cantSplit/>
        </w:trPr>
        <w:tc>
          <w:tcPr>
            <w:tcW w:type="pct" w:w="2000"/>
            <w:tcBorders>
              <w:top w:val="none" w:color="FFFFFF" w:sz="0"/>
              <w:left w:val="none" w:color="FFFFFF" w:sz="0"/>
              <w:bottom w:val="single" w:color="000000" w:sz="6"/>
              <w:right w:val="none" w:color="FFFFFF" w:sz="0"/>
            </w:tcBorders>
            <w:tcMar>
              <w:top w:type="dxa" w:w="50"/>
              <w:left w:type="dxa" w:w="100"/>
              <w:bottom w:type="dxa" w:w="50"/>
              <w:right w:type="dxa" w:w="100"/>
            </w:tcMar>
          </w:tcPr>
          <w:p>
            <w:pPr>
              <w:spacing w:line="300"/>
              <w:jc w:val="left"/>
            </w:pPr>
            <w:r>
              <w:rPr>
                <w:rFonts w:ascii="Times New Roman" w:eastAsia="SimSun"/>
                <w:color w:val="000000"/>
                <w:sz w:val="21"/>
                <w:szCs w:val="21"/>
              </w:rPr>
              <w:t xml:space="preserve">DRC单板平均耗时</w:t>
            </w:r>
          </w:p>
        </w:tc>
        <w:tc>
          <w:tcPr>
            <w:tcW w:type="pct" w:w="1600"/>
            <w:tcBorders>
              <w:top w:val="none" w:color="FFFFFF" w:sz="0"/>
              <w:left w:val="none" w:color="FFFFFF" w:sz="0"/>
              <w:bottom w:val="single" w:color="000000" w:sz="6"/>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阶段A</w:t>
            </w:r>
          </w:p>
        </w:tc>
        <w:tc>
          <w:tcPr>
            <w:tcW w:type="pct" w:w="1400"/>
            <w:tcBorders>
              <w:top w:val="none" w:color="FFFFFF" w:sz="0"/>
              <w:left w:val="none" w:color="FFFFFF" w:sz="0"/>
              <w:bottom w:val="single" w:color="000000" w:sz="6"/>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77.1 ms</w:t>
            </w:r>
          </w:p>
        </w:tc>
      </w:tr>
    </w:tbl>
    <w:p>
      <w:pPr>
        <w:spacing w:after="120"/>
      </w:pPr>
    </w:p>
    <w:p>
      <w:pPr>
        <w:pStyle w:val="Heading2"/>
        <w:keepNext/>
        <w:spacing w:after="140" w:before="280" w:line="360"/>
      </w:pPr>
      <w:r>
        <w:rPr>
          <w:rFonts w:ascii="Times New Roman" w:eastAsia="SimHei"/>
          <w:b/>
          <w:bCs/>
          <w:color w:val="000000"/>
          <w:sz w:val="28"/>
          <w:szCs w:val="28"/>
        </w:rPr>
        <w:t xml:space="preserve">4.7　案例分析</w:t>
      </w:r>
    </w:p>
    <w:p>
      <w:pPr>
        <w:spacing w:after="0" w:before="0" w:line="360"/>
        <w:ind w:firstLine="480"/>
        <w:jc w:val="both"/>
      </w:pPr>
      <w:r>
        <w:rPr>
          <w:rFonts w:ascii="Times New Roman" w:eastAsia="SimSun"/>
          <w:color w:val="000000"/>
          <w:sz w:val="24"/>
          <w:szCs w:val="24"/>
        </w:rPr>
        <w:t xml:space="preserve">以典型危险请求为例：对01Phone设计注入移除全部去耦电容并以0.1mm走线承载3A电流的请求，LLM首轮生成22条BOM变更（全部为器件级增删，走线描述超出动作空间、未被映射为变更），复检引入10条blocking级新违规（去耦电容检查、电源滤波检查等，载流判定按BOM估算电源电流口径而非请求声称的3A）；修正反馈回传后，LLM于第2轮撤销全部22条变更，新违规归零，以撤销型收敛结束，全程45.0s。该案例完整呈现了危险请求从生成、复检拦截、反馈到整体撤销的全过程，也具体说明了闭环的守门机制：超出动作空间或触发blocking违规的变更不得进入设计。</w:t>
      </w:r>
    </w:p>
    <w:p>
      <w:pPr>
        <w:pStyle w:val="Heading1"/>
        <w:keepNext/>
        <w:spacing w:after="200" w:before="360" w:line="360"/>
      </w:pPr>
      <w:r>
        <w:rPr>
          <w:rFonts w:ascii="Times New Roman" w:eastAsia="SimHei"/>
          <w:b/>
          <w:bCs/>
          <w:color w:val="000000"/>
          <w:sz w:val="30"/>
          <w:szCs w:val="30"/>
        </w:rPr>
        <w:t xml:space="preserve">5　讨论</w:t>
      </w:r>
    </w:p>
    <w:p>
      <w:pPr>
        <w:spacing w:after="0" w:before="0" w:line="360"/>
        <w:ind w:firstLine="480"/>
        <w:jc w:val="both"/>
      </w:pPr>
      <w:r>
        <w:rPr>
          <w:rFonts w:ascii="Times New Roman" w:eastAsia="SimSun"/>
          <w:color w:val="000000"/>
          <w:sz w:val="24"/>
          <w:szCs w:val="24"/>
        </w:rPr>
        <w:t xml:space="preserve">三臂对比支持一个有限但明确的判断：在规则与IPC公式覆盖域内，闭环验证能把直出会引入的80条次blocking违规全部隔离，同时把单次门一刀切损失的建议恢复24.2个百分点为可用（74.2%到94.2%）。但流向分解同时揭示，闭环对blocking违规的实际处理机制是防御性的——23条宿主建议全部经撤销清除、修正-保留型为零，危险类通过的主要形态是LLM拒答（110/158）或全撤销（39/158）。这意味着本文闭环的可靠收敛依赖的是外部验证器加保守退出（撤销语义），而非LLM的缺陷修复能力，与文献[3][18]关于外部反馈必要性的结论一致；其代价是保守性：撤销与拒答可能连带丢弃部分有益变更（39条撤销建议中被放弃的潜在收益无法从现有数据区分），有益建议误杀率的量化需要人工评估落盘与撤销建议的真实收益，本文仅对81条落盘变更做了结构审计（合计417个变更：新增392、删除23、替换2；9条危险来源落盘均为移除1～4个100nF电容且复检无新增违规，其潜在影响为去耦网络削弱，属规则可见性之外的残余风险）。</w:t>
      </w:r>
    </w:p>
    <w:p>
      <w:pPr>
        <w:spacing w:after="0" w:before="0" w:line="360"/>
        <w:ind w:firstLine="480"/>
        <w:jc w:val="both"/>
      </w:pPr>
      <w:r>
        <w:rPr>
          <w:rFonts w:ascii="Times New Roman" w:eastAsia="SimSun"/>
          <w:color w:val="000000"/>
          <w:sz w:val="24"/>
          <w:szCs w:val="24"/>
        </w:rPr>
        <w:t xml:space="preserve">本研究存在以下局限。其一，有效性证据限定于三类模板请求与规则集的对齐区间，对真实开放请求的外推未经验证，41条输出解析失败也提示结构化输出约束仍有改进空间；其二，指标口径：消除率在式(1)约束下部分是定义的必然，本文已将其降为过程性核验，headline改由收敛率与三臂对比承担；其三，闭环目前作用于BOM级变更，几何与布局级建议的闭环验证、几何/布局类规则的注入验证（31条规则无独立验证证据）、网表关联推断（晶振类漏检的根源）均待后续工作；其四，单模型全量、跨模型仅单板冒烟，且反馈措辞与GLM系存在协同调优混杂；其五，评分器为启发式加权、未经人工对齐，多智能体分数仅作相对画像。</w:t>
      </w:r>
    </w:p>
    <w:p>
      <w:pPr>
        <w:spacing w:after="0" w:before="0" w:line="360"/>
        <w:ind w:firstLine="480"/>
        <w:jc w:val="both"/>
      </w:pPr>
      <w:r>
        <w:rPr>
          <w:rFonts w:ascii="Times New Roman" w:eastAsia="SimSun"/>
          <w:color w:val="000000"/>
          <w:sz w:val="24"/>
          <w:szCs w:val="24"/>
        </w:rPr>
        <w:t xml:space="preserve">从机制层面归纳，本闭环的成立依赖三个要素：确定性外部验证器（规则+标准公式）、结构化可执行反馈（违规清单+修法指引+恶化对比）、以及把撤销纳入合法收敛终态的安全出口；其残余风险边界同样明确——当验证器自身不完备（漏检4%～16%分型依赖）时，闭环只能保证规则可见子集的隔离，输出侧的验证覆盖度告示因此是必要的配套。该三要素结构在具备确定性验证器的其他工程域（如代码评审中的静态分析门禁、结构计算中的规范校核）具有可验证的迁移候选，其条件与边界值得单独研究。</w:t>
      </w:r>
    </w:p>
    <w:p>
      <w:pPr>
        <w:pStyle w:val="Heading1"/>
        <w:keepNext/>
        <w:spacing w:after="200" w:before="360" w:line="360"/>
      </w:pPr>
      <w:r>
        <w:rPr>
          <w:rFonts w:ascii="Times New Roman" w:eastAsia="SimHei"/>
          <w:b/>
          <w:bCs/>
          <w:color w:val="000000"/>
          <w:sz w:val="30"/>
          <w:szCs w:val="30"/>
        </w:rPr>
        <w:t xml:space="preserve">6　结论</w:t>
      </w:r>
    </w:p>
    <w:p>
      <w:pPr>
        <w:spacing w:after="0" w:before="0" w:line="360"/>
        <w:ind w:firstLine="480"/>
        <w:jc w:val="both"/>
      </w:pPr>
      <w:r>
        <w:rPr>
          <w:rFonts w:ascii="Times New Roman" w:eastAsia="SimSun"/>
          <w:color w:val="000000"/>
          <w:sz w:val="24"/>
          <w:szCs w:val="24"/>
        </w:rPr>
        <w:t xml:space="preserve">本文面向PCB设计中LLM建议的可信化问题，提出并实现了由LLM建议引擎、68条规则的DRC引擎、IPC-2221/2141确定性物理计算与五智能体审查画像构成的闭环验证引擎。在79个真实开源设计、395条三类模板请求驱动建议的实验中，三臂对比显示：闭环将直出会引入的80条次blocking级违规全部隔离，把可采纳率从单次门的74.2%恢复到94.2%（CI95 89.8%～97.6%），blocking清除全部经整体撤销达成，修正-保留收敛率61.7%，缺陷注入实测规则引擎检出率95.7%并同时构成隔离能力的上界。结果表明，以确定性规则引擎为外部反馈源、以撤销为安全出口的闭环架构，能够在规则与IPC公式覆盖域内将LLM的危险变更隔离于真实设计之外。后续工作将围绕网表关联推断、几何/布局级闭环验证与注入验证、反馈要素的受控消融、多模型分层实验与真实开放请求评测展开，并探索将该闭环机制接入更多国产EDA工具生态。</w:t>
      </w:r>
    </w:p>
    <w:p>
      <w:pPr>
        <w:pStyle w:val="Heading1"/>
        <w:keepNext/>
        <w:spacing w:after="200" w:before="400" w:line="360"/>
      </w:pPr>
      <w:r>
        <w:rPr>
          <w:rFonts w:ascii="Times New Roman" w:eastAsia="SimHei"/>
          <w:b/>
          <w:bCs/>
          <w:color w:val="000000"/>
          <w:sz w:val="30"/>
          <w:szCs w:val="30"/>
        </w:rPr>
        <w:t xml:space="preserve">参考文献</w:t>
      </w:r>
    </w:p>
    <w:p>
      <w:pPr>
        <w:spacing w:line="320"/>
        <w:ind w:left="420" w:hanging="420"/>
      </w:pPr>
      <w:r>
        <w:rPr>
          <w:rFonts w:ascii="Times New Roman" w:eastAsia="SimSun"/>
          <w:color w:val="000000"/>
          <w:sz w:val="21"/>
          <w:szCs w:val="21"/>
        </w:rPr>
        <w:t xml:space="preserve">[1] 立创EDA[EB/OL]. [2026-10-19]. https://pro.lceda.cn.</w:t>
      </w:r>
    </w:p>
    <w:p>
      <w:pPr>
        <w:spacing w:line="320"/>
        <w:ind w:left="420" w:hanging="420"/>
      </w:pPr>
      <w:r>
        <w:rPr>
          <w:rFonts w:ascii="Times New Roman" w:eastAsia="SimSun"/>
          <w:color w:val="000000"/>
          <w:sz w:val="21"/>
          <w:szCs w:val="21"/>
        </w:rPr>
        <w:t xml:space="preserve">[2] 刘泽垣, 王鹏江, 宋晓斌, 等. 大语言模型的幻觉问题研究综述[J/OL]. 软件学报, 2024[2026-10-19]. https://www.jos.org.cn/jos/article/abstract/7242.</w:t>
      </w:r>
    </w:p>
    <w:p>
      <w:pPr>
        <w:spacing w:line="320"/>
        <w:ind w:left="420" w:hanging="420"/>
      </w:pPr>
      <w:r>
        <w:rPr>
          <w:rFonts w:ascii="Times New Roman" w:eastAsia="SimSun"/>
          <w:color w:val="000000"/>
          <w:sz w:val="21"/>
          <w:szCs w:val="21"/>
        </w:rPr>
        <w:t xml:space="preserve">[3] Huang J, Chen X, Mishra S, et al. Large language models cannot self-correct reasoning yet[C]//The Twelfth International Conference on Learning Representations (ICLR). Vienna, 2024.</w:t>
      </w:r>
    </w:p>
    <w:p>
      <w:pPr>
        <w:spacing w:line="320"/>
        <w:ind w:left="420" w:hanging="420"/>
      </w:pPr>
      <w:r>
        <w:rPr>
          <w:rFonts w:ascii="Times New Roman" w:eastAsia="SimSun"/>
          <w:color w:val="000000"/>
          <w:sz w:val="21"/>
          <w:szCs w:val="21"/>
        </w:rPr>
        <w:t xml:space="preserve">[4] Chen L, Chen Y, Chu Z, et al. The dawn of AI-native EDA: opportunities and challenges of large circuit models[EB/OL]. (2024-03-11)[2026-10-19]. https://arxiv.org/abs/2403.07257.</w:t>
      </w:r>
    </w:p>
    <w:p>
      <w:pPr>
        <w:spacing w:line="320"/>
        <w:ind w:left="420" w:hanging="420"/>
      </w:pPr>
      <w:r>
        <w:rPr>
          <w:rFonts w:ascii="Times New Roman" w:eastAsia="SimSun"/>
          <w:color w:val="000000"/>
          <w:sz w:val="21"/>
          <w:szCs w:val="21"/>
        </w:rPr>
        <w:t xml:space="preserve">[5] Liu M, Ene T, Kirby R, et al. ChipNeMo: domain-adapted LLMs for chip design[EB/OL]. (2023-10-31)[2026-10-19]. https://arxiv.org/abs/2311.00176.</w:t>
      </w:r>
    </w:p>
    <w:p>
      <w:pPr>
        <w:spacing w:line="320"/>
        <w:ind w:left="420" w:hanging="420"/>
      </w:pPr>
      <w:r>
        <w:rPr>
          <w:rFonts w:ascii="Times New Roman" w:eastAsia="SimSun"/>
          <w:color w:val="000000"/>
          <w:sz w:val="21"/>
          <w:szCs w:val="21"/>
        </w:rPr>
        <w:t xml:space="preserve">[6] Wu H, He Z, Zhang X, et al. ChatEDA: a large language model powered autonomous agent for EDA[J]. IEEE Transactions on Computer-Aided Design of Integrated Circuits and Systems, 2024, 43(10). DOI: 10.1109/TCAD.2024.3383347.</w:t>
      </w:r>
    </w:p>
    <w:p>
      <w:pPr>
        <w:spacing w:line="320"/>
        <w:ind w:left="420" w:hanging="420"/>
      </w:pPr>
      <w:r>
        <w:rPr>
          <w:rFonts w:ascii="Times New Roman" w:eastAsia="SimSun"/>
          <w:color w:val="000000"/>
          <w:sz w:val="21"/>
          <w:szCs w:val="21"/>
        </w:rPr>
        <w:t xml:space="preserve">[7] Wu H, Zheng H, He Z, et al. Divergent thoughts toward one goal: LLM-based multi-agent collaboration system for electronic design automation[C]//Proceedings of NAACL 2025. Albuquerque: ACL, 2025.</w:t>
      </w:r>
    </w:p>
    <w:p>
      <w:pPr>
        <w:spacing w:line="320"/>
        <w:ind w:left="420" w:hanging="420"/>
      </w:pPr>
      <w:r>
        <w:rPr>
          <w:rFonts w:ascii="Times New Roman" w:eastAsia="SimSun"/>
          <w:color w:val="000000"/>
          <w:sz w:val="21"/>
          <w:szCs w:val="21"/>
        </w:rPr>
        <w:t xml:space="preserve">[8] Cadence. Allegro X AI: AI-powered system design[EB/OL]. [2026-10-19]. https://www.cadence.com.</w:t>
      </w:r>
    </w:p>
    <w:p>
      <w:pPr>
        <w:spacing w:line="320"/>
        <w:ind w:left="420" w:hanging="420"/>
      </w:pPr>
      <w:r>
        <w:rPr>
          <w:rFonts w:ascii="Times New Roman" w:eastAsia="SimSun"/>
          <w:color w:val="000000"/>
          <w:sz w:val="21"/>
          <w:szCs w:val="21"/>
        </w:rPr>
        <w:t xml:space="preserve">[9] Siemens EDA. Valor NPI: DFM analysis[EB/OL]. [2026-10-19]. https://www.siemens.com.</w:t>
      </w:r>
    </w:p>
    <w:p>
      <w:pPr>
        <w:spacing w:line="320"/>
        <w:ind w:left="420" w:hanging="420"/>
      </w:pPr>
      <w:r>
        <w:rPr>
          <w:rFonts w:ascii="Times New Roman" w:eastAsia="SimSun"/>
          <w:color w:val="000000"/>
          <w:sz w:val="21"/>
          <w:szCs w:val="21"/>
        </w:rPr>
        <w:t xml:space="preserve">[10] Li J, et al. PCB-Bench: benchmarking LLMs for printed circuit board design[EB/OL]. [2026-10-19]. https://openreview.net/forum?id=Q5QLu7XTWx.</w:t>
      </w:r>
    </w:p>
    <w:p>
      <w:pPr>
        <w:spacing w:line="320"/>
        <w:ind w:left="420" w:hanging="420"/>
      </w:pPr>
      <w:r>
        <w:rPr>
          <w:rFonts w:ascii="Times New Roman" w:eastAsia="SimSun"/>
          <w:color w:val="000000"/>
          <w:sz w:val="21"/>
          <w:szCs w:val="21"/>
        </w:rPr>
        <w:t xml:space="preserve">[11] PCB-QA: evaluating LLMs over the first printed circuit board questionnaire[EB/OL]. (2026-06-10)[2026-10-19]. https://arxiv.org/abs/2606.23704.</w:t>
      </w:r>
    </w:p>
    <w:p>
      <w:pPr>
        <w:spacing w:line="320"/>
        <w:ind w:left="420" w:hanging="420"/>
      </w:pPr>
      <w:r>
        <w:rPr>
          <w:rFonts w:ascii="Times New Roman" w:eastAsia="SimSun"/>
          <w:color w:val="000000"/>
          <w:sz w:val="21"/>
          <w:szCs w:val="21"/>
        </w:rPr>
        <w:t xml:space="preserve">[12] Yao S, Yu D, Zhao J, et al. Tree of thoughts: deliberate problem solving with large language models[C]//Advances in Neural Information Processing Systems 36 (NeurIPS). New Orleans, 2023.</w:t>
      </w:r>
    </w:p>
    <w:p>
      <w:pPr>
        <w:spacing w:line="320"/>
        <w:ind w:left="420" w:hanging="420"/>
      </w:pPr>
      <w:r>
        <w:rPr>
          <w:rFonts w:ascii="Times New Roman" w:eastAsia="SimSun"/>
          <w:color w:val="000000"/>
          <w:sz w:val="21"/>
          <w:szCs w:val="21"/>
        </w:rPr>
        <w:t xml:space="preserve">[13] Dhuliawala S, Komeili M, Xu J, et al. Chain-of-verification reduces hallucination in large language models[EB/OL]. (2023-09-20)[2026-10-19]. https://arxiv.org/abs/2309.11495.</w:t>
      </w:r>
    </w:p>
    <w:p>
      <w:pPr>
        <w:spacing w:line="320"/>
        <w:ind w:left="420" w:hanging="420"/>
      </w:pPr>
      <w:r>
        <w:rPr>
          <w:rFonts w:ascii="Times New Roman" w:eastAsia="SimSun"/>
          <w:color w:val="000000"/>
          <w:sz w:val="21"/>
          <w:szCs w:val="21"/>
        </w:rPr>
        <w:t xml:space="preserve">[14] Manakul P, Liusie A, Gales M J F. SelfCheckGPT: zero-resource black-box hallucination detection for generative large language models[C]//Proceedings of EMNLP 2023. Singapore: ACL, 2023.</w:t>
      </w:r>
    </w:p>
    <w:p>
      <w:pPr>
        <w:spacing w:line="320"/>
        <w:ind w:left="420" w:hanging="420"/>
      </w:pPr>
      <w:r>
        <w:rPr>
          <w:rFonts w:ascii="Times New Roman" w:eastAsia="SimSun"/>
          <w:color w:val="000000"/>
          <w:sz w:val="21"/>
          <w:szCs w:val="21"/>
        </w:rPr>
        <w:t xml:space="preserve">[15] Chen X, Lin M, Schärli N, et al. Teaching large language models to self-debug[C]//The Twelfth International Conference on Learning Representations (ICLR). Vienna, 2024.</w:t>
      </w:r>
    </w:p>
    <w:p>
      <w:pPr>
        <w:spacing w:line="320"/>
        <w:ind w:left="420" w:hanging="420"/>
      </w:pPr>
      <w:r>
        <w:rPr>
          <w:rFonts w:ascii="Times New Roman" w:eastAsia="SimSun"/>
          <w:color w:val="000000"/>
          <w:sz w:val="21"/>
          <w:szCs w:val="21"/>
        </w:rPr>
        <w:t xml:space="preserve">[16] Shinn N, Cassano F, Gopinath A, et al. Reflexion: language agents with verbal reinforcement learning[C]//Advances in Neural Information Processing Systems 36 (NeurIPS). New Orleans, 2023.</w:t>
      </w:r>
    </w:p>
    <w:p>
      <w:pPr>
        <w:spacing w:line="320"/>
        <w:ind w:left="420" w:hanging="420"/>
      </w:pPr>
      <w:r>
        <w:rPr>
          <w:rFonts w:ascii="Times New Roman" w:eastAsia="SimSun"/>
          <w:color w:val="000000"/>
          <w:sz w:val="21"/>
          <w:szCs w:val="21"/>
        </w:rPr>
        <w:t xml:space="preserve">[17] Madaan A, Tandon N, Gupta P, et al. Self-refine: iterative refinement with self-feedback[C]//Advances in Neural Information Processing Systems 36 (NeurIPS). New Orleans, 2023.</w:t>
      </w:r>
    </w:p>
    <w:p>
      <w:pPr>
        <w:spacing w:line="320"/>
        <w:ind w:left="420" w:hanging="420"/>
      </w:pPr>
      <w:r>
        <w:rPr>
          <w:rFonts w:ascii="Times New Roman" w:eastAsia="SimSun"/>
          <w:color w:val="000000"/>
          <w:sz w:val="21"/>
          <w:szCs w:val="21"/>
        </w:rPr>
        <w:t xml:space="preserve">[18] Gou Z, Sun Y, Jiang Y, et al. CRITIC: large language models can self-correct with tool-interactive critiquing[C]//The Twelfth International Conference on Learning Representations (ICLR). Vienna, 2024.</w:t>
      </w:r>
    </w:p>
    <w:p>
      <w:pPr>
        <w:spacing w:line="320"/>
        <w:ind w:left="420" w:hanging="420"/>
      </w:pPr>
      <w:r>
        <w:rPr>
          <w:rFonts w:ascii="Times New Roman" w:eastAsia="SimSun"/>
          <w:color w:val="000000"/>
          <w:sz w:val="21"/>
          <w:szCs w:val="21"/>
        </w:rPr>
        <w:t xml:space="preserve">[19] Guo T, Chen X, Wang Y, et al. Large language model based multi-agents: a survey of progress and challenges[C]//Proceedings of the 33rd International Joint Conference on Artificial Intelligence (IJCAI). Jeju, 2024.</w:t>
      </w:r>
    </w:p>
    <w:p>
      <w:pPr>
        <w:spacing w:line="320"/>
        <w:ind w:left="420" w:hanging="420"/>
      </w:pPr>
      <w:r>
        <w:rPr>
          <w:rFonts w:ascii="Times New Roman" w:eastAsia="SimSun"/>
          <w:color w:val="000000"/>
          <w:sz w:val="21"/>
          <w:szCs w:val="21"/>
        </w:rPr>
        <w:t xml:space="preserve">[20] Yao S, Zhao J, Yu D, et al. ReAct: synergizing reasoning and acting in language models[C]//The Eleventh International Conference on Learning Representations (ICLR). Kigali, 2023.</w:t>
      </w:r>
    </w:p>
    <w:p>
      <w:pPr>
        <w:spacing w:line="320"/>
        <w:ind w:left="420" w:hanging="420"/>
      </w:pPr>
      <w:r>
        <w:rPr>
          <w:rFonts w:ascii="Times New Roman" w:eastAsia="SimSun"/>
          <w:color w:val="000000"/>
          <w:sz w:val="21"/>
          <w:szCs w:val="21"/>
        </w:rPr>
        <w:t xml:space="preserve">[21] IPC Association. IPC-2221B: generic standard on printed board design[S]. Bannockburn: IPC, 2012.</w:t>
      </w:r>
    </w:p>
    <w:p>
      <w:pPr>
        <w:spacing w:line="320"/>
        <w:ind w:left="420" w:hanging="420"/>
      </w:pPr>
      <w:r>
        <w:rPr>
          <w:rFonts w:ascii="Times New Roman" w:eastAsia="SimSun"/>
          <w:color w:val="000000"/>
          <w:sz w:val="21"/>
          <w:szCs w:val="21"/>
        </w:rPr>
        <w:t xml:space="preserve">[22] IPC Association. IPC-2152: standard for determining current carrying capacity in printed board design[S]. Bannockburn: IPC, 2009.</w:t>
      </w:r>
    </w:p>
    <w:p>
      <w:pPr>
        <w:spacing w:line="320"/>
        <w:ind w:left="420" w:hanging="420"/>
      </w:pPr>
      <w:r>
        <w:rPr>
          <w:rFonts w:ascii="Times New Roman" w:eastAsia="SimSun"/>
          <w:color w:val="000000"/>
          <w:sz w:val="21"/>
          <w:szCs w:val="21"/>
        </w:rPr>
        <w:t xml:space="preserve">[23] IPC Association. IPC-2141A: design guide for high-speed controlled impedance circuit boards[S]. Bannockburn: IPC, 2004.</w:t>
      </w:r>
    </w:p>
    <w:p>
      <w:pPr>
        <w:spacing w:line="320"/>
        <w:ind w:left="420" w:hanging="420"/>
      </w:pPr>
      <w:r>
        <w:rPr>
          <w:rFonts w:ascii="Times New Roman" w:eastAsia="SimSun"/>
          <w:color w:val="000000"/>
          <w:sz w:val="21"/>
          <w:szCs w:val="21"/>
        </w:rPr>
        <w:t xml:space="preserve">[24] Devlin J, Chang M W, Lee K, et al. BERT: pre-training of deep bidirectional transformers for language understanding[C]//Proceedings of NAACL-HLT 2019. Minneapolis: ACL, 2019: 4171-4186.</w:t>
      </w:r>
    </w:p>
    <w:p>
      <w:pPr>
        <w:spacing w:line="320"/>
        <w:ind w:left="420" w:hanging="420"/>
      </w:pPr>
      <w:r>
        <w:rPr>
          <w:rFonts w:ascii="Times New Roman" w:eastAsia="SimSun"/>
          <w:color w:val="000000"/>
          <w:sz w:val="21"/>
          <w:szCs w:val="21"/>
        </w:rPr>
        <w:t xml:space="preserve">[25] Zeng A, Liu X, Du Z, et al. GLM-130B: an open bilingual pre-trained model[C]//The Eleventh International Conference on Learning Representations (ICLR). Kigali, 2023.</w:t>
      </w:r>
    </w:p>
    <w:p>
      <w:pPr>
        <w:spacing w:line="320"/>
        <w:ind w:left="420" w:hanging="420"/>
      </w:pPr>
      <w:r>
        <w:rPr>
          <w:rFonts w:ascii="Times New Roman" w:eastAsia="SimSun"/>
          <w:color w:val="000000"/>
          <w:sz w:val="21"/>
          <w:szCs w:val="21"/>
        </w:rPr>
        <w:t xml:space="preserve">[26] DeepSeek-AI. DeepSeek-V3 technical report[EB/OL]. (2024-12-26)[2026-10-19]. https://arxiv.org/abs/2412.19437.</w:t>
      </w:r>
    </w:p>
    <w:p>
      <w:pPr>
        <w:spacing w:before="300" w:line="300"/>
        <w:jc w:val="left"/>
      </w:pPr>
      <w:r>
        <w:rPr>
          <w:rFonts w:ascii="Times New Roman" w:eastAsia="SimSun"/>
          <w:color w:val="555555"/>
          <w:sz w:val="18"/>
          <w:szCs w:val="18"/>
        </w:rPr>
        <w:t xml:space="preserve">【作者简介：姓名（出生年—），性别，籍贯，吉林大学仪器电气学院测控技术与仪器专业本科生/指导教师；联系方式待补。】</w:t>
      </w:r>
    </w:p>
    <w:p>
      <w:pPr>
        <w:spacing w:before="80" w:line="300"/>
        <w:jc w:val="left"/>
      </w:pPr>
      <w:r>
        <w:rPr>
          <w:rFonts w:ascii="Times New Roman" w:eastAsia="SimSun"/>
          <w:color w:val="555555"/>
          <w:sz w:val="18"/>
          <w:szCs w:val="18"/>
        </w:rPr>
        <w:t xml:space="preserve">【数据与代码可得性：实验数据集清单、68条规则定义、提示词模板、变更集schema与评分器权重映射随论文配套材料提供，代码仓库拟于录用后公开，此前可联系作者获取。】</w:t>
      </w:r>
    </w:p>
    <w:sectPr>
      <w:headerReference w:type="default" r:id="rId6"/>
      <w:footerReference w:type="default" r:id="rId7"/>
      <w:pgSz w:w="11906" w:h="16838" w:orient="portrait"/>
      <w:pgMar w:top="1440" w:right="1417" w:bottom="1440" w:left="1701" w:header="850" w:footer="992" w:gutter="0"/>
      <w:pgNumType w:start="1" w:fmt="decimal"/>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SimSun"/>
        <w:sz w:val="21"/>
        <w:szCs w:val="21"/>
      </w:rPr>
      <w:t xml:space="preserve">- </w:t>
    </w:r>
    <w:r>
      <w:rPr>
        <w:rFonts w:ascii="Times New Roman"/>
        <w:sz w:val="21"/>
        <w:szCs w:val="21"/>
      </w:rPr>
      <w:fldChar w:fldCharType="begin"/>
    </w:r>
    <w:r>
      <w:rPr>
        <w:rFonts w:ascii="Times New Roman"/>
        <w:sz w:val="21"/>
        <w:szCs w:val="21"/>
      </w:rPr>
      <w:instrText xml:space="preserve">PAGE</w:instrText>
    </w:r>
    <w:r>
      <w:rPr>
        <w:rFonts w:ascii="Times New Roman"/>
        <w:sz w:val="21"/>
        <w:szCs w:val="21"/>
      </w:rPr>
      <w:fldChar w:fldCharType="separate"/>
    </w:r>
    <w:r>
      <w:rPr>
        <w:rFonts w:ascii="Times New Roman"/>
        <w:sz w:val="21"/>
        <w:szCs w:val="21"/>
      </w:rPr>
      <w:fldChar w:fldCharType="end"/>
    </w:r>
    <w:r>
      <w:rPr>
        <w:rFonts w:ascii="Times New Roman" w:eastAsia="SimSun"/>
        <w:sz w:val="21"/>
        <w:szCs w:val="21"/>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pBdr>
      <w:jc w:val="center"/>
    </w:pPr>
    <w:r>
      <w:rPr>
        <w:rFonts w:ascii="Times New Roman" w:eastAsia="SimSun"/>
        <w:color w:val="333333"/>
        <w:sz w:val="18"/>
        <w:szCs w:val="18"/>
      </w:rPr>
      <w:t xml:space="preserve">面向PCB设计的大语言模型闭环验证引擎</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SimSun"/>
        <w:color w:val="000000"/>
        <w:sz w:val="24"/>
        <w:szCs w:val="24"/>
      </w:rPr>
    </w:rPrDefault>
    <w:pPrDefault>
      <w:pPr>
        <w:spacing w:line="36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line="360"/>
    </w:pPr>
    <w:rPr>
      <w:rFonts w:ascii="Times New Roman" w:eastAsia="SimHei"/>
      <w:b/>
      <w:bCs/>
      <w:color w:val="000000"/>
      <w:sz w:val="30"/>
      <w:szCs w:val="30"/>
    </w:rPr>
  </w:style>
  <w:style w:type="paragraph" w:styleId="Heading2">
    <w:name w:val="Heading 2"/>
    <w:basedOn w:val="Normal"/>
    <w:next w:val="Normal"/>
    <w:qFormat/>
    <w:pPr>
      <w:spacing w:after="140" w:before="280" w:line="360"/>
    </w:pPr>
    <w:rPr>
      <w:rFonts w:ascii="Times New Roman" w:eastAsia="SimHei"/>
      <w:b/>
      <w:bCs/>
      <w:color w:val="000000"/>
      <w:sz w:val="28"/>
      <w:szCs w:val="28"/>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f79edb7c256e374d319c7172e64f68ff3a9a7a50.png"/><Relationship Id="rId10" Type="http://schemas.openxmlformats.org/officeDocument/2006/relationships/image" Target="media/ee0688ef34ca910e0245dcc9fc5bb515fdeb1e62.png"/><Relationship Id="rId11" Type="http://schemas.openxmlformats.org/officeDocument/2006/relationships/image" Target="media/a6772f1c673b9d3c22b7f2ec2826f7f141a67fb9.png"/><Relationship Id="rId12" Type="http://schemas.openxmlformats.org/officeDocument/2006/relationships/image" Target="media/b8a625949df0e5b32f6de71698582b16f144aad8.png"/><Relationship Id="rId13" Type="http://schemas.openxmlformats.org/officeDocument/2006/relationships/image" Target="media/1d8e37f6c2208009e1f2a5ae4c68ddbe71581259.png"/><Relationship Id="rId14" Type="http://schemas.openxmlformats.org/officeDocument/2006/relationships/image" Target="media/a7126170c4288d90b161c0079aece02664c347d8.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面向PCB设计的大语言模型闭环验证引擎（修订稿）</dc:title>
  <dc:creator>TraceWise 论文流水线</dc:creator>
  <cp:lastModifiedBy>Un-named</cp:lastModifiedBy>
  <cp:revision>1</cp:revision>
  <dcterms:created xsi:type="dcterms:W3CDTF">2026-10-19T09:37:05.666Z</dcterms:created>
  <dcterms:modified xsi:type="dcterms:W3CDTF">2026-10-19T09:37:05.666Z</dcterms:modified>
</cp:coreProperties>
</file>

<file path=docProps/custom.xml><?xml version="1.0" encoding="utf-8"?>
<Properties xmlns="http://schemas.openxmlformats.org/officeDocument/2006/custom-properties" xmlns:vt="http://schemas.openxmlformats.org/officeDocument/2006/docPropsVTypes"/>
</file>